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55A11" w:sz="18" w:space="1"/>
        </w:pBdr>
        <w:spacing w:after="60"/>
      </w:pPr>
      <w:r>
        <w:t xml:space="preserve"/>
      </w:r>
    </w:p>
    <w:p>
      <w:pPr>
        <w:spacing w:after="80" w:before="320"/>
      </w:pPr>
      <w:r>
        <w:rPr>
          <w:b/>
          <w:bCs/>
          <w:color w:val="1F3864"/>
          <w:sz w:val="19"/>
          <w:szCs w:val="19"/>
        </w:rPr>
        <w:t xml:space="preserve">КОМИТЕТ ПО ЧРЕЗВЫЧАЙНЫМ СИТУАЦИЯМ И ГРАЖДАНСКОЙ ОБОРОНЕ</w:t>
      </w:r>
    </w:p>
    <w:p>
      <w:pPr>
        <w:spacing w:after="40"/>
      </w:pPr>
      <w:r>
        <w:rPr>
          <w:b/>
          <w:bCs/>
          <w:color w:val="1F3864"/>
          <w:sz w:val="19"/>
          <w:szCs w:val="19"/>
        </w:rPr>
        <w:t xml:space="preserve">ПРИ ПРАВИТЕЛЬСТВЕ РЕСПУБЛИКИ ТАДЖИКИСТАН</w:t>
      </w:r>
    </w:p>
    <w:p>
      <w:pPr>
        <w:spacing w:after="200"/>
      </w:pPr>
      <w:r>
        <w:rPr>
          <w:i/>
          <w:iCs/>
          <w:color w:val="808080"/>
          <w:sz w:val="17"/>
          <w:szCs w:val="17"/>
        </w:rPr>
        <w:t xml:space="preserve">Кумитаи ҳолатҳои фавқулодда ва мудофиаи граждании назди Ҳукумати Ҷумҳурии Тоҷикистон</w:t>
      </w:r>
    </w:p>
    <w:p>
      <w:pPr>
        <w:spacing w:after="60" w:before="300"/>
      </w:pPr>
      <w:r>
        <w:rPr>
          <w:b/>
          <w:bCs/>
          <w:color w:val="C55A11"/>
          <w:sz w:val="26"/>
          <w:szCs w:val="26"/>
        </w:rPr>
        <w:t xml:space="preserve">ТЕХНИЧЕСКОЕ ЗАДАНИЕ</w:t>
      </w:r>
    </w:p>
    <w:p>
      <w:pPr>
        <w:spacing w:after="160"/>
      </w:pPr>
      <w:r>
        <w:rPr>
          <w:b/>
          <w:bCs/>
          <w:color w:val="1F3864"/>
          <w:sz w:val="34"/>
          <w:szCs w:val="34"/>
        </w:rPr>
        <w:t xml:space="preserve">на разработку официального веб-сайта (информационного портала) Комитета по чрезвычайным ситуациям и гражданской обороне при Правительстве Республики Таджикистан</w:t>
      </w:r>
    </w:p>
    <w:p>
      <w:pPr>
        <w:pBdr>
          <w:bottom w:val="single" w:color="1F3864" w:sz="12" w:space="1"/>
        </w:pBdr>
        <w:spacing w:after="180"/>
      </w:pPr>
      <w:r>
        <w:t xml:space="preserve"/>
      </w:r>
    </w:p>
    <w:p>
      <w:pPr>
        <w:spacing w:after="50"/>
      </w:pPr>
      <w:r>
        <w:rPr>
          <w:color w:val="2F5496"/>
          <w:sz w:val="24"/>
          <w:szCs w:val="24"/>
        </w:rPr>
        <w:t xml:space="preserve">Единый многоязычный портал с интерактивной картой чрезвычайных ситуаций, системой оповещения населения и системой управления контентом (CMS)</w:t>
      </w:r>
    </w:p>
    <w:p>
      <w:pPr>
        <w:spacing w:after="40" w:before="460"/>
      </w:pPr>
      <w:r>
        <w:rPr>
          <w:b/>
          <w:bCs/>
          <w:sz w:val="19"/>
          <w:szCs w:val="19"/>
        </w:rPr>
        <w:t xml:space="preserve">Редакция документа: </w:t>
      </w:r>
      <w:r>
        <w:rPr>
          <w:sz w:val="19"/>
          <w:szCs w:val="19"/>
        </w:rPr>
        <w:t xml:space="preserve">1.0</w:t>
      </w:r>
      <w:r>
        <w:rPr>
          <w:b/>
          <w:bCs/>
          <w:sz w:val="19"/>
          <w:szCs w:val="19"/>
        </w:rPr>
        <w:t xml:space="preserve">      Дата: </w:t>
      </w:r>
      <w:r>
        <w:rPr>
          <w:sz w:val="19"/>
          <w:szCs w:val="19"/>
        </w:rPr>
        <w:t xml:space="preserve">июнь 2026 г.</w:t>
      </w:r>
    </w:p>
    <w:p>
      <w:pPr>
        <w:spacing w:after="40"/>
      </w:pPr>
      <w:r>
        <w:rPr>
          <w:b/>
          <w:bCs/>
          <w:sz w:val="19"/>
          <w:szCs w:val="19"/>
        </w:rPr>
        <w:t xml:space="preserve">Место разработки: </w:t>
      </w:r>
      <w:r>
        <w:rPr>
          <w:sz w:val="19"/>
          <w:szCs w:val="19"/>
        </w:rPr>
        <w:t xml:space="preserve">г. Душанбе, Республика Таджикистан</w:t>
      </w:r>
    </w:p>
    <w:p>
      <w:pPr>
        <w:spacing w:after="40"/>
      </w:pPr>
      <w:r>
        <w:rPr>
          <w:b/>
          <w:bCs/>
          <w:sz w:val="19"/>
          <w:szCs w:val="19"/>
        </w:rPr>
        <w:t xml:space="preserve">Статус: </w:t>
      </w:r>
      <w:r>
        <w:rPr>
          <w:i/>
          <w:iCs/>
          <w:color w:val="808080"/>
          <w:sz w:val="19"/>
          <w:szCs w:val="19"/>
        </w:rPr>
        <w:t xml:space="preserve">проект для согласования с заказчиком и партнёрами по развитию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Содержание</w:t>
      </w:r>
    </w:p>
    <w:p>
      <w:pPr>
        <w:tabs>
          <w:tab w:val="right" w:pos="9026" w:leader="dot"/>
        </w:tabs>
        <w:spacing w:after="40" w:line="286"/>
      </w:pPr>
      <w:r>
        <w:rPr>
          <w:b/>
          <w:bCs/>
          <w:color w:val="1F3864"/>
          <w:sz w:val="22"/>
          <w:szCs w:val="22"/>
        </w:rPr>
        <w:t xml:space="preserve">1. Общие сведения</w:t>
      </w:r>
      <w:r>
        <w:rPr>
          <w:color w:val="1F3864"/>
          <w:sz w:val="22"/>
          <w:szCs w:val="22"/>
        </w:rPr>
        <w:t xml:space="preserve">	2</w:t>
      </w:r>
    </w:p>
    <w:p>
      <w:pPr>
        <w:tabs>
          <w:tab w:val="right" w:pos="9026" w:leader="dot"/>
        </w:tabs>
        <w:spacing w:after="40" w:line="286"/>
      </w:pPr>
      <w:r>
        <w:rPr>
          <w:b/>
          <w:bCs/>
          <w:color w:val="1F3864"/>
          <w:sz w:val="22"/>
          <w:szCs w:val="22"/>
        </w:rPr>
        <w:t xml:space="preserve">2. Назначение и цели создания сайта</w:t>
      </w:r>
      <w:r>
        <w:rPr>
          <w:color w:val="1F3864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40" w:line="286"/>
      </w:pPr>
      <w:r>
        <w:rPr>
          <w:b/>
          <w:bCs/>
          <w:color w:val="1F3864"/>
          <w:sz w:val="22"/>
          <w:szCs w:val="22"/>
        </w:rPr>
        <w:t xml:space="preserve">3. Характеристика текущего состояния</w:t>
      </w:r>
      <w:r>
        <w:rPr>
          <w:color w:val="1F3864"/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40" w:line="286"/>
      </w:pPr>
      <w:r>
        <w:rPr>
          <w:b/>
          <w:bCs/>
          <w:color w:val="1F3864"/>
          <w:sz w:val="22"/>
          <w:szCs w:val="22"/>
        </w:rPr>
        <w:t xml:space="preserve">4. Требования к системе в целом</w:t>
      </w:r>
      <w:r>
        <w:rPr>
          <w:color w:val="1F3864"/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40" w:line="286"/>
      </w:pPr>
      <w:r>
        <w:rPr>
          <w:b/>
          <w:bCs/>
          <w:color w:val="1F3864"/>
          <w:sz w:val="22"/>
          <w:szCs w:val="22"/>
        </w:rPr>
        <w:t xml:space="preserve">5. Функциональная структура сайта (карта сайта)</w:t>
      </w:r>
      <w:r>
        <w:rPr>
          <w:color w:val="1F3864"/>
          <w:sz w:val="22"/>
          <w:szCs w:val="22"/>
        </w:rPr>
        <w:t xml:space="preserve">	7</w:t>
      </w:r>
    </w:p>
    <w:p>
      <w:pPr>
        <w:tabs>
          <w:tab w:val="right" w:pos="9026" w:leader="dot"/>
        </w:tabs>
        <w:spacing w:after="40" w:line="286"/>
      </w:pPr>
      <w:r>
        <w:rPr>
          <w:b/>
          <w:bCs/>
          <w:color w:val="1F3864"/>
          <w:sz w:val="22"/>
          <w:szCs w:val="22"/>
        </w:rPr>
        <w:t xml:space="preserve">6. Функциональные требования (публичная часть)</w:t>
      </w:r>
      <w:r>
        <w:rPr>
          <w:color w:val="1F3864"/>
          <w:sz w:val="22"/>
          <w:szCs w:val="22"/>
        </w:rPr>
        <w:t xml:space="preserve">	8</w:t>
      </w:r>
    </w:p>
    <w:p>
      <w:pPr>
        <w:tabs>
          <w:tab w:val="right" w:pos="9026" w:leader="dot"/>
        </w:tabs>
        <w:spacing w:after="40" w:line="286"/>
      </w:pPr>
      <w:r>
        <w:rPr>
          <w:b/>
          <w:bCs/>
          <w:color w:val="1F3864"/>
          <w:sz w:val="22"/>
          <w:szCs w:val="22"/>
        </w:rPr>
        <w:t xml:space="preserve">7. Система управления контентом (CMS)</w:t>
      </w:r>
      <w:r>
        <w:rPr>
          <w:color w:val="1F3864"/>
          <w:sz w:val="22"/>
          <w:szCs w:val="22"/>
        </w:rPr>
        <w:t xml:space="preserve">	11</w:t>
      </w:r>
    </w:p>
    <w:p>
      <w:pPr>
        <w:tabs>
          <w:tab w:val="right" w:pos="9026" w:leader="dot"/>
        </w:tabs>
        <w:spacing w:after="40" w:line="286"/>
      </w:pPr>
      <w:r>
        <w:rPr>
          <w:b/>
          <w:bCs/>
          <w:color w:val="1F3864"/>
          <w:sz w:val="22"/>
          <w:szCs w:val="22"/>
        </w:rPr>
        <w:t xml:space="preserve">8. Ролевая модель и разграничение доступа</w:t>
      </w:r>
      <w:r>
        <w:rPr>
          <w:color w:val="1F3864"/>
          <w:sz w:val="22"/>
          <w:szCs w:val="22"/>
        </w:rPr>
        <w:t xml:space="preserve">	13</w:t>
      </w:r>
    </w:p>
    <w:p>
      <w:pPr>
        <w:tabs>
          <w:tab w:val="right" w:pos="9026" w:leader="dot"/>
        </w:tabs>
        <w:spacing w:after="40" w:line="286"/>
      </w:pPr>
      <w:r>
        <w:rPr>
          <w:b/>
          <w:bCs/>
          <w:color w:val="1F3864"/>
          <w:sz w:val="22"/>
          <w:szCs w:val="22"/>
        </w:rPr>
        <w:t xml:space="preserve">9. Модель данных</w:t>
      </w:r>
      <w:r>
        <w:rPr>
          <w:color w:val="1F3864"/>
          <w:sz w:val="22"/>
          <w:szCs w:val="22"/>
        </w:rPr>
        <w:t xml:space="preserve">	14</w:t>
      </w:r>
    </w:p>
    <w:p>
      <w:pPr>
        <w:tabs>
          <w:tab w:val="right" w:pos="9026" w:leader="dot"/>
        </w:tabs>
        <w:spacing w:after="40" w:line="286"/>
      </w:pPr>
      <w:r>
        <w:rPr>
          <w:b/>
          <w:bCs/>
          <w:color w:val="1F3864"/>
          <w:sz w:val="22"/>
          <w:szCs w:val="22"/>
        </w:rPr>
        <w:t xml:space="preserve">10. Технологический стек и архитектура</w:t>
      </w:r>
      <w:r>
        <w:rPr>
          <w:color w:val="1F3864"/>
          <w:sz w:val="22"/>
          <w:szCs w:val="22"/>
        </w:rPr>
        <w:t xml:space="preserve">	16</w:t>
      </w:r>
    </w:p>
    <w:p>
      <w:pPr>
        <w:tabs>
          <w:tab w:val="right" w:pos="9026" w:leader="dot"/>
        </w:tabs>
        <w:spacing w:after="40" w:line="286"/>
      </w:pPr>
      <w:r>
        <w:rPr>
          <w:b/>
          <w:bCs/>
          <w:color w:val="1F3864"/>
          <w:sz w:val="22"/>
          <w:szCs w:val="22"/>
        </w:rPr>
        <w:t xml:space="preserve">11. Требования к интерфейсу и дизайну (UI/UX)</w:t>
      </w:r>
      <w:r>
        <w:rPr>
          <w:color w:val="1F3864"/>
          <w:sz w:val="22"/>
          <w:szCs w:val="22"/>
        </w:rPr>
        <w:t xml:space="preserve">	18</w:t>
      </w:r>
    </w:p>
    <w:p>
      <w:pPr>
        <w:tabs>
          <w:tab w:val="right" w:pos="9026" w:leader="dot"/>
        </w:tabs>
        <w:spacing w:after="40" w:line="286"/>
      </w:pPr>
      <w:r>
        <w:rPr>
          <w:b/>
          <w:bCs/>
          <w:color w:val="1F3864"/>
          <w:sz w:val="22"/>
          <w:szCs w:val="22"/>
        </w:rPr>
        <w:t xml:space="preserve">12. Требования к безопасности и защите информации</w:t>
      </w:r>
      <w:r>
        <w:rPr>
          <w:color w:val="1F3864"/>
          <w:sz w:val="22"/>
          <w:szCs w:val="22"/>
        </w:rPr>
        <w:t xml:space="preserve">	20</w:t>
      </w:r>
    </w:p>
    <w:p>
      <w:pPr>
        <w:tabs>
          <w:tab w:val="right" w:pos="9026" w:leader="dot"/>
        </w:tabs>
        <w:spacing w:after="40" w:line="286"/>
      </w:pPr>
      <w:r>
        <w:rPr>
          <w:b/>
          <w:bCs/>
          <w:color w:val="1F3864"/>
          <w:sz w:val="22"/>
          <w:szCs w:val="22"/>
        </w:rPr>
        <w:t xml:space="preserve">13. Требования к производительности и нагрузке</w:t>
      </w:r>
      <w:r>
        <w:rPr>
          <w:color w:val="1F3864"/>
          <w:sz w:val="22"/>
          <w:szCs w:val="22"/>
        </w:rPr>
        <w:t xml:space="preserve">	21</w:t>
      </w:r>
    </w:p>
    <w:p>
      <w:pPr>
        <w:tabs>
          <w:tab w:val="right" w:pos="9026" w:leader="dot"/>
        </w:tabs>
        <w:spacing w:after="40" w:line="286"/>
      </w:pPr>
      <w:r>
        <w:rPr>
          <w:b/>
          <w:bCs/>
          <w:color w:val="1F3864"/>
          <w:sz w:val="22"/>
          <w:szCs w:val="22"/>
        </w:rPr>
        <w:t xml:space="preserve">14. Мультиязычность и локализация</w:t>
      </w:r>
      <w:r>
        <w:rPr>
          <w:color w:val="1F3864"/>
          <w:sz w:val="22"/>
          <w:szCs w:val="22"/>
        </w:rPr>
        <w:t xml:space="preserve">	22</w:t>
      </w:r>
    </w:p>
    <w:p>
      <w:pPr>
        <w:tabs>
          <w:tab w:val="right" w:pos="9026" w:leader="dot"/>
        </w:tabs>
        <w:spacing w:after="40" w:line="286"/>
      </w:pPr>
      <w:r>
        <w:rPr>
          <w:b/>
          <w:bCs/>
          <w:color w:val="1F3864"/>
          <w:sz w:val="22"/>
          <w:szCs w:val="22"/>
        </w:rPr>
        <w:t xml:space="preserve">15. SEO, аналитика и интеграции</w:t>
      </w:r>
      <w:r>
        <w:rPr>
          <w:color w:val="1F3864"/>
          <w:sz w:val="22"/>
          <w:szCs w:val="22"/>
        </w:rPr>
        <w:t xml:space="preserve">	22</w:t>
      </w:r>
    </w:p>
    <w:p>
      <w:pPr>
        <w:tabs>
          <w:tab w:val="right" w:pos="9026" w:leader="dot"/>
        </w:tabs>
        <w:spacing w:after="40" w:line="286"/>
      </w:pPr>
      <w:r>
        <w:rPr>
          <w:b/>
          <w:bCs/>
          <w:color w:val="1F3864"/>
          <w:sz w:val="22"/>
          <w:szCs w:val="22"/>
        </w:rPr>
        <w:t xml:space="preserve">16. Инфраструктура, развёртывание и эксплуатация</w:t>
      </w:r>
      <w:r>
        <w:rPr>
          <w:color w:val="1F3864"/>
          <w:sz w:val="22"/>
          <w:szCs w:val="22"/>
        </w:rPr>
        <w:t xml:space="preserve">	23</w:t>
      </w:r>
    </w:p>
    <w:p>
      <w:pPr>
        <w:tabs>
          <w:tab w:val="right" w:pos="9026" w:leader="dot"/>
        </w:tabs>
        <w:spacing w:after="40" w:line="286"/>
      </w:pPr>
      <w:r>
        <w:rPr>
          <w:b/>
          <w:bCs/>
          <w:color w:val="1F3864"/>
          <w:sz w:val="22"/>
          <w:szCs w:val="22"/>
        </w:rPr>
        <w:t xml:space="preserve">17. Этапы разработки и сроки</w:t>
      </w:r>
      <w:r>
        <w:rPr>
          <w:color w:val="1F3864"/>
          <w:sz w:val="22"/>
          <w:szCs w:val="22"/>
        </w:rPr>
        <w:t xml:space="preserve">	24</w:t>
      </w:r>
    </w:p>
    <w:p>
      <w:pPr>
        <w:tabs>
          <w:tab w:val="right" w:pos="9026" w:leader="dot"/>
        </w:tabs>
        <w:spacing w:after="40" w:line="286"/>
      </w:pPr>
      <w:r>
        <w:rPr>
          <w:b/>
          <w:bCs/>
          <w:color w:val="1F3864"/>
          <w:sz w:val="22"/>
          <w:szCs w:val="22"/>
        </w:rPr>
        <w:t xml:space="preserve">18. Тестирование, приёмка и документация</w:t>
      </w:r>
      <w:r>
        <w:rPr>
          <w:color w:val="1F3864"/>
          <w:sz w:val="22"/>
          <w:szCs w:val="22"/>
        </w:rPr>
        <w:t xml:space="preserve">	24</w:t>
      </w:r>
    </w:p>
    <w:p>
      <w:pPr>
        <w:tabs>
          <w:tab w:val="right" w:pos="9026" w:leader="dot"/>
        </w:tabs>
        <w:spacing w:after="40" w:line="286"/>
      </w:pPr>
      <w:r>
        <w:rPr>
          <w:b/>
          <w:bCs/>
          <w:color w:val="1F3864"/>
          <w:sz w:val="22"/>
          <w:szCs w:val="22"/>
        </w:rPr>
        <w:t xml:space="preserve">Приложение А. Полная карта сайта</w:t>
      </w:r>
      <w:r>
        <w:rPr>
          <w:color w:val="1F3864"/>
          <w:sz w:val="22"/>
          <w:szCs w:val="22"/>
        </w:rPr>
        <w:t xml:space="preserve">	26</w:t>
      </w:r>
    </w:p>
    <w:p>
      <w:pPr>
        <w:tabs>
          <w:tab w:val="right" w:pos="9026" w:leader="dot"/>
        </w:tabs>
        <w:spacing w:after="40" w:line="286"/>
      </w:pPr>
      <w:r>
        <w:rPr>
          <w:b/>
          <w:bCs/>
          <w:color w:val="1F3864"/>
          <w:sz w:val="22"/>
          <w:szCs w:val="22"/>
        </w:rPr>
        <w:t xml:space="preserve">Приложение Б. Перечень основных сущностей базы данных</w:t>
      </w:r>
      <w:r>
        <w:rPr>
          <w:color w:val="1F3864"/>
          <w:sz w:val="22"/>
          <w:szCs w:val="22"/>
        </w:rPr>
        <w:t xml:space="preserve">	28</w:t>
      </w:r>
    </w:p>
    <w:p>
      <w:pPr>
        <w:tabs>
          <w:tab w:val="right" w:pos="9026" w:leader="dot"/>
        </w:tabs>
        <w:spacing w:after="40" w:line="286"/>
      </w:pPr>
      <w:r>
        <w:rPr>
          <w:b/>
          <w:bCs/>
          <w:color w:val="1F3864"/>
          <w:sz w:val="22"/>
          <w:szCs w:val="22"/>
        </w:rPr>
        <w:t xml:space="preserve">Приложение В. Цветовая палитра и дизайн-токены</w:t>
      </w:r>
      <w:r>
        <w:rPr>
          <w:color w:val="1F3864"/>
          <w:sz w:val="22"/>
          <w:szCs w:val="22"/>
        </w:rPr>
        <w:t xml:space="preserve">	29</w:t>
      </w:r>
    </w:p>
    <w:p>
      <w:pPr>
        <w:tabs>
          <w:tab w:val="right" w:pos="9026" w:leader="dot"/>
        </w:tabs>
        <w:spacing w:after="40" w:line="286"/>
      </w:pPr>
      <w:r>
        <w:rPr>
          <w:b/>
          <w:bCs/>
          <w:color w:val="1F3864"/>
          <w:sz w:val="22"/>
          <w:szCs w:val="22"/>
        </w:rPr>
        <w:t xml:space="preserve">Приложение Г. Уровни опасности и цветовое кодирование</w:t>
      </w:r>
      <w:r>
        <w:rPr>
          <w:color w:val="1F3864"/>
          <w:sz w:val="22"/>
          <w:szCs w:val="22"/>
        </w:rPr>
        <w:t xml:space="preserve">	30</w:t>
      </w:r>
    </w:p>
    <w:p>
      <w:r>
        <w:br w:type="page"/>
      </w:r>
    </w:p>
    <w:p>
      <w:pPr>
        <w:pStyle w:val="Heading1"/>
      </w:pPr>
      <w:r>
        <w:t xml:space="preserve">1. Общие сведения</w:t>
      </w:r>
    </w:p>
    <w:p>
      <w:pPr>
        <w:pStyle w:val="Heading2"/>
      </w:pPr>
      <w:r>
        <w:t xml:space="preserve">1.1. Наименование системы</w:t>
      </w:r>
    </w:p>
    <w:p>
      <w:pPr>
        <w:spacing w:after="140" w:line="278"/>
        <w:jc w:val="both"/>
      </w:pPr>
      <w:r>
        <w:t xml:space="preserve">Полное наименование: официальный веб-сайт (информационный портал) Комитета по чрезвычайным ситуациям и гражданской обороне при Правительстве Республики Таджикистан.</w:t>
      </w:r>
    </w:p>
    <w:p>
      <w:pPr>
        <w:spacing w:after="140" w:line="278"/>
        <w:jc w:val="both"/>
      </w:pPr>
      <w:r>
        <w:rPr>
          <w:b/>
          <w:bCs/>
        </w:rPr>
        <w:t xml:space="preserve">Условное обозначение в настоящем документе: </w:t>
      </w:r>
      <w:r>
        <w:t xml:space="preserve">«Портал», «Сайт» или «Система». Программная часть, обеспечивающая управление содержимым, далее именуется </w:t>
      </w:r>
      <w:r>
        <w:rPr>
          <w:b/>
          <w:bCs/>
        </w:rPr>
        <w:t xml:space="preserve">«CMS»</w:t>
      </w:r>
      <w:r>
        <w:t xml:space="preserve"> (система управления контентом).</w:t>
      </w:r>
    </w:p>
    <w:p>
      <w:pPr>
        <w:pStyle w:val="Heading2"/>
      </w:pPr>
      <w:r>
        <w:t xml:space="preserve">1.2. Назначение и состав документа</w:t>
      </w:r>
    </w:p>
    <w:p>
      <w:pPr>
        <w:spacing w:after="140" w:line="278"/>
        <w:jc w:val="both"/>
      </w:pPr>
      <w:r>
        <w:t xml:space="preserve">Настоящее техническое задание (далее — ТЗ) определяет требования к разработке, развёртыванию, испытаниям и вводу в эксплуатацию официального веб-сайта Комитета. Документ предназначен для команды разработки, а также для согласования объёма работ с заказчиком и партнёрами по развитию, финансирующими проект.</w:t>
      </w:r>
    </w:p>
    <w:p>
      <w:pPr>
        <w:spacing w:after="140" w:line="278"/>
        <w:jc w:val="both"/>
      </w:pPr>
      <w:r>
        <w:t xml:space="preserve">ТЗ описывает: назначение и цели Системы; функциональные и нефункциональные требования; функциональную структуру (карту сайта); требования к системе управления контентом, ролевой модели и модели данных; технологический стек и архитектуру; требования к интерфейсу, дизайну, безопасности, производительности, мультиязычности; требования к инфраструктуре, этапам разработки, приёмке и документации.</w:t>
      </w:r>
    </w:p>
    <w:p>
      <w:pPr>
        <w:spacing w:after="140" w:line="278"/>
        <w:jc w:val="both"/>
      </w:pPr>
      <w:r>
        <w:t xml:space="preserve">Требования изложены с использованием формулировок «должен / должна / должно» для обязательных требований и «рекомендуется / желательно» для рекомендательных. Каждое обязательное требование подлежит проверке на этапе приёмки (раздел 18).</w:t>
      </w:r>
    </w:p>
    <w:p>
      <w:pPr>
        <w:pStyle w:val="Heading2"/>
      </w:pPr>
      <w:r>
        <w:t xml:space="preserve">1.3. Основание для разработки</w:t>
      </w:r>
    </w:p>
    <w:p>
      <w:pPr>
        <w:spacing w:after="140" w:line="278"/>
        <w:jc w:val="both"/>
      </w:pPr>
      <w:r>
        <w:t xml:space="preserve">Основанием для разработки является решение Комитета о модернизации цифровой инфраструктуры и концептуальная записка «Цифровая платформа КЧС», подготовленная для партнёров по развитию. Настоящее ТЗ детализирует компонент «Единый многоязычный портал» указанной концепции и является техническим документом для его реализации.</w:t>
      </w:r>
    </w:p>
    <w:p>
      <w:pPr>
        <w:pStyle w:val="Heading2"/>
      </w:pPr>
      <w:r>
        <w:t xml:space="preserve">1.4. Заказчик и исполнитель</w:t>
      </w:r>
    </w:p>
    <w:p>
      <w:pPr>
        <w:spacing w:after="140" w:line="278"/>
        <w:jc w:val="both"/>
      </w:pPr>
      <w:r>
        <w:rPr>
          <w:b/>
          <w:bCs/>
        </w:rPr>
        <w:t xml:space="preserve">Заказчик: </w:t>
      </w:r>
      <w:r>
        <w:t xml:space="preserve">Комитет по чрезвычайным ситуациям и гражданской обороне при Правительстве Республики Таджикистан. Адрес: г. Душанбе, ул. Лохути, 26; тел. (+992 37) 221-13-11.</w:t>
      </w:r>
    </w:p>
    <w:p>
      <w:pPr>
        <w:spacing w:after="140" w:line="278"/>
        <w:jc w:val="both"/>
      </w:pPr>
      <w:r>
        <w:rPr>
          <w:b/>
          <w:bCs/>
        </w:rPr>
        <w:t xml:space="preserve">Исполнитель: </w:t>
      </w:r>
      <w:r>
        <w:t xml:space="preserve">определяется по итогам выбора подрядчика/закрепления внутренней команды разработки. Исполнитель обязан передать заказчику полный исходный код, права на программное обеспечение и эксплуатационную документацию (раздел 18).</w:t>
      </w:r>
    </w:p>
    <w:p>
      <w:pPr>
        <w:pStyle w:val="Heading2"/>
      </w:pPr>
      <w:r>
        <w:t xml:space="preserve">1.5. Термины, определения и сокращения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Термин / сокращение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Расшифровка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ЧС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Чрезвычайная ситуация — обстановка, сложившаяся в результате аварии, опасного природного явления, катастрофы, стихийного или иного бедствия.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ГО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Гражданская оборона.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Комитет, КЧС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Комитет по чрезвычайным ситуациям и гражданской обороне при Правительстве Республики Таджикистан.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Портал / Сайт / Система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Разрабатываемый официальный веб-сайт Комитета.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CMS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Content Management System — система (административная часть) для управления содержимым сайта.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RBAC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Role-Based Access Control — разграничение доступа на основе ролей.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ГИС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Геоинформационная система; в контексте ТЗ — интерактивная карта с пространственными данными о ЧС.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SSR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Server-Side Rendering — серверный рендеринг страниц для индексации и скорости первой загрузки.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SPA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Single-Page Application — одностраничное приложение.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Программный интерфейс взаимодействия между частями системы и внешними сервисами.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i18n / l10n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Интернационализация и локализация (поддержка нескольких языков).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WCAG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 Content Accessibility Guidelines — рекомендации по доступности веб-контента.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TLS / HTTPS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Протоколы защищённого соединения.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2FA / MFA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Двух- / многофакторная аутентификация.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Push-уведомление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Веб-уведомление, доставляемое в браузер пользователя, в т.ч. при закрытой вкладке.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Тайл (tile)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Растровый/векторный фрагмент карты, используемый для отображения слоёв карты ЧС.</w:t>
            </w:r>
          </w:p>
        </w:tc>
      </w:tr>
    </w:tbl>
    <w:p>
      <w:pPr>
        <w:pStyle w:val="Heading1"/>
      </w:pPr>
      <w:r>
        <w:t xml:space="preserve">2. Назначение и цели создания сайта</w:t>
      </w:r>
    </w:p>
    <w:p>
      <w:pPr>
        <w:pStyle w:val="Heading2"/>
      </w:pPr>
      <w:r>
        <w:t xml:space="preserve">2.1. Назначение сайта</w:t>
      </w:r>
    </w:p>
    <w:p>
      <w:pPr>
        <w:spacing w:after="140" w:line="278"/>
        <w:jc w:val="both"/>
      </w:pPr>
      <w:r>
        <w:t xml:space="preserve">Сайт является официальным каналом информирования населения и заинтересованных сторон о деятельности Комитета, оперативной обстановке и угрозах ЧС, а также инструментом своевременного оповещения и распространения знаний о безопасности. Для государственного органа, основная функция которого — защита населения, веб-канал рассматривается как элемент критически важной инфраструктуры, а не как вспомогательный ресурс.</w:t>
      </w:r>
    </w:p>
    <w:p>
      <w:pPr>
        <w:pStyle w:val="Heading2"/>
      </w:pPr>
      <w:r>
        <w:t xml:space="preserve">2.2. Цели создания</w:t>
      </w:r>
    </w:p>
    <w:p>
      <w:pPr>
        <w:pStyle w:val="ListParagraph"/>
        <w:numPr>
          <w:ilvl w:val="0"/>
          <w:numId w:val="2"/>
        </w:numPr>
        <w:spacing w:after="70" w:line="274"/>
        <w:jc w:val="both"/>
      </w:pPr>
      <w:r>
        <w:t xml:space="preserve">Обеспечить своевременное и достоверное информирование населения об угрозах и фактах ЧС, включая активные предупреждения и оповещения.</w:t>
      </w:r>
    </w:p>
    <w:p>
      <w:pPr>
        <w:pStyle w:val="ListParagraph"/>
        <w:numPr>
          <w:ilvl w:val="0"/>
          <w:numId w:val="2"/>
        </w:numPr>
        <w:spacing w:after="70" w:line="274"/>
        <w:jc w:val="both"/>
      </w:pPr>
      <w:r>
        <w:t xml:space="preserve">Заменить два устаревших раздельных сайта единым современным многоязычным порталом с синхронизированным содержимым на всех языках.</w:t>
      </w:r>
    </w:p>
    <w:p>
      <w:pPr>
        <w:pStyle w:val="ListParagraph"/>
        <w:numPr>
          <w:ilvl w:val="0"/>
          <w:numId w:val="2"/>
        </w:numPr>
        <w:spacing w:after="70" w:line="274"/>
        <w:jc w:val="both"/>
      </w:pPr>
      <w:r>
        <w:t xml:space="preserve">Предоставить интерактивную карту ЧС с отображением событий, зон риска и профильных слоёв.</w:t>
      </w:r>
    </w:p>
    <w:p>
      <w:pPr>
        <w:pStyle w:val="ListParagraph"/>
        <w:numPr>
          <w:ilvl w:val="0"/>
          <w:numId w:val="2"/>
        </w:numPr>
        <w:spacing w:after="70" w:line="274"/>
        <w:jc w:val="both"/>
      </w:pPr>
      <w:r>
        <w:t xml:space="preserve">Внедрить систему уведомлений и подписки (на сайте, по электронной почте и через push) с тематической и территориальной фильтрацией.</w:t>
      </w:r>
    </w:p>
    <w:p>
      <w:pPr>
        <w:pStyle w:val="ListParagraph"/>
        <w:numPr>
          <w:ilvl w:val="0"/>
          <w:numId w:val="2"/>
        </w:numPr>
        <w:spacing w:after="70" w:line="274"/>
        <w:jc w:val="both"/>
      </w:pPr>
      <w:r>
        <w:t xml:space="preserve">Дать Комитету удобную систему управления контентом (CMS), позволяющую сотрудникам самостоятельно публиковать материалы без привлечения подрядчика.</w:t>
      </w:r>
    </w:p>
    <w:p>
      <w:pPr>
        <w:pStyle w:val="ListParagraph"/>
        <w:numPr>
          <w:ilvl w:val="0"/>
          <w:numId w:val="2"/>
        </w:numPr>
        <w:spacing w:after="70" w:line="274"/>
        <w:jc w:val="both"/>
      </w:pPr>
      <w:r>
        <w:t xml:space="preserve">Обеспечить размещение системы на национальной инфраструктуре Комитета и контроль над данными (информационный суверенитет).</w:t>
      </w:r>
    </w:p>
    <w:p>
      <w:pPr>
        <w:pStyle w:val="ListParagraph"/>
        <w:numPr>
          <w:ilvl w:val="0"/>
          <w:numId w:val="2"/>
        </w:numPr>
        <w:spacing w:after="70" w:line="274"/>
        <w:jc w:val="both"/>
      </w:pPr>
      <w:r>
        <w:t xml:space="preserve">Соответствовать требованиям доступности, безопасности и производительности, предъявляемым к официальным государственным ресурсам.</w:t>
      </w:r>
    </w:p>
    <w:p>
      <w:pPr>
        <w:pStyle w:val="Heading2"/>
      </w:pPr>
      <w:r>
        <w:t xml:space="preserve">2.3. Целевая аудитория</w:t>
      </w:r>
    </w:p>
    <w:p>
      <w:pPr>
        <w:spacing w:after="140" w:line="278"/>
        <w:jc w:val="both"/>
      </w:pPr>
      <w:r>
        <w:t xml:space="preserve">Система проектируется в первую очередь для населения; интерфейс должен оставаться простым и понятным для неподготовленного пользователя, в том числе на мобильных устройствах и при медленном соединении.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Группа пользователей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Основные сценарии использования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Население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Получение оперативной информации об угрозах и ЧС; просмотр карты и оповещений; чтение памяток и правил поведения; подписка на уведомления; обращение в Комитет.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СМИ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Доступ к пресс-релизам, официальным сообщениям, фото- и видеоматериалам, контактам пресс-службы.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Партнёры и доноры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Сведения о деятельности, отчётность, направления международного сотрудничества, контакты.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Туристы и тургруппы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Регистрация маршрутов и групп; информация о рисках в горной местности и правилах безопасности.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Сотрудники Комитета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Публикация и модерация контента, управление ЧС и оповещениями через CMS (по ролям).</w:t>
            </w:r>
          </w:p>
        </w:tc>
      </w:tr>
    </w:tbl>
    <w:p>
      <w:pPr>
        <w:pStyle w:val="Heading2"/>
      </w:pPr>
      <w:r>
        <w:t xml:space="preserve">2.4. Ключевые принципы реализации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rPr>
          <w:b/>
          <w:bCs/>
        </w:rPr>
        <w:t xml:space="preserve">Mobile-first и доступность. </w:t>
      </w:r>
      <w:r>
        <w:t xml:space="preserve">Приоритет мобильных устройств и соответствие требованиям доступности; наличие версии для слабовидящих.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rPr>
          <w:b/>
          <w:bCs/>
        </w:rPr>
        <w:t xml:space="preserve">Устойчивость к нагрузке. </w:t>
      </w:r>
      <w:r>
        <w:t xml:space="preserve">Корректная работа при резком росте посещаемости в период ЧС (раздел 13).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rPr>
          <w:b/>
          <w:bCs/>
        </w:rPr>
        <w:t xml:space="preserve">Простота сопровождения. </w:t>
      </w:r>
      <w:r>
        <w:t xml:space="preserve">Современный поддерживаемый стек, понятная архитектура, исчерпывающая документация и передача исходного кода.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rPr>
          <w:b/>
          <w:bCs/>
        </w:rPr>
        <w:t xml:space="preserve">Информационный суверенитет. </w:t>
      </w:r>
      <w:r>
        <w:t xml:space="preserve">Размещение на инфраструктуре Комитета, отказ от обязательных внешних сервисов аналитики и хранения файлов.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rPr>
          <w:b/>
          <w:bCs/>
        </w:rPr>
        <w:t xml:space="preserve">Единое содержимое. </w:t>
      </w:r>
      <w:r>
        <w:t xml:space="preserve">Один материал — несколько языковых версий в рамках единой системы, без раздельных сайтов.</w:t>
      </w:r>
    </w:p>
    <w:p>
      <w:pPr>
        <w:pStyle w:val="Heading1"/>
      </w:pPr>
      <w:r>
        <w:t xml:space="preserve">3. Характеристика текущего состояния</w:t>
      </w:r>
    </w:p>
    <w:p>
      <w:pPr>
        <w:spacing w:after="140" w:line="278"/>
        <w:jc w:val="both"/>
      </w:pPr>
      <w:r>
        <w:t xml:space="preserve">В настоящее время веб-присутствие Комитета обеспечивается двумя раздельными сайтами, что создаёт ряд проблем, которые должны быть устранены при разработке новой Системы: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поддерживаются две отдельные площадки — русскоязычная и таджикоязычная; это две независимые системы с несинхронизированным содержимым и раздельным администрированием;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сайты построены на устаревшей системе управления, официальная поддержка которой прекращена, что означает отсутствие обновлений безопасности и высокие риски для государственного ресурса;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используется сторонний счётчик веб-аналитики и сторонние виджеты; данные посетителей передаются внешним сервисам;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часть официальных материалов распространяется через потребительские облачные сервисы; отсутствует защищённая корпоративная инфраструктура хранения файлов;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отсутствует интерактивная карта ЧС, современная система оповещения населения и подписки на уведомления;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интерфейс морально устарел, не адаптирован под мобильные устройства и не соответствует требованиям доступности.</w:t>
      </w:r>
    </w:p>
    <w:p>
      <w:pPr>
        <w:spacing w:after="120" w:before="60" w:line="252"/>
      </w:pPr>
      <w:r>
        <w:rPr>
          <w:i/>
          <w:iCs/>
          <w:color w:val="808080"/>
          <w:sz w:val="17"/>
          <w:szCs w:val="17"/>
        </w:rPr>
        <w:t xml:space="preserve">Описание текущего состояния основано на общедоступной информации действующих сайтов Комитета (домены kchs.tj и khf.tj) по состоянию на июнь 2026 г. Новая Система должна полностью заменить обе площадки.</w:t>
      </w:r>
    </w:p>
    <w:p>
      <w:pPr>
        <w:pStyle w:val="Heading1"/>
      </w:pPr>
      <w:r>
        <w:t xml:space="preserve">4. Требования к системе в целом</w:t>
      </w:r>
    </w:p>
    <w:p>
      <w:pPr>
        <w:pStyle w:val="Heading2"/>
      </w:pPr>
      <w:r>
        <w:t xml:space="preserve">4.1. Требования к структуре и функционированию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Система реализуется как единое веб-приложение с публичной частью (для посетителей) и административной частью (CMS, для сотрудников Комитета).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Система должна быть многоязычной: один материал представляется в нескольких языковых версиях в рамках единой установки (раздел 14).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Архитектура должна быть модульной: компоненты (новости, ЧС, карта, оповещения, документы, обращения и т. д.) разрабатываются как логически обособленные модули с возможностью поэтапного ввода и дальнейшего расширения.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Система должна предоставлять внутренний программный интерфейс (API), достаточный для последующей разработки мобильного приложения и интеграций, без переработки серверной части.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Доступ к публичной части — анонимный; доступ к CMS — только для авторизованных сотрудников по ролям (раздел 8).</w:t>
      </w:r>
    </w:p>
    <w:p>
      <w:pPr>
        <w:pStyle w:val="Heading2"/>
      </w:pPr>
      <w:r>
        <w:t xml:space="preserve">4.2. Режимы функционирования</w:t>
      </w:r>
    </w:p>
    <w:p>
      <w:pPr>
        <w:spacing w:after="140" w:line="278"/>
        <w:jc w:val="both"/>
      </w:pPr>
      <w:r>
        <w:t xml:space="preserve">Система должна поддерживать два режима работы:</w:t>
      </w:r>
    </w:p>
    <w:p>
      <w:pPr>
        <w:pStyle w:val="ListParagraph"/>
        <w:numPr>
          <w:ilvl w:val="0"/>
          <w:numId w:val="4"/>
        </w:numPr>
        <w:spacing w:after="70" w:line="274"/>
        <w:jc w:val="both"/>
      </w:pPr>
      <w:r>
        <w:t xml:space="preserve">Штатный режим — повседневное информирование, публикация новостей и материалов, работа карты и подписок.</w:t>
      </w:r>
    </w:p>
    <w:p>
      <w:pPr>
        <w:pStyle w:val="ListParagraph"/>
        <w:numPr>
          <w:ilvl w:val="0"/>
          <w:numId w:val="4"/>
        </w:numPr>
        <w:spacing w:after="70" w:line="274"/>
        <w:jc w:val="both"/>
      </w:pPr>
      <w:r>
        <w:t xml:space="preserve">Режим повышенной готовности / ЧС — активация приоритетного оповещения: вывод заметного баннера тревоги на всех страницах, рассылка уведомлений подписчикам, отметка событий на карте. Переход в этот режим выполняется уполномоченным сотрудником через CMS в кратчайшее время и не должен зависеть от участия разработчика.</w:t>
      </w:r>
    </w:p>
    <w:p>
      <w:pPr>
        <w:spacing w:after="140" w:line="278"/>
        <w:jc w:val="both"/>
      </w:pPr>
      <w:r>
        <w:t xml:space="preserve">Система должна функционировать круглосуточно (24/7). Плановое техническое обслуживание проводится в периоды наименьшей нагрузки с предварительным уведомлением.</w:t>
      </w:r>
    </w:p>
    <w:p>
      <w:pPr>
        <w:pStyle w:val="Heading2"/>
      </w:pPr>
      <w:r>
        <w:t xml:space="preserve">4.3. Требования к надёжности и доступности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Доступность (uptime)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 менее 99,5% в годовом исчислении (в штатном режиме).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Резервное копирование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Ежедневное автоматическое копирование базы данных и файлов; хранение копий не менее 30 дней; проверка восстановления не реже 1 раза в квартал.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Восстановление после сбоя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Целевое время восстановления (RTO) — не более 4 часов; целевая точка восстановления (RPO) — не более 24 часов.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Отказоустойчивость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Сбой второстепенного модуля (например, карты или формы обращений) не должен приводить к недоступности всего сайта и публикации оповещений.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Непрерывный мониторинг доступности и ошибок с оповещением ответственных лиц.</w:t>
            </w:r>
          </w:p>
        </w:tc>
      </w:tr>
    </w:tbl>
    <w:p>
      <w:pPr>
        <w:pStyle w:val="Heading2"/>
      </w:pPr>
      <w:r>
        <w:t xml:space="preserve">4.4. Требования к персоналу и эксплуатации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Для работы с CMS не требуется навыков программирования; интерфейс должен быть рассчитан на сотрудника-контент-менеджера после краткого обучения.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Исполнитель проводит обучение администраторов и контент-менеджеров и передаёт руководство пользователя CMS на русском языке.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Техническое сопровождение (обновления, резервные копии, мониторинг) осуществляется ИТ-специалистами Комитета; передаваемая документация должна быть достаточной для самостоятельного сопровождения.</w:t>
      </w:r>
    </w:p>
    <w:p>
      <w:pPr>
        <w:pStyle w:val="Heading2"/>
      </w:pPr>
      <w:r>
        <w:t xml:space="preserve">4.5. Общие требования к защите информации</w:t>
      </w:r>
    </w:p>
    <w:p>
      <w:pPr>
        <w:spacing w:after="140" w:line="278"/>
        <w:jc w:val="both"/>
      </w:pPr>
      <w:r>
        <w:t xml:space="preserve">Детальные требования приведены в разделе 12. На уровне системы в целом обязательны: работа только по защищённому соединению (HTTPS/TLS), защита от типовых веб-угроз, разграничение доступа по ролям, журналирование действий в CMS, регулярное резервное копирование и размещение на контролируемой Комитетом инфраструктуре.</w:t>
      </w:r>
    </w:p>
    <w:p>
      <w:pPr>
        <w:pStyle w:val="Heading2"/>
      </w:pPr>
      <w:r>
        <w:t xml:space="preserve">4.6. Требования к мультиязычности (общие)</w:t>
      </w:r>
    </w:p>
    <w:p>
      <w:pPr>
        <w:spacing w:after="140" w:line="278"/>
        <w:jc w:val="both"/>
      </w:pPr>
      <w:r>
        <w:t xml:space="preserve">Система должна поддерживать как минимум три языка интерфейса и контента: </w:t>
      </w:r>
      <w:r>
        <w:rPr>
          <w:b/>
          <w:bCs/>
        </w:rPr>
        <w:t xml:space="preserve">таджикский (тоҷикӣ), русский и английский</w:t>
      </w:r>
      <w:r>
        <w:t xml:space="preserve">. Таджикская и русская версии обязательны для запуска; английская — для взаимодействия с партнёрами. Детальные требования — в разделе 14.</w:t>
      </w:r>
    </w:p>
    <w:p>
      <w:pPr>
        <w:pStyle w:val="Heading1"/>
      </w:pPr>
      <w:r>
        <w:t xml:space="preserve">5. Функциональная структура сайта (карта сайта)</w:t>
      </w:r>
    </w:p>
    <w:p>
      <w:pPr>
        <w:spacing w:after="140" w:line="278"/>
        <w:jc w:val="both"/>
      </w:pPr>
      <w:r>
        <w:t xml:space="preserve">Структура сайта спроектирована для одного национального органа с региональными управлениями и сознательно компактнее, чем у крупных профильных министерств: исключено дублирование разделов и громоздкая сеть подсайтов. Основные разделы публичной части приведены ниже; полная карта сайта — в Приложении 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Раздел</w:t>
            </w:r>
          </w:p>
        </w:tc>
        <w:tc>
          <w:tcPr>
            <w:tcW w:type="dxa" w:w="6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Содержание / подразделы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Главная</w:t>
            </w:r>
          </w:p>
        </w:tc>
        <w:tc>
          <w:tcPr>
            <w:tcW w:type="dxa" w:w="6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Баннер оповещения (при активной ЧС), блок оперативной обстановки, последние новости, виджет карты ЧС, быстрые ссылки на памятки и экстренные телефоны, форма подписки.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 Комитете</w:t>
            </w:r>
          </w:p>
        </w:tc>
        <w:tc>
          <w:tcPr>
            <w:tcW w:type="dxa" w:w="6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 организации и задачах; руководство; структура; региональные управления (Душанбе, Согдийская и Хатлонская области, ГБАО); история; международное сотрудничество и партнёры; противодействие коррупции; кадры и вакансии.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Деятельность</w:t>
            </w:r>
          </w:p>
        </w:tc>
        <w:tc>
          <w:tcPr>
            <w:tcW w:type="dxa" w:w="6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Гражданская оборона; защита населения и территорий от ЧС; предупреждение и реагирование; надзорная и профилактическая работа; обучение населения; горноспасательная служба.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Оперативная обстановка</w:t>
            </w:r>
          </w:p>
        </w:tc>
        <w:tc>
          <w:tcPr>
            <w:tcW w:type="dxa" w:w="6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Оперативные сводки; действующие предупреждения и объявленные ЧС; интерактивная карта ЧС; архив событий.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Безопасность населения</w:t>
            </w:r>
          </w:p>
        </w:tc>
        <w:tc>
          <w:tcPr>
            <w:tcW w:type="dxa" w:w="6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Памятки и правила поведения по типам угроз (землетрясение, сель и паводок, наводнение, лавина, оползень, пожар, прорыв ледниковых озёр); обучающие и просветительские материалы; материалы для детей и школ.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Пресс-центр</w:t>
            </w:r>
          </w:p>
        </w:tc>
        <w:tc>
          <w:tcPr>
            <w:tcW w:type="dxa" w:w="6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Новости; официальные сообщения и пресс-релизы; объявления; фотогалереи; видео; «СМИ о нас»; контакты пресс-службы.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Документы</w:t>
            </w:r>
          </w:p>
        </w:tc>
        <w:tc>
          <w:tcPr>
            <w:tcW w:type="dxa" w:w="6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Законодательство и нормативные акты; ведомственные документы; планы и отчёты; формы и бланки. Реестр документов с поиском и фильтрами.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Сервисы</w:t>
            </w:r>
          </w:p>
        </w:tc>
        <w:tc>
          <w:tcPr>
            <w:tcW w:type="dxa" w:w="6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Регистрация туристских групп и маршрутов; обращения граждан (электронная приёмная); подписка на уведомления.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Контакты</w:t>
            </w:r>
          </w:p>
        </w:tc>
        <w:tc>
          <w:tcPr>
            <w:tcW w:type="dxa" w:w="6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Общие контакты и реквизиты; единый телефон доверия и экстренные номера; контакты региональных управлений; карта проезда; форма обратной связи.</w:t>
            </w:r>
          </w:p>
        </w:tc>
      </w:tr>
    </w:tbl>
    <w:p>
      <w:pPr>
        <w:spacing w:after="140" w:line="278"/>
        <w:jc w:val="both"/>
      </w:pPr>
      <w:r>
        <w:t xml:space="preserve">Сквозные элементы, доступные на всех страницах: переключатель языка; поиск по сайту; кнопка вызова версии для слабовидящих; область вывода активного оповещения о ЧС; ссылки на официальные аккаунты в социальных сетях; «подвал» с экстренными телефонами.</w:t>
      </w:r>
    </w:p>
    <w:p>
      <w:pPr>
        <w:pStyle w:val="Heading1"/>
      </w:pPr>
      <w:r>
        <w:t xml:space="preserve">6. Функциональные требования (публичная часть)</w:t>
      </w:r>
    </w:p>
    <w:p>
      <w:pPr>
        <w:spacing w:after="140" w:line="278"/>
        <w:jc w:val="both"/>
      </w:pPr>
      <w:r>
        <w:t xml:space="preserve">Требования сгруппированы по модулям. Если не указано иное, весь публичный контент доступен на всех поддерживаемых языках, корректно индексируется и адаптирован под мобильные устройства.</w:t>
      </w:r>
    </w:p>
    <w:p>
      <w:pPr>
        <w:pStyle w:val="Heading2"/>
      </w:pPr>
      <w:r>
        <w:t xml:space="preserve">6.1. Главная страница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В верхней части — область оповещения: при активной ЧС выводится заметный баннер с цветовой индикацией уровня опасности (Приложение Г), заголовком, кратким текстом и ссылкой на подробности; при отсутствии активных событий область скрыта или показывает статус «угроз не зарегистрировано».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Блок «Оперативная обстановка» — краткая сводка текущей ситуации и счётчики активных событий по типам.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Виджет интерактивной карты ЧС с последними событиями и ссылкой на полноэкранную карту.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Лента последних новостей и официальных сообщений (с изображениями, датами, рубриками).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Блок быстрого доступа: экстренные телефоны, основные памятки по безопасности, регистрация тургрупп, электронная приёмная.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Форма подписки на уведомления (e-mail и push) с выбором тем и региона.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Состав и порядок блоков главной страницы должны настраиваться через CMS без изменения кода.</w:t>
      </w:r>
    </w:p>
    <w:p>
      <w:pPr>
        <w:pStyle w:val="Heading2"/>
      </w:pPr>
      <w:r>
        <w:t xml:space="preserve">6.2. Оперативная информация и новостной модуль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Публикация материалов нескольких типов: новость, официальное сообщение/пресс-релиз, объявление, оперативная сводка.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Материал содержит: заголовок, краткий анонс, полный текст (визуальный редактор), обложку и галерею изображений, вложения (документы), рубрики и теги, дату публикации, автора/источник, языковые версии.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Списки материалов с пагинацией, фильтрацией по рубрике, тегу, дате и поиском; страница отдельного материала с блоком «похожие/связанные».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Поддержка отложенной публикации (по дате и времени) и снятия с публикации; статусы: черновик, на модерации, опубликовано, в архиве.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Связь материала с событием ЧС и/или регионом (для отображения на карте и в тематических лентах).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Экспорт ленты новостей в формате RSS.</w:t>
      </w:r>
    </w:p>
    <w:p>
      <w:pPr>
        <w:pStyle w:val="Heading2"/>
      </w:pPr>
      <w:r>
        <w:t xml:space="preserve">6.3. Интерактивная карта чрезвычайных ситуаций</w:t>
      </w:r>
    </w:p>
    <w:p>
      <w:pPr>
        <w:spacing w:after="140" w:line="278"/>
        <w:jc w:val="both"/>
      </w:pPr>
      <w:r>
        <w:t xml:space="preserve">Карта — ключевой модуль информирования. Используется библиотека интерактивных карт с открытыми тайлами (раздел 10.8).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Отображение событий ЧС метками с цветовой индикацией по типу и уровню опасности; кластеризация при большом числе меток и при отдалении.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Карточка события при клике: тип, статус, уровень опасности, район, краткое описание, дата/время, ссылка на связанную новость/сводку.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Переключаемые слои: типы ЧС (землетрясения, сели и паводки, наводнения, лавины, оползни, пожары, прорывы ледниковых озёр), зоны риска, расположение подразделений и пунктов Комитета.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Фильтры: по типу события, уровню опасности, региону/району, периоду времени; режим «только активные».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Привязка к административно-территориальному делению страны (области, районы) для фильтрации и адресной выборки.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Полноэкранный режим, геолокация пользователя (по согласию), адаптация под мобильные устройства и сенсорное управление.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Координаты и геометрия события задаются в CMS (точка или область) указанием на карте либо вводом координат.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Карта должна корректно работать при недоступности внешнего тайл-сервера (запасной слой/сообщение) и не блокировать остальной интерфейс.</w:t>
      </w:r>
    </w:p>
    <w:p>
      <w:pPr>
        <w:pStyle w:val="Heading2"/>
      </w:pPr>
      <w:r>
        <w:t xml:space="preserve">6.4. Система оповещений и уведомлений</w:t>
      </w:r>
    </w:p>
    <w:p>
      <w:pPr>
        <w:spacing w:after="140" w:line="278"/>
        <w:jc w:val="both"/>
      </w:pPr>
      <w:r>
        <w:t xml:space="preserve">Модуль обеспечивает доведение предупреждений и сообщений о ЧС до пользователей по нескольким каналам. Это приоритетный модуль; его работа не должна зависеть от участия разработчика.</w:t>
      </w:r>
    </w:p>
    <w:p>
      <w:pPr>
        <w:pStyle w:val="Heading3"/>
      </w:pPr>
      <w:r>
        <w:t xml:space="preserve">6.4.1. Оповещение на сайте (баннер тревоги)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Вывод баннера на всех страницах при активном оповещении; визуальное оформление соответствует уровню опасности (Приложение Г).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Несколько одновременных оповещений упорядочиваются по уровню опасности; критические — закреплены и не скрываются до отмены, информационные — могут закрываться пользователем.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Баннер содержит заголовок, краткий текст, время публикации и ссылку «подробнее»; полный текст доступен на отдельной странице.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Адресность: оповещение может быть общенациональным либо привязанным к региону/району.</w:t>
      </w:r>
    </w:p>
    <w:p>
      <w:pPr>
        <w:pStyle w:val="Heading3"/>
      </w:pPr>
      <w:r>
        <w:t xml:space="preserve">6.4.2. Push-уведомления в браузере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Подписка по явному согласию пользователя (opt-in); доставка веб-push даже при закрытой вкладке (через service worker).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Пользователь выбирает интересующие темы и регион; возможность отписаться в любой момент.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Уведомление содержит заголовок, краткий текст и ссылку на страницу события.</w:t>
      </w:r>
    </w:p>
    <w:p>
      <w:pPr>
        <w:pStyle w:val="Heading3"/>
      </w:pPr>
      <w:r>
        <w:t xml:space="preserve">6.4.3. Рассылка по электронной почте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Подписка с подтверждением адреса (double opt-in); хранение согласия и даты подписки.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Выбор тематик (типы ЧС, новости, объявления) и территории (регион/район).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Каждое письмо содержит ссылку для отписки в один клик; управление подпиской по персональной ссылке без авторизации.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Шаблоны писем с фирменным оформлением и поддержкой языка подписчика.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Массовая рассылка выполняется через очередь с регулированием скорости отправки; ведётся учёт статусов отправки и ошибок.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Отправка через корпоративный почтовый сервер Комитета по защищённому соединению (раздел 10.8).</w:t>
      </w:r>
    </w:p>
    <w:p>
      <w:pPr>
        <w:pStyle w:val="Heading3"/>
      </w:pPr>
      <w:r>
        <w:t xml:space="preserve">6.4.4. Управление оповещениями и подписчиками (в CMS)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Создание оповещения: тип, уровень опасности, заголовок и текст (на нескольких языках), территория, каналы доставки (сайт / push / e-mail), период активности.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Жизненный цикл оповещения: черновик → опубликовано → обновление → отмена/закрытие; все изменения фиксируются в журнале.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Предпросмотр и подтверждение перед массовой рассылкой; защита от случайной повторной отправки.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Реестр подписчиков и тем; статистика подписок, доставок и отписок; экспорт сводных данных.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Возможное расширение каналов (например, мессенджеры/SMS) предусматривается архитектурно (раздел 10) без переработки модуля.</w:t>
      </w:r>
    </w:p>
    <w:p>
      <w:pPr>
        <w:pStyle w:val="Heading2"/>
      </w:pPr>
      <w:r>
        <w:t xml:space="preserve">6.5. Памятки и материалы по безопасности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Каталог памяток и правил поведения, сгруппированных по типам угроз; страница памятки с иллюстрациями, пошаговыми инструкциями и вложениями для скачивания/печати.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Отдельный раздел просветительских и обучающих материалов, в том числе для детей и школ.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Возможность распечатать памятку и скачать в виде файла; оптимизация под мобильные устройства.</w:t>
      </w:r>
    </w:p>
    <w:p>
      <w:pPr>
        <w:pStyle w:val="Heading2"/>
      </w:pPr>
      <w:r>
        <w:t xml:space="preserve">6.6. Регистрация туристских групп и маршрутов</w:t>
      </w:r>
    </w:p>
    <w:p>
      <w:pPr>
        <w:spacing w:after="140" w:line="278"/>
        <w:jc w:val="both"/>
      </w:pPr>
      <w:r>
        <w:t xml:space="preserve">Сервис учитывает специфику горного туризма Республики Таджикистан и связан с горноспасательной службой Комитета.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Форма подачи заявки: сведения о группе и руководителе, контактные данные, маршрут и его география, даты выхода и возвращения, число участников, снаряжение/особенности.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Привязка маршрута к карте (точки/трек) и к региону для оценки рисков.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Уведомление заявителя о приёме заявки; обработка и согласование заявок сотрудниками через CMS со статусами.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Защита персональных данных заявителей (раздел 12); хранение и обработка только уполномоченными сотрудниками.</w:t>
      </w:r>
    </w:p>
    <w:p>
      <w:pPr>
        <w:pStyle w:val="Heading2"/>
      </w:pPr>
      <w:r>
        <w:t xml:space="preserve">6.7. Обращения граждан (электронная приёмная)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Форма обращения: тема, текст, контактные данные, вложения; классификатор тем/категорий.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Защита от автоматических отправок (антиспам/проверка «человек»), ограничение частоты отправки с одного адреса.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Подтверждение приёма обращения и присвоение регистрационного номера для отслеживания статуса.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Обработка обращений в CMS: назначение ответственного, статусы, внутренние комментарии, фиксация сроков рассмотрения.</w:t>
      </w:r>
    </w:p>
    <w:p>
      <w:pPr>
        <w:pStyle w:val="Heading2"/>
      </w:pPr>
      <w:r>
        <w:t xml:space="preserve">6.8. Документы и законодательство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Реестр документов с рубриками (законодательство, нормативные акты, ведомственные документы, планы, отчёты, формы/бланки).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Карточка документа: наименование, тип, дата, орган/источник, краткое описание, файл(ы) для скачивания, языковые версии.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Поиск и фильтрация по типу, дате и ключевым словам; отображение размера и формата файла.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Поддерживаемые форматы вложений и ограничения по размеру задаются в настройках (раздел 12 — проверка типов файлов).</w:t>
      </w:r>
    </w:p>
    <w:p>
      <w:pPr>
        <w:pStyle w:val="Heading2"/>
      </w:pPr>
      <w:r>
        <w:t xml:space="preserve">6.9. Контакты и экстренные телефоны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Общие реквизиты и контакты Комитета; единый телефон доверия и экстренные номера, выделенные визуально и доступные с любой страницы.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Контакты региональных управлений (Душанбе, Согдийская и Хатлонская области, ГБАО).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Карта проезда к зданию Комитета и форма обратной связи.</w:t>
      </w:r>
    </w:p>
    <w:p>
      <w:pPr>
        <w:pStyle w:val="Heading2"/>
      </w:pPr>
      <w:r>
        <w:t xml:space="preserve">6.10. Поиск по сайту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Полнотекстовый поиск по новостям, документам, памяткам и страницам с учётом языка интерфейса.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Страница результатов с подсветкой совпадений, фильтрами по типу контента и пагинацией; корректная обработка запросов на таджикском и русском языках.</w:t>
      </w:r>
    </w:p>
    <w:p>
      <w:pPr>
        <w:pStyle w:val="Heading2"/>
      </w:pPr>
      <w:r>
        <w:t xml:space="preserve">6.11. Версия для слабовидящих (доступность)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Отдельный режим отображения: увеличенный шрифт, настройка размера и контрастности (в т. ч. чёрно-белая/высококонтрастная схема), отключение второстепенной графики.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Полная навигация с клавиатуры, корректные альтернативные подписи к изображениям, семантическая разметка, совместимость с программами экранного доступа.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Соответствие рекомендациям WCAG уровня AA (раздел 11.7).</w:t>
      </w:r>
    </w:p>
    <w:p>
      <w:pPr>
        <w:pStyle w:val="Heading2"/>
      </w:pPr>
      <w:r>
        <w:t xml:space="preserve">6.12. Прочие требования публичной части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Интеграция с официальными аккаунтами в социальных сетях (ссылки и, при необходимости, виджеты, не нарушающие требований к данным и скорости).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Корректное отображение при предпросмотре ссылок в мессенджерах и соцсетях (мета-теги Open Graph).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Версии страниц для печати ключевых материалов (памятки, документы).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Страницы ошибок (404, 5xx) в фирменном оформлении с навигацией и ссылками на экстренные телефоны.</w:t>
      </w:r>
    </w:p>
    <w:p>
      <w:pPr>
        <w:pStyle w:val="Heading1"/>
      </w:pPr>
      <w:r>
        <w:t xml:space="preserve">7. Система управления контентом (CMS)</w:t>
      </w:r>
    </w:p>
    <w:p>
      <w:pPr>
        <w:spacing w:after="140" w:line="278"/>
        <w:jc w:val="both"/>
      </w:pPr>
      <w:r>
        <w:t xml:space="preserve">CMS — встроенная административная часть Системы, разрабатываемая на том же стеке (раздел 10). Готовые внешние CMS не используются: административная панель проектируется под процессы Комитета. Все операции выполняются без навыков программирования.</w:t>
      </w:r>
    </w:p>
    <w:p>
      <w:pPr>
        <w:pStyle w:val="Heading2"/>
      </w:pPr>
      <w:r>
        <w:t xml:space="preserve">7.1. Общие требования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Вход в CMS — только для авторизованных сотрудников по защищённому соединению, с разграничением прав по ролям (раздел 8) и обязательной двухфакторной аутентификацией для администраторов.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Единая панель управления со списками объектов, поиском, фильтрами, массовыми операциями и понятными формами редактирования.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Локализация интерфейса CMS (русский — обязательно).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Подтверждение опасных операций (удаление, рассылка, снятие с публикации); «мягкое удаление» с возможностью восстановления для ключевых сущностей.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Адаптивность административной панели для работы с планшета.</w:t>
      </w:r>
    </w:p>
    <w:p>
      <w:pPr>
        <w:pStyle w:val="Heading2"/>
      </w:pPr>
      <w:r>
        <w:t xml:space="preserve">7.2. Управление контентом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Управление страницами, новостями/сообщениями, памятками, документами, баннерами и блоками главной страницы.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Визуальный редактор текста с поддержкой заголовков, списков, ссылок, таблиц, изображений и вставок (галерея, файл, карта, видео); безопасная обработка вводимого содержимого.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Управление статусами (черновик, на модерации, опубликовано, архив), отложенная публикация, предпросмотр на сайте до публикации.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Поля СЕО для каждого материала (заголовок, описание, изображение для соцсетей, ЧПУ-адрес).</w:t>
      </w:r>
    </w:p>
    <w:p>
      <w:pPr>
        <w:pStyle w:val="Heading2"/>
      </w:pPr>
      <w:r>
        <w:t xml:space="preserve">7.3. Компоновка страниц (блочный конструктор)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Сборка типовых страниц из готовых блоков (текст, изображение/галерея, список новостей, виджет карты, призыв к действию, аккордеон, таблица, контактный блок) с изменением порядка.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Управление наполнением и порядком блоков главной страницы (раздел 6.1) без изменения кода.</w:t>
      </w:r>
    </w:p>
    <w:p>
      <w:pPr>
        <w:pStyle w:val="Heading2"/>
      </w:pPr>
      <w:r>
        <w:t xml:space="preserve">7.4. Управление событиями ЧС и картой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Создание и редактирование событий ЧС: тип, статус, уровень опасности, регион/район, описание, дата/время, координаты или область на карте, связанные материалы.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Выбор местоположения указанием точки/области на карте или вводом координат; управление слоями и зонами риска.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Изменение статуса события (активно / под контролем / завершено) с отражением на карте и в лентах.</w:t>
      </w:r>
    </w:p>
    <w:p>
      <w:pPr>
        <w:pStyle w:val="Heading2"/>
      </w:pPr>
      <w:r>
        <w:t xml:space="preserve">7.5. Управление оповещениями и рассылками</w:t>
      </w:r>
    </w:p>
    <w:p>
      <w:pPr>
        <w:spacing w:after="140" w:line="278"/>
        <w:jc w:val="both"/>
      </w:pPr>
      <w:r>
        <w:t xml:space="preserve">Реализуется согласно п. 6.4.4: создание и сопровождение оповещений, предпросмотр и подтверждение рассылки, управление подписчиками и темами, статистика доставки.</w:t>
      </w:r>
    </w:p>
    <w:p>
      <w:pPr>
        <w:pStyle w:val="Heading2"/>
      </w:pPr>
      <w:r>
        <w:t xml:space="preserve">7.6. Модерация обращений и заявок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Единые очереди обработки обращений граждан и заявок на регистрацию тургрупп: назначение ответственного, статусы, внутренние комментарии, контроль сроков.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Выгрузка реестров обращений и заявок за период.</w:t>
      </w:r>
    </w:p>
    <w:p>
      <w:pPr>
        <w:pStyle w:val="Heading2"/>
      </w:pPr>
      <w:r>
        <w:t xml:space="preserve">7.7. Медиа-библиотека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Централизованное хранилище изображений, документов и видео с загрузкой, поиском, рубриками и повторным использованием в материалах.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Автоматическая подготовка изображений (миниатюры/адаптивные размеры), указание альтернативного текста; проверка типов и размеров файлов.</w:t>
      </w:r>
    </w:p>
    <w:p>
      <w:pPr>
        <w:pStyle w:val="Heading2"/>
      </w:pPr>
      <w:r>
        <w:t xml:space="preserve">7.8. Управление навигацией и меню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Редактор меню (верхнее меню, подвал и др.): создание пунктов, вложенность, порядок, ссылки на разделы/материалы/внешние адреса, видимость по языкам.</w:t>
      </w:r>
    </w:p>
    <w:p>
      <w:pPr>
        <w:pStyle w:val="Heading2"/>
      </w:pPr>
      <w:r>
        <w:t xml:space="preserve">7.9. Управление мультиязычным контентом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Для каждого материала — отдельные языковые версии в единой карточке; индикатор наличия перевода и статуса (переведено/требует перевода).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Возможность публиковать языковые версии независимо; корректная обработка отсутствующего перевода (раздел 14).</w:t>
      </w:r>
    </w:p>
    <w:p>
      <w:pPr>
        <w:pStyle w:val="Heading2"/>
      </w:pPr>
      <w:r>
        <w:t xml:space="preserve">7.10. Журнал аудита и история изменений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Журналирование значимых действий в CMS: кто, что и когда изменил, опубликовал, удалил, разослал.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История версий ключевых материалов с возможностью просмотра и отката к предыдущей версии.</w:t>
      </w:r>
    </w:p>
    <w:p>
      <w:pPr>
        <w:pStyle w:val="Heading2"/>
      </w:pPr>
      <w:r>
        <w:t xml:space="preserve">7.11. Пользователи, роли и настройки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Управление учётными записями сотрудников: создание, блокировка, сброс пароля, назначение ролей; политика паролей и 2FA (раздел 12).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Управление ролями и правами (раздел 8).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Системные настройки: реквизиты и контакты, экстренные телефоны, параметры почты и каналов оповещения, языки, СЕО- и интеграционные параметры — редактируются без изменения кода.</w:t>
      </w:r>
    </w:p>
    <w:p>
      <w:pPr>
        <w:pStyle w:val="Heading1"/>
      </w:pPr>
      <w:r>
        <w:t xml:space="preserve">8. Ролевая модель и разграничение доступа</w:t>
      </w:r>
    </w:p>
    <w:p>
      <w:pPr>
        <w:spacing w:after="140" w:line="278"/>
        <w:jc w:val="both"/>
      </w:pPr>
      <w:r>
        <w:t xml:space="preserve">Доступ к CMS строится по модели RBAC с соблюдением принципа наименьших привилегий: каждой роли выдаётся только необходимый набор прав. Права назначаются на уровне отдельных разрешений; роли — это именованные наборы разрешений, которые можно корректировать.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6476"/>
      </w:tblGrid>
      <w:tr>
        <w:trPr>
          <w:tblHeader/>
        </w:trP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Роль</w:t>
            </w:r>
          </w:p>
        </w:tc>
        <w:tc>
          <w:tcPr>
            <w:tcW w:type="dxa" w:w="64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Зона ответственности и права</w:t>
            </w:r>
          </w:p>
        </w:tc>
      </w:tr>
      <w:t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Суперадминистратор</w:t>
            </w:r>
          </w:p>
        </w:tc>
        <w:tc>
          <w:tcPr>
            <w:tcW w:type="dxa" w:w="64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Полный доступ, включая управление пользователями, ролями, системными настройками и интеграциями. Назначается ограниченному кругу лиц.</w:t>
            </w:r>
          </w:p>
        </w:tc>
      </w:tr>
      <w:t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Администратор</w:t>
            </w:r>
          </w:p>
        </w:tc>
        <w:tc>
          <w:tcPr>
            <w:tcW w:type="dxa" w:w="64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Управление контентом, структурой, меню и большинством настроек; управление пользователями в пределах, заданных суперадминистратором; без доступа к критическим системным параметрам.</w:t>
            </w:r>
          </w:p>
        </w:tc>
      </w:tr>
      <w:t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Редактор (контент-менеджер)</w:t>
            </w:r>
          </w:p>
        </w:tc>
        <w:tc>
          <w:tcPr>
            <w:tcW w:type="dxa" w:w="64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Создание, редактирование и публикация новостей, страниц, памяток, документов и медиа; работа с языковыми версиями. Без доступа к пользователям и системным настройкам.</w:t>
            </w:r>
          </w:p>
        </w:tc>
      </w:tr>
      <w:t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Оператор ЧС (дежурный)</w:t>
            </w:r>
          </w:p>
        </w:tc>
        <w:tc>
          <w:tcPr>
            <w:tcW w:type="dxa" w:w="64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Создание и сопровождение событий ЧС и оповещений, запуск рассылок, управление картой событий. Приоритетная роль режима ЧС.</w:t>
            </w:r>
          </w:p>
        </w:tc>
      </w:tr>
      <w:t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Модератор обращений</w:t>
            </w:r>
          </w:p>
        </w:tc>
        <w:tc>
          <w:tcPr>
            <w:tcW w:type="dxa" w:w="64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Обработка обращений граждан и заявок на регистрацию тургрупп; без доступа к публикации контента и настройкам.</w:t>
            </w:r>
          </w:p>
        </w:tc>
      </w:tr>
      <w:t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Наблюдатель (аналитик)</w:t>
            </w:r>
          </w:p>
        </w:tc>
        <w:tc>
          <w:tcPr>
            <w:tcW w:type="dxa" w:w="64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Доступ только на чтение: просмотр контента, статистики и журналов без права изменения.</w:t>
            </w:r>
          </w:p>
        </w:tc>
      </w:tr>
    </w:tbl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Набор ролей и разрешений настраивается через CMS; возможно создание дополнительных ролей.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Действия, выполняемые в каждой роли, фиксируются в журнале аудита (п. 7.10).</w:t>
      </w:r>
    </w:p>
    <w:p>
      <w:pPr>
        <w:pStyle w:val="Heading1"/>
      </w:pPr>
      <w:r>
        <w:t xml:space="preserve">9. Модель данных</w:t>
      </w:r>
    </w:p>
    <w:p>
      <w:pPr>
        <w:spacing w:after="140" w:line="278"/>
        <w:jc w:val="both"/>
      </w:pPr>
      <w:r>
        <w:t xml:space="preserve">Данные хранятся в реляционной СУБД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MySQL</w:t>
      </w:r>
      <w:r>
        <w:t xml:space="preserve"> и описываются через ORM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Eloquent</w:t>
      </w:r>
      <w:r>
        <w:t xml:space="preserve">. Схема нормализована; многоязычность реализуется отдельными таблицами переводов (связь «запись → переводы по языкам»). Ниже приведён перечень основных сущностей; полный перечень с уточнениями — в Приложении Б. Точная структура полей и миграций детализируется на этапе проектирования.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3650"/>
        <w:gridCol w:w="2926"/>
      </w:tblGrid>
      <w:tr>
        <w:trPr>
          <w:tblHeader/>
        </w:trP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Сущность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Ключевые поля и связи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Учётные записи сотрудников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ФИО, e-mail, пароль (хеш), 2FA, статус; связь с ролями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roles, permissions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Роли и разрешения (RBAC)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название, набор разрешений; связи многие-ко-многим с users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pages / page_translations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Статические страницы и их переводы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родитель, ЧПУ, статус; перевод: язык, заголовок, контент, СЕО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posts / post_translations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Новости, сообщения, объявления, сводки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тип, рубрика, дата, автор, обложка; перевод: язык, заголовок, анонс, текст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categories, tags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Рубрики и теги материалов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название, ЧПУ; связи с posts/documents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incidents / incident_translations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События ЧС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тип, статус, уровень опасности, регион/район, дата, геометрия; перевод: заголовок, описание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incident_types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Справочник типов ЧС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код, название, цвет/иконка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regions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Административно-территориальное деление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область/район, родитель, геокод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alerts / alert_translations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Оповещения о ЧС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уровень, каналы, регион, период активности, статус; перевод: заголовок, текст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subscribers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Подписчики рассылки и push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адрес/токен, язык, статус подтверждения, дата согласия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subscription_topics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Темы и территории подписки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тема, регион; связи с subscribers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notifications_log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Журнал доставки уведомлений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канал, статус, время, ошибка; связь с alert/subscriber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documents / document_translations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Реестр документов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тип, дата, источник, файлы; перевод: название, описание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Медиа-библиотека (файлы, изображения, видео)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путь, тип, размер, alt; полиморфные связи с материалами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menus, menu_items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Меню и пункты навигации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позиция, родитель, порядок, ссылка, видимость по языкам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appeals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Обращения граждан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тема, текст, контакты, вложения, статус, ответственный, рег. номер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tourist_groups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Заявки на регистрацию тургрупп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руководитель, участники, маршрут/геометрия, даты, статус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settings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Системные настройки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ключ, значение (в т. ч. по языкам)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audit_logs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Журнал действий в CMS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пользователь, действие, объект, время, данные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sessions, password_resets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Сессии и сброс паролей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служебные таблицы аутентификации</w:t>
            </w:r>
          </w:p>
        </w:tc>
      </w:tr>
    </w:tbl>
    <w:p>
      <w:pPr>
        <w:spacing w:after="120" w:before="60" w:line="252"/>
      </w:pPr>
      <w:r>
        <w:rPr>
          <w:i/>
          <w:iCs/>
          <w:color w:val="808080"/>
          <w:sz w:val="17"/>
          <w:szCs w:val="17"/>
        </w:rPr>
        <w:t xml:space="preserve">Наименования таблиц приведены ориентировочно и уточняются при проектировании; обязательным является сам состав сущностей и связей.</w:t>
      </w:r>
    </w:p>
    <w:p>
      <w:pPr>
        <w:pStyle w:val="Heading1"/>
      </w:pPr>
      <w:r>
        <w:t xml:space="preserve">10. Технологический стек и архитектура</w:t>
      </w:r>
    </w:p>
    <w:p>
      <w:pPr>
        <w:pStyle w:val="Heading2"/>
      </w:pPr>
      <w:r>
        <w:t xml:space="preserve">10.1. Технологический стек</w:t>
      </w:r>
    </w:p>
    <w:p>
      <w:pPr>
        <w:spacing w:after="140" w:line="278"/>
        <w:jc w:val="both"/>
      </w:pPr>
      <w:r>
        <w:t xml:space="preserve">Стек согласован с заказчиком и обеспечивает единую кодовую базу для серверной части и CMS, современный интерфейс и долгосрочную поддерживаемость. Указанные версии являются минимально допустимыми («или новее»).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926"/>
      </w:tblGrid>
      <w:tr>
        <w:trPr>
          <w:tblHeader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Уровень / назначение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Технология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Язык серверной части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PHP 8.2 или новее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Серверный фреймворк / CMS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Laravel (актуальная стабильная версия)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MySQL 8 или новее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Связующий слой клиент-сервер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Inertia.js (без отдельного REST/SPA-роутинга для публичной части)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Клиентская часть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18 + TypeScript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Стилизация и UI-компоненты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Tailwind CSS + shadcn/ui (на базе Radix UI), иконки lucide-react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Сборка ресурсов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Vite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Кэш, очереди, сессии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Уведомления в реальном времени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Laravel Reverb (WebSockets) + Laravel Echo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Интерактивные карты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MapLibre GL JS или Leaflet с открытыми тайлами (OSM-совместимыми)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Электронная почта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Laravel Mail через корпоративный SMTP-сервер Комитета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Полнотекстовый поиск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Полнотекстовый поиск MySQL; при необходимости — Laravel Scout с подключаемым движком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Веб-аналитика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Self-hosted Matomo на инфраструктуре Комитета (вместо внешних счётчиков)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Веб-сервер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Nginx + PHP-FPM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Контейнеризация и обслуживание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 / Docker Compose; Supervisor для обработчиков очередей</w:t>
            </w:r>
          </w:p>
        </w:tc>
      </w:tr>
    </w:tbl>
    <w:p>
      <w:pPr>
        <w:pStyle w:val="Heading2"/>
      </w:pPr>
      <w:r>
        <w:t xml:space="preserve">10.2. Архитектура приложения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Монолитное приложение на Laravel с серверным рендерингом через Inertia.js: контроллеры передают данные в React-страницы; публичная часть не требует отдельного клиентского роутинга и дублирующего REST API.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Слоистая организация кода: контроллеры — тонкие; бизнес-логика выносится в сервисы/действия; доступ к данным — через модели Eloquent и репозитории/запросы; валидация — через form requests.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Модульное разделение по предметным областям (новости, ЧС, карта, оповещения, документы, обращения, тургруппы, пользователи), что упрощает поэтапную разработку и расширение.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CMS и публичная часть используют общую кодовую базу и модели, но разделены по маршрутам, разрешениям и интерфейсу.</w:t>
      </w:r>
    </w:p>
    <w:p>
      <w:pPr>
        <w:pStyle w:val="Heading2"/>
      </w:pPr>
      <w:r>
        <w:t xml:space="preserve">10.3. Серверный рендеринг и SEO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Включён серверный рендеринг Inertia (SSR) для публичных страниц — для индексации поисковыми системами и быстрой первой отрисовки.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Семантическая разметка, корректные мета-теги и адреса (ЧПУ) формируются на сервере (раздел 15).</w:t>
      </w:r>
    </w:p>
    <w:p>
      <w:pPr>
        <w:pStyle w:val="Heading2"/>
      </w:pPr>
      <w:r>
        <w:t xml:space="preserve">10.4. Очереди и фоновые задачи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Длительные операции выполняются асинхронно через очереди (драйвер Redis): массовые e-mail- и push-рассылки, обработка изображений, импорт/экспорт, отправка подтверждений.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Обработчики очередей работают под управлением Supervisor; предусмотрены повторные попытки и контроль неуспешных заданий.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Регламентные задачи (очистка, дайджесты, обслуживание) выполняются планировщиком Laravel.</w:t>
      </w:r>
    </w:p>
    <w:p>
      <w:pPr>
        <w:pStyle w:val="Heading2"/>
      </w:pPr>
      <w:r>
        <w:t xml:space="preserve">10.5. Уведомления в реальном времени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Публикация и обновление оповещения о ЧС немедленно отражается у посетителей сайта без перезагрузки страницы — через широковещательные события (Laravel Reverb + Echo).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Механизм реального времени применяется для баннера тревоги и обновления счётчиков оперативной обстановки; при недоступности канала интерфейс корректно переходит на периодическое обновление.</w:t>
      </w:r>
    </w:p>
    <w:p>
      <w:pPr>
        <w:pStyle w:val="Heading2"/>
      </w:pPr>
      <w:r>
        <w:t xml:space="preserve">10.6. Кэширование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Кэширование часто запрашиваемых данных и страниц в Redis для устойчивости к пиковым нагрузкам (раздел 13).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Корректная инвалидация кэша при публикации/изменении материалов; оповещения о ЧС не должны задерживаться кэшированием.</w:t>
      </w:r>
    </w:p>
    <w:p>
      <w:pPr>
        <w:pStyle w:val="Heading2"/>
      </w:pPr>
      <w:r>
        <w:t xml:space="preserve">10.7. Хранение файлов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Работа с файлами — через файловую абстракцию Laravel; хранилище размещается на инфраструктуре Комитета (локальное хранилище или совместимое с S3 объектное хранилище, например MinIO).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Внешние потребительские облачные сервисы для официальных материалов не используются (раздел 12, информационный суверенитет).</w:t>
      </w:r>
    </w:p>
    <w:p>
      <w:pPr>
        <w:pStyle w:val="Heading2"/>
      </w:pPr>
      <w:r>
        <w:t xml:space="preserve">10.8. Интеграции и внешние сервисы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926"/>
      </w:tblGrid>
      <w:tr>
        <w:trPr>
          <w:tblHeader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Интеграция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Картографические тайлы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Открытые (OSM-совместимые) тайлы; предусмотреть возможность размещения собственного тайл-сервера для независимости от внешних провайдеров.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Электронная почта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Отправка через корпоративный SMTP-сервер Комитета по защищённому соединению; поддержка подписи (SPF/DKIM/DMARC) на стороне почтовой инфраструктуры.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 push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Стандартный механизм веб-push (через service worker) с хранением согласий и токенов.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SMS-шлюз (опционально)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Архитектурная готовность к подключению национального SMS-шлюза как дополнительного канала оповещения.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Мессенджеры (опционально)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Архитектурная готовность к публикации оповещений в официальный канал мессенджера.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Гидрометеоданные (опционально)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Возможность подключения внешних источников данных о погоде/гидрологии при их наличии у Комитета.</w:t>
            </w:r>
          </w:p>
        </w:tc>
      </w:tr>
    </w:tbl>
    <w:p>
      <w:pPr>
        <w:spacing w:after="120" w:before="60" w:line="252"/>
      </w:pPr>
      <w:r>
        <w:rPr>
          <w:i/>
          <w:iCs/>
          <w:color w:val="808080"/>
          <w:sz w:val="17"/>
          <w:szCs w:val="17"/>
        </w:rPr>
        <w:t xml:space="preserve">Опциональные интеграции не входят в обязательный объём первого этапа, но должны быть предусмотрены архитектурой без переработки модулей.</w:t>
      </w:r>
    </w:p>
    <w:p>
      <w:pPr>
        <w:pStyle w:val="Heading2"/>
      </w:pPr>
      <w:r>
        <w:t xml:space="preserve">10.9. Внутренний API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Серверная часть предоставляет защищённый внутренний API (например, для будущего мобильного приложения и интеграций): аутентификация по токенам, версионирование, ограничение частоты запросов.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API документируется (раздел 18).</w:t>
      </w:r>
    </w:p>
    <w:p>
      <w:pPr>
        <w:pStyle w:val="Heading2"/>
      </w:pPr>
      <w:r>
        <w:t xml:space="preserve">10.10. Стандарты разработки и качество кода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Соблюдение стандартов кодирования (PSR для PHP; единый стиль для TypeScript/React — ESLint/Prettier); типобезопасность на клиенте за счёт TypeScript.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Версионный контроль (Git), ветвление и обязательный код-ревью; автоматические проверки стиля и тестов в конвейере (раздел 16).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Покрытие ключевой логики автоматическими тестами (раздел 18).</w:t>
      </w:r>
    </w:p>
    <w:p>
      <w:pPr>
        <w:pStyle w:val="Heading1"/>
      </w:pPr>
      <w:r>
        <w:t xml:space="preserve">11. Требования к интерфейсу и дизайну (UI/UX)</w:t>
      </w:r>
    </w:p>
    <w:p>
      <w:pPr>
        <w:pStyle w:val="Heading2"/>
      </w:pPr>
      <w:r>
        <w:t xml:space="preserve">11.1. Общие принципы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Строгий, официальный и доверительный облик государственного ресурса; чистая типографика и достаточное «воздушное» пространство; отсутствие визуального шума.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Приоритет ясности и скорости получения критической информации: оперативная обстановка, оповещения и экстренные телефоны должны быть заметны и достижимы за минимальное число действий.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Единый визуальный язык публичной части и CMS на основе общей библиотеки компонентов.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Простота для неподготовленного пользователя и корректная работа на недорогих мобильных устройствах.</w:t>
      </w:r>
    </w:p>
    <w:p>
      <w:pPr>
        <w:pStyle w:val="Heading2"/>
      </w:pPr>
      <w:r>
        <w:t xml:space="preserve">11.2. Цветовая схема</w:t>
      </w:r>
    </w:p>
    <w:p>
      <w:pPr>
        <w:spacing w:after="140" w:line="278"/>
        <w:jc w:val="both"/>
      </w:pPr>
      <w:r>
        <w:t xml:space="preserve">Цветовое решение основано на международно узнаваемой палитре служб гражданской защиты и обеспечивает функциональную индикацию угроз. Точные значения и сопоставление с дизайн-токенами — в Приложении В; уровни опасности — в Приложении Г.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rPr>
          <w:b/>
          <w:bCs/>
        </w:rPr>
        <w:t xml:space="preserve">Основной цвет — глубокий синий. </w:t>
      </w:r>
      <w:r>
        <w:t xml:space="preserve">Передаёт надёжность, государственность и спокойствие; используется в шапке, навигации и основных акцентах.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rPr>
          <w:b/>
          <w:bCs/>
        </w:rPr>
        <w:t xml:space="preserve">Сигнальный цвет — оранжевый. </w:t>
      </w:r>
      <w:r>
        <w:t xml:space="preserve">Традиционный цвет служб спасения и гражданской защиты; используется для ключевых действий, выделений и привлечения внимания, но дозированно.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rPr>
          <w:b/>
          <w:bCs/>
        </w:rPr>
        <w:t xml:space="preserve">Семантические цвета уровней опасности. </w:t>
      </w:r>
      <w:r>
        <w:t xml:space="preserve">Зелёный → жёлтый → оранжевый → красный — интуитивно понятная шкала угрозы для баннеров, меток на карте и статусов событий (Приложение Г).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rPr>
          <w:b/>
          <w:bCs/>
        </w:rPr>
        <w:t xml:space="preserve">Нейтральная палитра. </w:t>
      </w:r>
      <w:r>
        <w:t xml:space="preserve">Сдержанные серо-графитовые оттенки для текста, фонов и границ; высокий контраст текста к фону.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rPr>
          <w:b/>
          <w:bCs/>
        </w:rPr>
        <w:t xml:space="preserve">Доступность цвета. </w:t>
      </w:r>
      <w:r>
        <w:t xml:space="preserve">Цвет не является единственным носителем смысла: уровни опасности дублируются текстом и значком; контраст соответствует требованиям доступности (п. 11.7).</w:t>
      </w:r>
    </w:p>
    <w:p>
      <w:pPr>
        <w:pStyle w:val="Heading2"/>
      </w:pPr>
      <w:r>
        <w:t xml:space="preserve">11.3. Типографика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Шрифт без засечек с полной поддержкой кириллицы (русский и таджикский) и латиницы; единая типографская шкала размеров и межстрочных интервалов.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Чёткая иерархия заголовков и текста; комфортная длина строки и размер шрифта для чтения с мобильных устройств.</w:t>
      </w:r>
    </w:p>
    <w:p>
      <w:pPr>
        <w:pStyle w:val="Heading2"/>
      </w:pPr>
      <w:r>
        <w:t xml:space="preserve">11.4. Сетка, адаптивность, mobile-first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Проектирование «mobile-first»; корректное отображение на смартфонах, планшетах и десктопах (адаптивные контрольные точки).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Резиновая сетка, адаптивные изображения и таблицы; удобные размеры элементов управления для сенсорного ввода.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Производительность интерфейса: оптимизация изображений и ресурсов, ленивая загрузка второстепенных блоков (раздел 13).</w:t>
      </w:r>
    </w:p>
    <w:p>
      <w:pPr>
        <w:pStyle w:val="Heading2"/>
      </w:pPr>
      <w:r>
        <w:t xml:space="preserve">11.5. Компонентная база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Библиотека компонентов на основе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shadcn/ui</w:t>
      </w:r>
      <w:r>
        <w:t xml:space="preserve"> (Radix UI) и Tailwind CSS: кнопки, формы и поля, модальные окна, вкладки, аккордеоны, уведомления (toast), таблицы, пагинация, хлебные крошки, бейджи статусов, карточки.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Дизайн-токены (цвета, радиусы, тени, типографика) задаются централизованно (Приложение В) и единообразно применяются на сайте и в CMS.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Компоненты доступны с клавиатуры и снабжены корректными атрибутами доступности.</w:t>
      </w:r>
    </w:p>
    <w:p>
      <w:pPr>
        <w:pStyle w:val="Heading2"/>
      </w:pPr>
      <w:r>
        <w:t xml:space="preserve">11.6. Индикация тревоги и уровней опасности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Баннер оповещения, метки на карте и статусы событий используют единую цветовую шкалу уровней опасности (Приложение Г) с дублированием текстом и значком.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Критические оповещения визуально доминируют, но не нарушают доступность (контраст, отсутствие мерцающей анимации).</w:t>
      </w:r>
    </w:p>
    <w:p>
      <w:pPr>
        <w:pStyle w:val="Heading2"/>
      </w:pPr>
      <w:r>
        <w:t xml:space="preserve">11.7. Доступность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Соответствие рекомендациям WCAG 2.1 уровня AA: контраст текста, навигация с клавиатуры, видимый фокус, корректные подписи и роли элементов, альтернативный текст изображений.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Наличие версии для слабовидящих (п. 6.11) и совместимость с программами экранного доступа.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Семантический HTML, корректная структура заголовков, поддержка масштабирования страницы без потери содержимого.</w:t>
      </w:r>
    </w:p>
    <w:p>
      <w:pPr>
        <w:pStyle w:val="Heading1"/>
      </w:pPr>
      <w:r>
        <w:t xml:space="preserve">12. Требования к безопасности и защите информации</w:t>
      </w:r>
    </w:p>
    <w:p>
      <w:pPr>
        <w:spacing w:after="140" w:line="278"/>
        <w:jc w:val="both"/>
      </w:pPr>
      <w:r>
        <w:t xml:space="preserve">Как официальный государственный ресурс, Система должна обеспечивать высокий уровень защиты. Требования ниже обязательны и проверяются при приёмке, включая аудит безопасности (раздел 18).</w:t>
      </w:r>
    </w:p>
    <w:p>
      <w:pPr>
        <w:pStyle w:val="Heading2"/>
      </w:pPr>
      <w:r>
        <w:t xml:space="preserve">12.1. Защищённое соединение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Вся работа — только по HTTPS/TLS; автоматическое перенаправление с HTTP; включение HSTS; актуальные версии протоколов и шифров.</w:t>
      </w:r>
    </w:p>
    <w:p>
      <w:pPr>
        <w:pStyle w:val="Heading2"/>
      </w:pPr>
      <w:r>
        <w:t xml:space="preserve">12.2. Защита от типовых веб-угроз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Защита от SQL-инъекций за счёт параметризованных запросов и ORM Eloquent; запрет небезопасной конкатенации запросов.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Защита от XSS: экранирование вывода, безопасная обработка и «очистка» содержимого визуального редактора.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Защита от CSRF штатными механизмами фреймворка для всех изменяющих операций.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Защита от кликджекинга и MIME-sniffing; настройка заголовков безопасности (CSP, X-Frame-Options, X-Content-Type-Options, Referrer-Policy и др.).</w:t>
      </w:r>
    </w:p>
    <w:p>
      <w:pPr>
        <w:pStyle w:val="Heading2"/>
      </w:pPr>
      <w:r>
        <w:t xml:space="preserve">12.3. Аутентификация и управление доступом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Хранение паролей только в виде криптографических хешей (bcrypt/argon2); политика сложности и срока действия паролей.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Обязательная двухфакторная аутентификация для администраторов и операторов ЧС.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Защита от подбора: ограничение числа попыток входа, временная блокировка, фиксация попыток.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Безопасные сессии (флаги cookie, тайм-аут бездействия, корректный выход); разграничение доступа по ролям и политикам (раздел 8).</w:t>
      </w:r>
    </w:p>
    <w:p>
      <w:pPr>
        <w:pStyle w:val="Heading2"/>
      </w:pPr>
      <w:r>
        <w:t xml:space="preserve">12.4. Загрузка файлов и формы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Проверка типа и размера загружаемых файлов; запрет исполняемых файлов; хранение вне общедоступного каталога и раздача через контролируемые маршруты.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Антиспам-защита и ограничение частоты отправки публичных форм (обращения, подписка, регистрация тургрупп).</w:t>
      </w:r>
    </w:p>
    <w:p>
      <w:pPr>
        <w:pStyle w:val="Heading2"/>
      </w:pPr>
      <w:r>
        <w:t xml:space="preserve">12.5. Защита персональных данных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Минимизация собираемых данных; доступ к персональным данным (обращения, заявки тургрупп, подписчики) — только уполномоченным сотрудникам по ролям.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Фиксация согласия на обработку данных и на рассылку; возможность отписки и удаления данных подписчика.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Защита передаваемых данных шифрованием канала; защищённое хранение секретов и ключей (вне репозитория).</w:t>
      </w:r>
    </w:p>
    <w:p>
      <w:pPr>
        <w:pStyle w:val="Heading2"/>
      </w:pPr>
      <w:r>
        <w:t xml:space="preserve">12.6. Инфраструктурная безопасность и суверенитет данных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Размещение Системы и всех данных на инфраструктуре, контролируемой Комитетом; отказ от обязательных внешних сервисов аналитики и хранения файлов.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Сетевая защита: межсетевое экранирование, меры противодействия DDoS, по возможности — межсетевой экран уровня приложений (WAF).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Регулярное обновление зависимостей и устранение известных уязвимостей; контроль уязвимостей библиотек.</w:t>
      </w:r>
    </w:p>
    <w:p>
      <w:pPr>
        <w:pStyle w:val="Heading2"/>
      </w:pPr>
      <w:r>
        <w:t xml:space="preserve">12.7. Журналирование, резервирование, инциденты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Журналирование действий в CMS и событий безопасности (входы, ошибки, изменения прав); защита журналов от изменения.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Регулярное резервное копирование и проверяемое восстановление (п. 4.3); план реагирования на инциденты безопасности.</w:t>
      </w:r>
    </w:p>
    <w:p>
      <w:pPr>
        <w:pStyle w:val="Heading1"/>
      </w:pPr>
      <w:r>
        <w:t xml:space="preserve">13. Требования к производительности и нагрузке</w:t>
      </w:r>
    </w:p>
    <w:p>
      <w:pPr>
        <w:spacing w:after="140" w:line="278"/>
        <w:jc w:val="both"/>
      </w:pPr>
      <w:r>
        <w:t xml:space="preserve">Особенность ресурса — резкий рост посещаемости в период ЧС. Система должна сохранять работоспособность и приоритетную доставку оповещений при пиковых нагрузках.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Время отклика (штатный режим)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Время до первого содержимого основных страниц — не более 2,5 с при типовом соединении; время ответа сервера (TTFB) — не более 600 мс при кэшировании.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Пиковая нагрузка (режим ЧС)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Корректная работа при кратном (не менее ×10 к среднесуточному) росте посещаемости без отказа; приоритет доставки оповещений и оперативной информации.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Деградация под нагрузкой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При перегрузке второстепенные функции (поиск, формы) могут временно ограничиваться, но публикация оповещений и просмотр оперативной обстановки должны сохраняться.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Одновременные пользователи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Поддержка значительного числа одновременных посетителей за счёт кэширования и горизонтального масштабирования (раздел 16).</w:t>
            </w:r>
          </w:p>
        </w:tc>
      </w:tr>
    </w:tbl>
    <w:p>
      <w:pPr>
        <w:pStyle w:val="Heading2"/>
      </w:pPr>
      <w:r>
        <w:t xml:space="preserve">13.1. Меры оптимизации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Кэширование страниц и данных в Redis; корректные HTTP-заголовки кэширования; кэширование статических ресурсов с версионированием.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Оптимизация и адаптивная отдача изображений; ленивая загрузка; разделение клиентского кода (code splitting); сжатие ответов (gzip/brotli).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Оптимизация запросов к БД: индексы, исключение проблемы N+1 (жадная загрузка связей), пагинация больших списков.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Вынос тяжёлых операций (рассылки, импорт, обработка изображений) в фоновые очереди (раздел 10.4).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Нагрузочное тестирование перед вводом в эксплуатацию (раздел 18) с подтверждением целевых показателей.</w:t>
      </w:r>
    </w:p>
    <w:p>
      <w:pPr>
        <w:pStyle w:val="Heading1"/>
      </w:pPr>
      <w:r>
        <w:t xml:space="preserve">14. Мультиязычность и локализация</w:t>
      </w:r>
    </w:p>
    <w:p>
      <w:pPr>
        <w:spacing w:after="140" w:line="278"/>
        <w:jc w:val="both"/>
      </w:pPr>
      <w:r>
        <w:t xml:space="preserve">Поддерживаемые языки: </w:t>
      </w:r>
      <w:r>
        <w:rPr>
          <w:b/>
          <w:bCs/>
        </w:rPr>
        <w:t xml:space="preserve">таджикский, русский, английский</w:t>
      </w:r>
      <w:r>
        <w:t xml:space="preserve">. Таджикская и русская версии обязательны для запуска, английская — для партнёров. Архитектура должна позволять добавление новых языков без переработки.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Локализуются и интерфейс, и контент: интерфейсные надписи — через словари локализации; контент — через языковые версии материалов (раздел 9).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Переключатель языка доступен на всех страницах; выбранный язык сохраняется; по возможности — определение языка по настройкам браузера при первом визите.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Адреса страниц учитывают язык (например, языковой префикс в URL); для поисковых систем формируются корректные указания на языковые версии (hreflang).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Корректная обработка отсутствующего перевода: показ доступной версии с пометкой либо запасного языка по правилу, заданному в настройках; материал может публиковаться на части языков.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Полная поддержка кириллицы таджикского языка (специфические буквы) в шрифтах, поиске, формах и URL.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Локализация форматов дат и чисел в соответствии с выбранным языком.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Письма и уведомления (раздел 6.4) отправляются на языке подписчика.</w:t>
      </w:r>
    </w:p>
    <w:p>
      <w:pPr>
        <w:pStyle w:val="Heading1"/>
      </w:pPr>
      <w:r>
        <w:t xml:space="preserve">15. SEO, аналитика и интеграции</w:t>
      </w:r>
    </w:p>
    <w:p>
      <w:pPr>
        <w:pStyle w:val="Heading2"/>
      </w:pPr>
      <w:r>
        <w:t xml:space="preserve">15.1. Поисковая оптимизация (SEO)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Серверный рендеринг публичных страниц (раздел 10.3) для корректной индексации.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Человекопонятные адреса (ЧПУ); настраиваемые мета-теги (title, description) и теги соцсетей (Open Graph) для каждого материала.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Карта сайта sitemap.xml (с учётом языковых версий) и файл robots.txt; канонические адреса; указания hreflang.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Микроразметка (schema.org) для организации и новостей; корректные коды ответов и страницы ошибок.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rPr>
          <w:b/>
          <w:bCs/>
        </w:rPr>
        <w:t xml:space="preserve">Переезд со старых сайтов: </w:t>
      </w:r>
      <w:r>
        <w:t xml:space="preserve">настройка переадресации (301) с актуальных адресов прежних площадок на соответствующие страницы новой Системы для сохранения индексации и ссылок.</w:t>
      </w:r>
    </w:p>
    <w:p>
      <w:pPr>
        <w:pStyle w:val="Heading2"/>
      </w:pPr>
      <w:r>
        <w:t xml:space="preserve">15.2. Веб-аналитика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Аналитика на собственной системе (self-hosted Matomo) на инфраструктуре Комитета; внешние счётчики, передающие данные третьим сторонам, не используются (раздел 12.6).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Учёт посещаемости, источников, поведения и целевых действий (подписка, регистрация тургрупп, обращения) с соблюдением требований к данным.</w:t>
      </w:r>
    </w:p>
    <w:p>
      <w:pPr>
        <w:pStyle w:val="Heading2"/>
      </w:pPr>
      <w:r>
        <w:t xml:space="preserve">15.3. Интеграции и распространение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Экспорт новостей в RSS; кнопки/ссылки на официальные аккаунты в социальных сетях.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Прочие интеграции (почта, push, карты, опциональные SMS/мессенджеры) — согласно разделу 10.8.</w:t>
      </w:r>
    </w:p>
    <w:p>
      <w:pPr>
        <w:pStyle w:val="Heading1"/>
      </w:pPr>
      <w:r>
        <w:t xml:space="preserve">16. Инфраструктура, развёртывание и эксплуатация</w:t>
      </w:r>
    </w:p>
    <w:p>
      <w:pPr>
        <w:pStyle w:val="Heading2"/>
      </w:pPr>
      <w:r>
        <w:t xml:space="preserve">16.1. Среды и инфраструктура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Не менее трёх сред: разработки (dev), тестирования/предпродакшн (staging) и промышленной эксплуатации (production); конфигурация — через переменные окружения, секреты хранятся вне репозитория.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Размещение на инфраструктуре Комитета (имеющиеся серверы); архитектура допускает горизонтальное масштабирование при росте нагрузки (раздел 13).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Контейнеризация (Docker / Docker Compose); типовой состав сервисов: приложение (PHP-FPM), веб-сервер (Nginx), база данных (MySQL), Redis, сервер реального времени (Reverb), обработчик очередей, система аналитики (Matomo).</w:t>
      </w:r>
    </w:p>
    <w:p>
      <w:pPr>
        <w:pStyle w:val="Heading2"/>
      </w:pPr>
      <w:r>
        <w:t xml:space="preserve">16.2. Развёртывание (CI/CD)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Автоматизированный конвейер сборки и развёртывания: проверка стиля, автотесты, сборка ресурсов (Vite), выполнение миграций, развёртывание.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Развёртывание без простоя (zero-downtime) либо с минимальным окном; безопасное и обратимое применение миграций базы данных.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Обработчики очередей и сервер реального времени управляются через Supervisor с автоперезапуском.</w:t>
      </w:r>
    </w:p>
    <w:p>
      <w:pPr>
        <w:pStyle w:val="Heading2"/>
      </w:pPr>
      <w:r>
        <w:t xml:space="preserve">16.3. Мониторинг, журналирование, обслуживание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Централизованное журналирование приложения и ошибок; мониторинг доступности, ресурсов и фоновых задач с оповещением ответственных.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Управление TLS-сертификатами (выпуск/продление); регулярное резервное копирование и проверка восстановления (п. 4.3).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Передача инструкций по развёртыванию, обновлению и резервному копированию в составе документации (раздел 18).</w:t>
      </w:r>
    </w:p>
    <w:p>
      <w:pPr>
        <w:pStyle w:val="Heading1"/>
      </w:pPr>
      <w:r>
        <w:t xml:space="preserve">17. Этапы разработки и сроки</w:t>
      </w:r>
    </w:p>
    <w:p>
      <w:pPr>
        <w:spacing w:after="140" w:line="278"/>
        <w:jc w:val="both"/>
      </w:pPr>
      <w:r>
        <w:t xml:space="preserve">Разработка ведётся поэтапно с приёмкой результатов каждого этапа. Длительности ориентировочные и зависят от численности команды и готовности контента; портал реализуется отдельным потоком в рамках общей программы цифровизации Комитета.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126"/>
        <w:gridCol w:w="180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Этап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Ориентир. срок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Обследование и проектирование: уточнение требований, прототипы (UX/UI), дизайн-система и токены, архитектура, модель данных.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1–1,5 мес.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II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Ядро и CMS: аутентификация, 2FA, ролевая модель, управление контентом и медиа, мультиязычность, журнал аудита.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1,5–2,5 мес.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III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Публичная часть и ключевые модули: главная, новости/сводки, карта ЧС, система оповещений и уведомлений, документы, поиск.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2–3 мес.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IV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Сервисы и контент: регистрация тургрупп, обращения граждан, версия для слабовидящих, наполнение, перенос материалов и переадресация со старых сайтов.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1,5–2 мес.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Стабилизация и ввод: функциональное, кросс-браузерное, нагрузочное тестирование, аудит безопасности и доступности, обучение, ввод в эксплуатацию.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1–1,5 мес.</w:t>
            </w:r>
          </w:p>
        </w:tc>
      </w:tr>
    </w:tbl>
    <w:p>
      <w:pPr>
        <w:spacing w:after="120" w:before="60" w:line="252"/>
      </w:pPr>
      <w:r>
        <w:rPr>
          <w:i/>
          <w:iCs/>
          <w:color w:val="808080"/>
          <w:sz w:val="17"/>
          <w:szCs w:val="17"/>
        </w:rPr>
        <w:t xml:space="preserve">Суммарная ориентировочная длительность портала — около 7–10 месяцев; сроки уточняются на этапе I и фиксируются в плане-графике.</w:t>
      </w:r>
    </w:p>
    <w:p>
      <w:pPr>
        <w:pStyle w:val="Heading1"/>
      </w:pPr>
      <w:r>
        <w:t xml:space="preserve">18. Тестирование, приёмка и документация</w:t>
      </w:r>
    </w:p>
    <w:p>
      <w:pPr>
        <w:pStyle w:val="Heading2"/>
      </w:pPr>
      <w:r>
        <w:t xml:space="preserve">18.1. Тестирование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Автоматические тесты серверной логики (модульные и функциональные) и ключевых сценариев клиентской части.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Кросс-браузерное тестирование и проверка на мобильных устройствах (адаптивность).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Аудит доступности (WCAG 2.1 AA) и проверка версии для слабовидящих.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Аудит безопасности, включая тестирование на проникновение, с устранением выявленных уязвимостей до ввода в эксплуатацию (раздел 12).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Нагрузочное тестирование с подтверждением целевых показателей производительности (раздел 13).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Приёмочное тестирование заказчиком (UAT) на среде staging.</w:t>
      </w:r>
    </w:p>
    <w:p>
      <w:pPr>
        <w:pStyle w:val="Heading2"/>
      </w:pPr>
      <w:r>
        <w:t xml:space="preserve">18.2. Критерии приёмки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Выполнены и проверены все обязательные требования настоящего ТЗ; отсутствуют дефекты критического и высокого уровня.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Подтверждены целевые показатели доступности, производительности и безопасности; пройден аудит безопасности и доступности.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Перенесены необходимые материалы со старых сайтов; настроена переадресация; проведено обучение.</w:t>
      </w:r>
    </w:p>
    <w:p>
      <w:pPr>
        <w:pStyle w:val="Heading2"/>
      </w:pPr>
      <w:r>
        <w:t xml:space="preserve">18.3. Передаваемые результаты и права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Полный исходный код в репозитории системы контроля версий и передача заказчику исключительных прав на разработанное программное обеспечение.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Эксплуатационная и техническая документация: руководство администратора и пользователя CMS (на русском языке), инструкции по развёртыванию и резервному копированию, описание архитектуры и модели данных, документация внутреннего API.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Дизайн-исходники и дизайн-система; перечень и описание используемых открытых компонентов и лицензий.</w:t>
      </w:r>
    </w:p>
    <w:p>
      <w:pPr>
        <w:pStyle w:val="Heading2"/>
      </w:pPr>
      <w:r>
        <w:t xml:space="preserve">18.4. Обучение и гарантийная поддержка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Обучение администраторов и контент-менеджеров работе с CMS.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Гарантийный период сопровождения (рекомендуется не менее 6–12 месяцев) с бесплатным устранением дефектов; приоритетное реагирование на критические инциденты по согласованному регламенту.</w:t>
      </w:r>
    </w:p>
    <w:p>
      <w:pPr>
        <w:pStyle w:val="Heading1"/>
        <w:pageBreakBefore/>
      </w:pPr>
      <w:r>
        <w:t xml:space="preserve">Приложение А. Полная карта сайта</w:t>
      </w:r>
    </w:p>
    <w:p>
      <w:pPr>
        <w:spacing w:after="140" w:line="278"/>
        <w:jc w:val="both"/>
      </w:pPr>
      <w:r>
        <w:t xml:space="preserve">Структура публичной части (ориентировочная; уточняется на этапе проектирования). Сквозные элементы — переключатель языка, поиск, версия для слабовидящих, область оповещения, ссылки на соцсети, экстренные телефоны в подвале.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Главная</w:t>
      </w:r>
    </w:p>
    <w:p>
      <w:pPr>
        <w:pStyle w:val="ListParagraph"/>
        <w:numPr>
          <w:ilvl w:val="1"/>
          <w:numId w:val="3"/>
        </w:numPr>
        <w:spacing w:after="70" w:line="274"/>
        <w:jc w:val="both"/>
      </w:pPr>
      <w:r>
        <w:t xml:space="preserve">Баннер оповещения · оперативная обстановка · карта · последние новости · быстрые ссылки · подписка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О Комитете</w:t>
      </w:r>
    </w:p>
    <w:p>
      <w:pPr>
        <w:pStyle w:val="ListParagraph"/>
        <w:numPr>
          <w:ilvl w:val="1"/>
          <w:numId w:val="3"/>
        </w:numPr>
        <w:spacing w:after="70" w:line="274"/>
        <w:jc w:val="both"/>
      </w:pPr>
      <w:r>
        <w:t xml:space="preserve">Об организации и задачах</w:t>
      </w:r>
    </w:p>
    <w:p>
      <w:pPr>
        <w:pStyle w:val="ListParagraph"/>
        <w:numPr>
          <w:ilvl w:val="1"/>
          <w:numId w:val="3"/>
        </w:numPr>
        <w:spacing w:after="70" w:line="274"/>
        <w:jc w:val="both"/>
      </w:pPr>
      <w:r>
        <w:t xml:space="preserve">Руководство</w:t>
      </w:r>
    </w:p>
    <w:p>
      <w:pPr>
        <w:pStyle w:val="ListParagraph"/>
        <w:numPr>
          <w:ilvl w:val="1"/>
          <w:numId w:val="3"/>
        </w:numPr>
        <w:spacing w:after="70" w:line="274"/>
        <w:jc w:val="both"/>
      </w:pPr>
      <w:r>
        <w:t xml:space="preserve">Структура</w:t>
      </w:r>
    </w:p>
    <w:p>
      <w:pPr>
        <w:pStyle w:val="ListParagraph"/>
        <w:numPr>
          <w:ilvl w:val="1"/>
          <w:numId w:val="3"/>
        </w:numPr>
        <w:spacing w:after="70" w:line="274"/>
        <w:jc w:val="both"/>
      </w:pPr>
      <w:r>
        <w:t xml:space="preserve">Региональные управления (Душанбе, Согд, Хатлон, ГБАО)</w:t>
      </w:r>
    </w:p>
    <w:p>
      <w:pPr>
        <w:pStyle w:val="ListParagraph"/>
        <w:numPr>
          <w:ilvl w:val="1"/>
          <w:numId w:val="3"/>
        </w:numPr>
        <w:spacing w:after="70" w:line="274"/>
        <w:jc w:val="both"/>
      </w:pPr>
      <w:r>
        <w:t xml:space="preserve">История</w:t>
      </w:r>
    </w:p>
    <w:p>
      <w:pPr>
        <w:pStyle w:val="ListParagraph"/>
        <w:numPr>
          <w:ilvl w:val="1"/>
          <w:numId w:val="3"/>
        </w:numPr>
        <w:spacing w:after="70" w:line="274"/>
        <w:jc w:val="both"/>
      </w:pPr>
      <w:r>
        <w:t xml:space="preserve">Международное сотрудничество и партнёры</w:t>
      </w:r>
    </w:p>
    <w:p>
      <w:pPr>
        <w:pStyle w:val="ListParagraph"/>
        <w:numPr>
          <w:ilvl w:val="1"/>
          <w:numId w:val="3"/>
        </w:numPr>
        <w:spacing w:after="70" w:line="274"/>
        <w:jc w:val="both"/>
      </w:pPr>
      <w:r>
        <w:t xml:space="preserve">Противодействие коррупции</w:t>
      </w:r>
    </w:p>
    <w:p>
      <w:pPr>
        <w:pStyle w:val="ListParagraph"/>
        <w:numPr>
          <w:ilvl w:val="1"/>
          <w:numId w:val="3"/>
        </w:numPr>
        <w:spacing w:after="70" w:line="274"/>
        <w:jc w:val="both"/>
      </w:pPr>
      <w:r>
        <w:t xml:space="preserve">Кадры и вакансии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Деятельность</w:t>
      </w:r>
    </w:p>
    <w:p>
      <w:pPr>
        <w:pStyle w:val="ListParagraph"/>
        <w:numPr>
          <w:ilvl w:val="1"/>
          <w:numId w:val="3"/>
        </w:numPr>
        <w:spacing w:after="70" w:line="274"/>
        <w:jc w:val="both"/>
      </w:pPr>
      <w:r>
        <w:t xml:space="preserve">Гражданская оборона</w:t>
      </w:r>
    </w:p>
    <w:p>
      <w:pPr>
        <w:pStyle w:val="ListParagraph"/>
        <w:numPr>
          <w:ilvl w:val="1"/>
          <w:numId w:val="3"/>
        </w:numPr>
        <w:spacing w:after="70" w:line="274"/>
        <w:jc w:val="both"/>
      </w:pPr>
      <w:r>
        <w:t xml:space="preserve">Защита населения и территорий от ЧС</w:t>
      </w:r>
    </w:p>
    <w:p>
      <w:pPr>
        <w:pStyle w:val="ListParagraph"/>
        <w:numPr>
          <w:ilvl w:val="1"/>
          <w:numId w:val="3"/>
        </w:numPr>
        <w:spacing w:after="70" w:line="274"/>
        <w:jc w:val="both"/>
      </w:pPr>
      <w:r>
        <w:t xml:space="preserve">Предупреждение и реагирование</w:t>
      </w:r>
    </w:p>
    <w:p>
      <w:pPr>
        <w:pStyle w:val="ListParagraph"/>
        <w:numPr>
          <w:ilvl w:val="1"/>
          <w:numId w:val="3"/>
        </w:numPr>
        <w:spacing w:after="70" w:line="274"/>
        <w:jc w:val="both"/>
      </w:pPr>
      <w:r>
        <w:t xml:space="preserve">Надзорная и профилактическая работа</w:t>
      </w:r>
    </w:p>
    <w:p>
      <w:pPr>
        <w:pStyle w:val="ListParagraph"/>
        <w:numPr>
          <w:ilvl w:val="1"/>
          <w:numId w:val="3"/>
        </w:numPr>
        <w:spacing w:after="70" w:line="274"/>
        <w:jc w:val="both"/>
      </w:pPr>
      <w:r>
        <w:t xml:space="preserve">Обучение населения</w:t>
      </w:r>
    </w:p>
    <w:p>
      <w:pPr>
        <w:pStyle w:val="ListParagraph"/>
        <w:numPr>
          <w:ilvl w:val="1"/>
          <w:numId w:val="3"/>
        </w:numPr>
        <w:spacing w:after="70" w:line="274"/>
        <w:jc w:val="both"/>
      </w:pPr>
      <w:r>
        <w:t xml:space="preserve">Горноспасательная служба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Оперативная обстановка</w:t>
      </w:r>
    </w:p>
    <w:p>
      <w:pPr>
        <w:pStyle w:val="ListParagraph"/>
        <w:numPr>
          <w:ilvl w:val="1"/>
          <w:numId w:val="3"/>
        </w:numPr>
        <w:spacing w:after="70" w:line="274"/>
        <w:jc w:val="both"/>
      </w:pPr>
      <w:r>
        <w:t xml:space="preserve">Оперативные сводки</w:t>
      </w:r>
    </w:p>
    <w:p>
      <w:pPr>
        <w:pStyle w:val="ListParagraph"/>
        <w:numPr>
          <w:ilvl w:val="1"/>
          <w:numId w:val="3"/>
        </w:numPr>
        <w:spacing w:after="70" w:line="274"/>
        <w:jc w:val="both"/>
      </w:pPr>
      <w:r>
        <w:t xml:space="preserve">Действующие предупреждения и ЧС</w:t>
      </w:r>
    </w:p>
    <w:p>
      <w:pPr>
        <w:pStyle w:val="ListParagraph"/>
        <w:numPr>
          <w:ilvl w:val="1"/>
          <w:numId w:val="3"/>
        </w:numPr>
        <w:spacing w:after="70" w:line="274"/>
        <w:jc w:val="both"/>
      </w:pPr>
      <w:r>
        <w:t xml:space="preserve">Интерактивная карта ЧС</w:t>
      </w:r>
    </w:p>
    <w:p>
      <w:pPr>
        <w:pStyle w:val="ListParagraph"/>
        <w:numPr>
          <w:ilvl w:val="1"/>
          <w:numId w:val="3"/>
        </w:numPr>
        <w:spacing w:after="70" w:line="274"/>
        <w:jc w:val="both"/>
      </w:pPr>
      <w:r>
        <w:t xml:space="preserve">Архив событий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Безопасность населения</w:t>
      </w:r>
    </w:p>
    <w:p>
      <w:pPr>
        <w:pStyle w:val="ListParagraph"/>
        <w:numPr>
          <w:ilvl w:val="1"/>
          <w:numId w:val="3"/>
        </w:numPr>
        <w:spacing w:after="70" w:line="274"/>
        <w:jc w:val="both"/>
      </w:pPr>
      <w:r>
        <w:t xml:space="preserve">Памятки по типам угроз (землетрясение, сель/паводок, наводнение, лавина, оползень, пожар, прорыв ледниковых озёр)</w:t>
      </w:r>
    </w:p>
    <w:p>
      <w:pPr>
        <w:pStyle w:val="ListParagraph"/>
        <w:numPr>
          <w:ilvl w:val="1"/>
          <w:numId w:val="3"/>
        </w:numPr>
        <w:spacing w:after="70" w:line="274"/>
        <w:jc w:val="both"/>
      </w:pPr>
      <w:r>
        <w:t xml:space="preserve">Обучающие и просветительские материалы</w:t>
      </w:r>
    </w:p>
    <w:p>
      <w:pPr>
        <w:pStyle w:val="ListParagraph"/>
        <w:numPr>
          <w:ilvl w:val="1"/>
          <w:numId w:val="3"/>
        </w:numPr>
        <w:spacing w:after="70" w:line="274"/>
        <w:jc w:val="both"/>
      </w:pPr>
      <w:r>
        <w:t xml:space="preserve">Материалы для детей и школ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Пресс-центр</w:t>
      </w:r>
    </w:p>
    <w:p>
      <w:pPr>
        <w:pStyle w:val="ListParagraph"/>
        <w:numPr>
          <w:ilvl w:val="1"/>
          <w:numId w:val="3"/>
        </w:numPr>
        <w:spacing w:after="70" w:line="274"/>
        <w:jc w:val="both"/>
      </w:pPr>
      <w:r>
        <w:t xml:space="preserve">Новости</w:t>
      </w:r>
    </w:p>
    <w:p>
      <w:pPr>
        <w:pStyle w:val="ListParagraph"/>
        <w:numPr>
          <w:ilvl w:val="1"/>
          <w:numId w:val="3"/>
        </w:numPr>
        <w:spacing w:after="70" w:line="274"/>
        <w:jc w:val="both"/>
      </w:pPr>
      <w:r>
        <w:t xml:space="preserve">Официальные сообщения и пресс-релизы</w:t>
      </w:r>
    </w:p>
    <w:p>
      <w:pPr>
        <w:pStyle w:val="ListParagraph"/>
        <w:numPr>
          <w:ilvl w:val="1"/>
          <w:numId w:val="3"/>
        </w:numPr>
        <w:spacing w:after="70" w:line="274"/>
        <w:jc w:val="both"/>
      </w:pPr>
      <w:r>
        <w:t xml:space="preserve">Объявления</w:t>
      </w:r>
    </w:p>
    <w:p>
      <w:pPr>
        <w:pStyle w:val="ListParagraph"/>
        <w:numPr>
          <w:ilvl w:val="1"/>
          <w:numId w:val="3"/>
        </w:numPr>
        <w:spacing w:after="70" w:line="274"/>
        <w:jc w:val="both"/>
      </w:pPr>
      <w:r>
        <w:t xml:space="preserve">Фотогалереи</w:t>
      </w:r>
    </w:p>
    <w:p>
      <w:pPr>
        <w:pStyle w:val="ListParagraph"/>
        <w:numPr>
          <w:ilvl w:val="1"/>
          <w:numId w:val="3"/>
        </w:numPr>
        <w:spacing w:after="70" w:line="274"/>
        <w:jc w:val="both"/>
      </w:pPr>
      <w:r>
        <w:t xml:space="preserve">Видео</w:t>
      </w:r>
    </w:p>
    <w:p>
      <w:pPr>
        <w:pStyle w:val="ListParagraph"/>
        <w:numPr>
          <w:ilvl w:val="1"/>
          <w:numId w:val="3"/>
        </w:numPr>
        <w:spacing w:after="70" w:line="274"/>
        <w:jc w:val="both"/>
      </w:pPr>
      <w:r>
        <w:t xml:space="preserve">СМИ о нас</w:t>
      </w:r>
    </w:p>
    <w:p>
      <w:pPr>
        <w:pStyle w:val="ListParagraph"/>
        <w:numPr>
          <w:ilvl w:val="1"/>
          <w:numId w:val="3"/>
        </w:numPr>
        <w:spacing w:after="70" w:line="274"/>
        <w:jc w:val="both"/>
      </w:pPr>
      <w:r>
        <w:t xml:space="preserve">Контакты пресс-службы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Документы</w:t>
      </w:r>
    </w:p>
    <w:p>
      <w:pPr>
        <w:pStyle w:val="ListParagraph"/>
        <w:numPr>
          <w:ilvl w:val="1"/>
          <w:numId w:val="3"/>
        </w:numPr>
        <w:spacing w:after="70" w:line="274"/>
        <w:jc w:val="both"/>
      </w:pPr>
      <w:r>
        <w:t xml:space="preserve">Законодательство и нормативные акты</w:t>
      </w:r>
    </w:p>
    <w:p>
      <w:pPr>
        <w:pStyle w:val="ListParagraph"/>
        <w:numPr>
          <w:ilvl w:val="1"/>
          <w:numId w:val="3"/>
        </w:numPr>
        <w:spacing w:after="70" w:line="274"/>
        <w:jc w:val="both"/>
      </w:pPr>
      <w:r>
        <w:t xml:space="preserve">Ведомственные документы</w:t>
      </w:r>
    </w:p>
    <w:p>
      <w:pPr>
        <w:pStyle w:val="ListParagraph"/>
        <w:numPr>
          <w:ilvl w:val="1"/>
          <w:numId w:val="3"/>
        </w:numPr>
        <w:spacing w:after="70" w:line="274"/>
        <w:jc w:val="both"/>
      </w:pPr>
      <w:r>
        <w:t xml:space="preserve">Планы и отчёты</w:t>
      </w:r>
    </w:p>
    <w:p>
      <w:pPr>
        <w:pStyle w:val="ListParagraph"/>
        <w:numPr>
          <w:ilvl w:val="1"/>
          <w:numId w:val="3"/>
        </w:numPr>
        <w:spacing w:after="70" w:line="274"/>
        <w:jc w:val="both"/>
      </w:pPr>
      <w:r>
        <w:t xml:space="preserve">Формы и бланки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Сервисы</w:t>
      </w:r>
    </w:p>
    <w:p>
      <w:pPr>
        <w:pStyle w:val="ListParagraph"/>
        <w:numPr>
          <w:ilvl w:val="1"/>
          <w:numId w:val="3"/>
        </w:numPr>
        <w:spacing w:after="70" w:line="274"/>
        <w:jc w:val="both"/>
      </w:pPr>
      <w:r>
        <w:t xml:space="preserve">Регистрация туристских групп и маршрутов</w:t>
      </w:r>
    </w:p>
    <w:p>
      <w:pPr>
        <w:pStyle w:val="ListParagraph"/>
        <w:numPr>
          <w:ilvl w:val="1"/>
          <w:numId w:val="3"/>
        </w:numPr>
        <w:spacing w:after="70" w:line="274"/>
        <w:jc w:val="both"/>
      </w:pPr>
      <w:r>
        <w:t xml:space="preserve">Обращения граждан (электронная приёмная)</w:t>
      </w:r>
    </w:p>
    <w:p>
      <w:pPr>
        <w:pStyle w:val="ListParagraph"/>
        <w:numPr>
          <w:ilvl w:val="1"/>
          <w:numId w:val="3"/>
        </w:numPr>
        <w:spacing w:after="70" w:line="274"/>
        <w:jc w:val="both"/>
      </w:pPr>
      <w:r>
        <w:t xml:space="preserve">Подписка на уведомления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Контакты</w:t>
      </w:r>
    </w:p>
    <w:p>
      <w:pPr>
        <w:pStyle w:val="ListParagraph"/>
        <w:numPr>
          <w:ilvl w:val="1"/>
          <w:numId w:val="3"/>
        </w:numPr>
        <w:spacing w:after="70" w:line="274"/>
        <w:jc w:val="both"/>
      </w:pPr>
      <w:r>
        <w:t xml:space="preserve">Общие контакты и реквизиты</w:t>
      </w:r>
    </w:p>
    <w:p>
      <w:pPr>
        <w:pStyle w:val="ListParagraph"/>
        <w:numPr>
          <w:ilvl w:val="1"/>
          <w:numId w:val="3"/>
        </w:numPr>
        <w:spacing w:after="70" w:line="274"/>
        <w:jc w:val="both"/>
      </w:pPr>
      <w:r>
        <w:t xml:space="preserve">Единый телефон доверия и экстренные номера</w:t>
      </w:r>
    </w:p>
    <w:p>
      <w:pPr>
        <w:pStyle w:val="ListParagraph"/>
        <w:numPr>
          <w:ilvl w:val="1"/>
          <w:numId w:val="3"/>
        </w:numPr>
        <w:spacing w:after="70" w:line="274"/>
        <w:jc w:val="both"/>
      </w:pPr>
      <w:r>
        <w:t xml:space="preserve">Контакты региональных управлений</w:t>
      </w:r>
    </w:p>
    <w:p>
      <w:pPr>
        <w:pStyle w:val="ListParagraph"/>
        <w:numPr>
          <w:ilvl w:val="1"/>
          <w:numId w:val="3"/>
        </w:numPr>
        <w:spacing w:after="70" w:line="274"/>
        <w:jc w:val="both"/>
      </w:pPr>
      <w:r>
        <w:t xml:space="preserve">Карта проезда и форма обратной связи</w:t>
      </w:r>
    </w:p>
    <w:p>
      <w:pPr>
        <w:pStyle w:val="Heading1"/>
        <w:pageBreakBefore/>
      </w:pPr>
      <w:r>
        <w:t xml:space="preserve">Приложение Б. Перечень основных сущностей базы данных</w:t>
      </w:r>
    </w:p>
    <w:p>
      <w:pPr>
        <w:spacing w:after="140" w:line="278"/>
        <w:jc w:val="both"/>
      </w:pPr>
      <w:r>
        <w:t xml:space="preserve">Сущности сгруппированы по предметным областям; точная структура полей и миграций определяется на этапе проектирования.</w:t>
      </w:r>
    </w:p>
    <w:p>
      <w:pPr>
        <w:pStyle w:val="Heading3"/>
      </w:pPr>
      <w:r>
        <w:t xml:space="preserve">Пользователи и доступ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users — учётные записи сотрудников; roles — роли; permissions — разрешения; role_user, permission_role — связи RBAC.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sessions, password_resets, two_factor — служебные данные аутентификации и 2FA.</w:t>
      </w:r>
    </w:p>
    <w:p>
      <w:pPr>
        <w:pStyle w:val="Heading3"/>
      </w:pPr>
      <w:r>
        <w:t xml:space="preserve">Контент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pages, posts (новости/сводки/объявления), documents — с таблицами переводов (*_translations) по языкам.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categories, tags — рубрики и теги; media — медиа-библиотека (полиморфные связи); blocks/page_blocks — блоки компоновки страниц.</w:t>
      </w:r>
    </w:p>
    <w:p>
      <w:pPr>
        <w:pStyle w:val="Heading3"/>
      </w:pPr>
      <w:r>
        <w:t xml:space="preserve">ЧС, карта и оповещения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incidents (+ переводы), incident_types — события ЧС и справочник типов; regions — административно-территориальное деление и геопривязка.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alerts (+ переводы) — оповещения; subscribers — подписчики; subscription_topics — темы/территории подписки; notifications_log — журнал доставки.</w:t>
      </w:r>
    </w:p>
    <w:p>
      <w:pPr>
        <w:pStyle w:val="Heading3"/>
      </w:pPr>
      <w:r>
        <w:t xml:space="preserve">Сервисы и обращения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appeals — обращения граждан; tourist_groups — заявки на регистрацию тургрупп (с маршрутом и участниками).</w:t>
      </w:r>
    </w:p>
    <w:p>
      <w:pPr>
        <w:pStyle w:val="Heading3"/>
      </w:pPr>
      <w:r>
        <w:t xml:space="preserve">Система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menus, menu_items — навигация; settings — настройки (в т. ч. по языкам); audit_logs — журнал действий; languages — список языков.</w:t>
      </w:r>
    </w:p>
    <w:p>
      <w:pPr>
        <w:pStyle w:val="Heading3"/>
      </w:pPr>
      <w:r>
        <w:t xml:space="preserve">Общие соглашения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Для записей — отметки времени создания/изменения; для ключевых сущностей — «мягкое удаление» и история версий.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Многоязычные сущности используют отдельные таблицы переводов со связью «запись → язык»; человекопонятные адреса (slug) — по языкам.</w:t>
      </w:r>
    </w:p>
    <w:p>
      <w:pPr>
        <w:pStyle w:val="ListParagraph"/>
        <w:numPr>
          <w:ilvl w:val="0"/>
          <w:numId w:val="3"/>
        </w:numPr>
        <w:spacing w:after="70" w:line="274"/>
        <w:jc w:val="both"/>
      </w:pPr>
      <w:r>
        <w:t xml:space="preserve">Значимые действия фиксируются в audit_logs; персональные данные защищаются согласно разделу 12.</w:t>
      </w:r>
    </w:p>
    <w:p>
      <w:pPr>
        <w:pStyle w:val="Heading1"/>
        <w:pageBreakBefore/>
      </w:pPr>
      <w:r>
        <w:t xml:space="preserve">Приложение В. Цветовая палитра и дизайн-токены</w:t>
      </w:r>
    </w:p>
    <w:p>
      <w:pPr>
        <w:spacing w:after="140" w:line="278"/>
        <w:jc w:val="both"/>
      </w:pPr>
      <w:r>
        <w:t xml:space="preserve">Палитра задаётся централизованно в виде дизайн-токенов и сопоставляется с CSS-переменными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shadcn/ui</w:t>
      </w:r>
      <w:r>
        <w:t xml:space="preserve"> (в </w:t>
      </w:r>
      <w:r>
        <w:rPr>
          <w:rFonts w:ascii="Consolas" w:cs="Consolas" w:eastAsia="Consolas" w:hAnsi="Consolas"/>
          <w:color w:val="C0392B"/>
          <w:sz w:val="19"/>
          <w:szCs w:val="19"/>
        </w:rPr>
        <w:t xml:space="preserve">:root</w:t>
      </w:r>
      <w:r>
        <w:t xml:space="preserve">). Значения приведены для светлой темы; тёмная тема при необходимости выводится из этих токенов. Цвет не является единственным носителем смысла (раздел 11).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50"/>
        <w:gridCol w:w="1150"/>
        <w:gridCol w:w="900"/>
        <w:gridCol w:w="2526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Токен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HEX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Образец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Применение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Основной фон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--background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#FFFFFF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Фон страниц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Основной текст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--foreground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#0F172A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F172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Текст и заголовки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Основной (синий)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--primary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#1F4E8C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Шапка, навигация, ключевые акценты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Текст на основном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--primary-foreground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#FFFFFF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Текст на синем фоне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Вторичный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--secondary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#E8EEF6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6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Второстепенные блоки, подложки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Сигнальный (оранжевый)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--accent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#EA6A1E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6A1E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Главные действия, выделения (дозированно)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Текст на акценте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--accent-foreground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#FFFFFF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Текст на оранжевом фоне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Приглушённый фон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--muted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#F1F5F9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1F5F9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Фоны секций, неактивные области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Приглушённый текст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--muted-foreground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#64748B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64748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Подписи, метаданные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Границы и поля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--border / --input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#E2E8F0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8F0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Линии, рамки, поля ввода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Фокус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--ring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#1F4E8C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8C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Обводка фокуса (доступность)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Опасность (красный)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--destructive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#DC2626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2626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Критические действия и состояния</w:t>
            </w:r>
          </w:p>
        </w:tc>
      </w:tr>
    </w:tbl>
    <w:p>
      <w:pPr>
        <w:spacing w:after="120" w:before="60" w:line="252"/>
      </w:pPr>
      <w:r>
        <w:rPr>
          <w:i/>
          <w:iCs/>
          <w:color w:val="808080"/>
          <w:sz w:val="17"/>
          <w:szCs w:val="17"/>
        </w:rPr>
        <w:t xml:space="preserve">Радиус скругления (--radius) ≈ 0.5rem. Точные оттенки могут быть откалиброваны на этапе проектирования при сохранении смысловой роли и требований к контрасту.</w:t>
      </w:r>
    </w:p>
    <w:p>
      <w:pPr>
        <w:pStyle w:val="Heading1"/>
        <w:pageBreakBefore/>
      </w:pPr>
      <w:r>
        <w:t xml:space="preserve">Приложение Г. Уровни опасности и цветовое кодирование</w:t>
      </w:r>
    </w:p>
    <w:p>
      <w:pPr>
        <w:spacing w:after="140" w:line="278"/>
        <w:jc w:val="both"/>
      </w:pPr>
      <w:r>
        <w:t xml:space="preserve">Единая шкала уровней опасности применяется к баннеру оповещения, меткам и слоям карты ЧС, а также к статусам событий. Уровень всегда дублируется текстовой подписью и значком (требование доступности).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150"/>
        <w:gridCol w:w="4976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Образец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HEX</w:t>
            </w:r>
          </w:p>
        </w:tc>
        <w:tc>
          <w:tcPr>
            <w:tcW w:type="dxa" w:w="49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Значение и применение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Норма / нет угроз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6A34A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#16A34A</w:t>
            </w:r>
          </w:p>
        </w:tc>
        <w:tc>
          <w:tcPr>
            <w:tcW w:type="dxa" w:w="49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Угроз не зарегистрировано; штатный режим. Спокойный зелёный для индикаторов «всё спокойно».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Повышенная готовность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B308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#EAB308</w:t>
            </w:r>
          </w:p>
        </w:tc>
        <w:tc>
          <w:tcPr>
            <w:tcW w:type="dxa" w:w="49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Предупреждение о возможной угрозе; рекомендуется внимание и подготовка. Жёлтый/янтарный.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Опасно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580C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#EA580C</w:t>
            </w:r>
          </w:p>
        </w:tc>
        <w:tc>
          <w:tcPr>
            <w:tcW w:type="dxa" w:w="49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Высокая вероятность или факт ЧС локального масштаба; требуются меры предосторожности. Оранжевый.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Чрезвычайная опасность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2626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#DC2626</w:t>
            </w:r>
          </w:p>
        </w:tc>
        <w:tc>
          <w:tcPr>
            <w:tcW w:type="dxa" w:w="49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64"/>
              <w:left w:type="dxa" w:w="104"/>
              <w:bottom w:type="dxa" w:w="64"/>
              <w:right w:type="dxa" w:w="104"/>
            </w:tcMar>
            <w:vAlign w:val="center"/>
          </w:tcPr>
          <w:p>
            <w:pPr>
              <w:spacing w:after="0" w:line="26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Серьёзная ЧС, угроза жизни и здоровью; немедленные действия. Красный, критические оповещения закрепляются.</w:t>
            </w:r>
          </w:p>
        </w:tc>
      </w:tr>
    </w:tbl>
    <w:p>
      <w:pPr>
        <w:spacing w:after="120" w:before="60" w:line="252"/>
      </w:pPr>
      <w:r>
        <w:rPr>
          <w:i/>
          <w:iCs/>
          <w:color w:val="808080"/>
          <w:sz w:val="17"/>
          <w:szCs w:val="17"/>
        </w:rPr>
        <w:t xml:space="preserve">Названия и градация уровней приведены ориентировочно; при наличии официальной национальной шкалы предупреждений она имеет приоритет, цветовое кодирование приводится в соответствие с ней.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tabs>
        <w:tab w:val="right" w:pos="9026"/>
      </w:tabs>
    </w:pPr>
    <w:r>
      <w:rPr>
        <w:color w:val="808080"/>
        <w:sz w:val="15"/>
        <w:szCs w:val="15"/>
      </w:rPr>
      <w:t xml:space="preserve">Техническое задание · Официальный веб-сайт КЧС</w:t>
    </w:r>
    <w:r>
      <w:rPr>
        <w:color w:val="808080"/>
        <w:sz w:val="15"/>
        <w:szCs w:val="15"/>
      </w:rPr>
      <w:t xml:space="preserve">	стр. </w:t>
    </w:r>
    <w:r>
      <w:rPr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6"/>
      </w:pBdr>
      <w:spacing w:after="0"/>
    </w:pPr>
    <w:r>
      <w:rPr>
        <w:i/>
        <w:iCs/>
        <w:color w:val="808080"/>
        <w:sz w:val="15"/>
        <w:szCs w:val="15"/>
      </w:rPr>
      <w:t xml:space="preserve">Комитет по чрезвычайным ситуациям и гражданской обороне · Республика Таджикистан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  <w:lvl w:ilvl="2" w15:tentative="1">
      <w:start w:val="1"/>
      <w:numFmt w:val="bullet"/>
      <w:lvlText w:val="·"/>
      <w:lvlJc w:val="left"/>
      <w:pPr>
        <w:ind w:left="16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55A11" w:sz="8" w:space="6"/>
      </w:pBdr>
      <w:spacing w:after="18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F3F3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разработку официального веб-сайта КЧС</dc:title>
  <dc:creator>Комитет по чрезвычайным ситуациям и гражданской обороне при Правительстве РТ</dc:creator>
  <dc:description>ТЗ — официальный веб-сайт (информационный портал) КЧС РТ</dc:description>
  <cp:lastModifiedBy>Un-named</cp:lastModifiedBy>
  <cp:revision>1</cp:revision>
  <dcterms:created xsi:type="dcterms:W3CDTF">2026-06-09T08:41:56.488Z</dcterms:created>
  <dcterms:modified xsi:type="dcterms:W3CDTF">2026-06-09T08:41:56.489Z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