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EAF8"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2CA1DF7F" w14:textId="77777777" w:rsidR="008F055C" w:rsidRPr="00343B90" w:rsidRDefault="008F055C">
      <w:pPr>
        <w:spacing w:line="276" w:lineRule="auto"/>
        <w:rPr>
          <w:rFonts w:ascii="Times New Roman" w:hAnsi="Times New Roman" w:cs="Times New Roman"/>
        </w:rPr>
      </w:pPr>
    </w:p>
    <w:p w14:paraId="5907D5D7" w14:textId="77777777" w:rsidR="008F055C" w:rsidRPr="00343B90" w:rsidRDefault="00AE0122">
      <w:pPr>
        <w:spacing w:line="276" w:lineRule="auto"/>
        <w:rPr>
          <w:rFonts w:ascii="Times New Roman" w:hAnsi="Times New Roman" w:cs="Times New Roman"/>
        </w:rPr>
      </w:pPr>
      <w:r w:rsidRPr="00343B90">
        <w:rPr>
          <w:rFonts w:ascii="Times New Roman" w:hAnsi="Times New Roman" w:cs="Times New Roman"/>
        </w:rPr>
        <w:t>M.Amin Khodamoradi 1*</w:t>
      </w:r>
      <w:r w:rsidR="00D92642" w:rsidRPr="00343B90">
        <w:rPr>
          <w:rFonts w:ascii="Times New Roman" w:hAnsi="Times New Roman" w:cs="Times New Roman"/>
        </w:rPr>
        <w:t>, Bahareh Levian 2,3 and Changiz Eslahchi 2,3</w:t>
      </w:r>
    </w:p>
    <w:p w14:paraId="1CA3769E" w14:textId="77777777" w:rsidR="008F055C" w:rsidRPr="00343B90" w:rsidRDefault="008F055C">
      <w:pPr>
        <w:spacing w:line="276" w:lineRule="auto"/>
        <w:rPr>
          <w:rFonts w:ascii="Times New Roman" w:hAnsi="Times New Roman" w:cs="Times New Roman"/>
        </w:rPr>
      </w:pPr>
    </w:p>
    <w:p w14:paraId="460A594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1-</w:t>
      </w:r>
      <w:r w:rsidRPr="00343B90">
        <w:rPr>
          <w:rFonts w:ascii="Times New Roman" w:hAnsi="Times New Roman" w:cs="Times New Roman"/>
          <w:b/>
          <w:bCs/>
          <w:sz w:val="20"/>
          <w:szCs w:val="20"/>
          <w:lang w:bidi="fa-IR"/>
        </w:rPr>
        <w:t>Universidade NOVA de Lisboa, NOVA School of Science and Technology (FCT NOVA) / Uninova, Center of Technology and Systems</w:t>
      </w:r>
    </w:p>
    <w:p w14:paraId="160EBB8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2-Department of Computer Science, Faculty of Mathematical Science, Shahid Beheshti University, Tehran, Iran.</w:t>
      </w:r>
    </w:p>
    <w:p w14:paraId="4E3CE44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3-School of Bioinformatics, IPM - Institute for Research in Fundamental Sciences, Tehran, Iran.</w:t>
      </w:r>
    </w:p>
    <w:p w14:paraId="110DBD5A" w14:textId="77777777" w:rsidR="008F055C" w:rsidRPr="00343B90" w:rsidRDefault="008F055C">
      <w:pPr>
        <w:spacing w:line="276" w:lineRule="auto"/>
        <w:rPr>
          <w:rFonts w:ascii="Times New Roman" w:hAnsi="Times New Roman" w:cs="Times New Roman"/>
        </w:rPr>
      </w:pPr>
    </w:p>
    <w:p w14:paraId="5725E57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63E0A9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Drug-drug interactions (DDIs) usually cause unexpected and even adverse drug reactions. It is important to identify DDIs before using them in the market. However, preclinical identification of DDIs 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derived from the structural features of the graph of DDIs. Revealing such a relationship is very important, because it is able to help understand how DDIs occur. Prediction of comprehensive DDIs and the discovery of structural relationships in the DDI</w:t>
      </w:r>
    </w:p>
    <w:p w14:paraId="3CD1627D"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graph play important guidance when making a prescription of multiple drugs.</w:t>
      </w:r>
    </w:p>
    <w:p w14:paraId="47BC3AB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In this work, treating a set of comprehensive DDIs as a signed network, we design a novel model (SNF-CNN) for the prediction of enhancive or degressive of a pair of drugs based on similarity network fusion and convolutional neural networks. SNF-CNN achieves the depressive DDI prediction (</w:t>
      </w:r>
      <w:r w:rsidRPr="00343B90">
        <w:rPr>
          <w:rFonts w:ascii="Times New Roman" w:hAnsi="Times New Roman" w:cs="Times New Roman"/>
          <w:i/>
          <w:iCs/>
        </w:rPr>
        <w:t>AUC = 0.975 and AUPR = 0.967</w:t>
      </w:r>
      <w:r w:rsidRPr="00343B90">
        <w:rPr>
          <w:rFonts w:ascii="Times New Roman" w:hAnsi="Times New Roman" w:cs="Times New Roman"/>
        </w:rPr>
        <w:t>), enhancive DDI prediction (</w:t>
      </w:r>
      <w:r w:rsidRPr="00343B90">
        <w:rPr>
          <w:rFonts w:ascii="Times New Roman" w:hAnsi="Times New Roman" w:cs="Times New Roman"/>
          <w:i/>
          <w:iCs/>
        </w:rPr>
        <w:t>AUC = 0.969 and AUPR = 0.822</w:t>
      </w:r>
      <w:r w:rsidRPr="00343B90">
        <w:rPr>
          <w:rFonts w:ascii="Times New Roman" w:hAnsi="Times New Roman" w:cs="Times New Roman"/>
        </w:rPr>
        <w:t>) and the Unknown DDI prediction (</w:t>
      </w:r>
      <w:r w:rsidRPr="00343B90">
        <w:rPr>
          <w:rFonts w:ascii="Times New Roman" w:hAnsi="Times New Roman" w:cs="Times New Roman"/>
          <w:i/>
          <w:iCs/>
        </w:rPr>
        <w:t>AUC = 0.971 and AUPR = 0.948</w:t>
      </w:r>
      <w:r w:rsidRPr="00343B90">
        <w:rPr>
          <w:rFonts w:ascii="Times New Roman" w:hAnsi="Times New Roman" w:cs="Times New Roman"/>
        </w:rPr>
        <w:t xml:space="preserve">). Compared with three state-of-the-art methods on a dataset, SNF-CNN shows superiority. </w:t>
      </w:r>
    </w:p>
    <w:p w14:paraId="1B25482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This new approach is not only able to predict comprehensive DDI,</w:t>
      </w:r>
    </w:p>
    <w:p w14:paraId="004D2F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but also predicts non-DDI </w:t>
      </w:r>
      <w:r w:rsidR="00AE0122" w:rsidRPr="00343B90">
        <w:rPr>
          <w:rFonts w:ascii="Times New Roman" w:hAnsi="Times New Roman" w:cs="Times New Roman"/>
        </w:rPr>
        <w:t>accurately</w:t>
      </w:r>
      <w:r w:rsidRPr="00343B90">
        <w:rPr>
          <w:rFonts w:ascii="Times New Roman" w:hAnsi="Times New Roman" w:cs="Times New Roman"/>
        </w:rPr>
        <w:t>.</w:t>
      </w:r>
    </w:p>
    <w:p w14:paraId="2C2016E0"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Drug-Drug Interaction; Drug Similarity; Drug Similarity Integration; Feature Selection; Recommender System</w:t>
      </w:r>
    </w:p>
    <w:p w14:paraId="661A5967" w14:textId="77777777" w:rsidR="008F055C" w:rsidRPr="00343B90" w:rsidRDefault="008F055C">
      <w:pPr>
        <w:spacing w:line="276" w:lineRule="auto"/>
        <w:rPr>
          <w:rFonts w:ascii="Times New Roman" w:hAnsi="Times New Roman" w:cs="Times New Roman"/>
        </w:rPr>
      </w:pPr>
    </w:p>
    <w:p w14:paraId="1BE4BE54" w14:textId="77777777" w:rsidR="008F055C" w:rsidRPr="00343B90" w:rsidRDefault="008F055C">
      <w:pPr>
        <w:spacing w:line="276" w:lineRule="auto"/>
        <w:rPr>
          <w:rFonts w:ascii="Times New Roman" w:hAnsi="Times New Roman" w:cs="Times New Roman"/>
        </w:rPr>
      </w:pPr>
    </w:p>
    <w:p w14:paraId="3166644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402291E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When two or more drugs are taken together, drugs’ effects or behaviors are unexpectedly influenced by each other [1]. This kind of influence is termed as Drug-Drug interaction (DDI), which would reduce drug efficacy, increase unexpected toxicity, or induce other adverse drug reactions between the co-prescribed drugs. As the number of approved drugs increases, the number of drug-unidentified DDIs is rapidly increasing, such that among approved small molecular drugs in Drug Bank, on average, 15 out of every 100 drug pairs have known DDIs [2]. The DDIs would put patients, who are treated with multiple drugs, in an unsafe situation [3, 4, 5, 6]. Understanding DDI is the first step in drug combinations, which becomes one of the most promising solutions for the treatment of multi factorial </w:t>
      </w:r>
      <w:r w:rsidRPr="00343B90">
        <w:rPr>
          <w:rFonts w:ascii="Times New Roman" w:hAnsi="Times New Roman" w:cs="Times New Roman"/>
        </w:rPr>
        <w:lastRenderedPageBreak/>
        <w:t xml:space="preserve">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the very limited number of participants in the trial, and the great number of drug combinations under screening in clinical trials. As a result, only a few DDIs have been identified during drug development production (usually in the clinical trial phase). Some of them have been reported after drugs approved, and many have been found in post-marketing surveillance. </w:t>
      </w:r>
    </w:p>
    <w:p w14:paraId="0943F9AD"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 , such as scientific literature [13, 14] , electronic medical records [15] , and the Adverse Event Reporting System of FDA (http://www.fda.gov). These approaches rely on post-market clinical evidence. So, they cannot provide alerts of potential DDIs before clinical medications are administered. In contrast, machine learning-based computational approaches (e.g. Naı̈ve Similarity-Based Approach [16] , Network Recommendation-Based [10], Classification-Based [17] ) can provide such alerts by utilizing pre-marketed or post-marketed drug attributes, such as drug features or similarities [18]. These methods use different drug features to predict DDIs, such as chemical structures [16] , targets [19] , hierarchical classification codes [17] , side effects, and off-label side effects [10, 20].</w:t>
      </w:r>
    </w:p>
    <w:p w14:paraId="0FCE228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DeepDDI has proposed by [22], which is a combination of the structural similarity profile generation pipeline and Deep Neural Network (DNN). DeepDDI predicts DDIs from chemical structures and names of drug-drug or drug-food constituent pairs. It has various implications for adverse drug events such as prediction of potential causal mechanism and using them for output sentences.</w:t>
      </w:r>
    </w:p>
    <w:p w14:paraId="720ECC0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14:paraId="3CB75ECD"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w:t>
      </w:r>
      <w:r w:rsidRPr="00343B90">
        <w:rPr>
          <w:rFonts w:ascii="Times New Roman" w:hAnsi="Times New Roman" w:cs="Times New Roman"/>
        </w:rPr>
        <w:lastRenderedPageBreak/>
        <w:t>establishing drug dosage, designing prophylactic drug therapy, or finding the resistance to therapy with a drug [31].</w:t>
      </w:r>
    </w:p>
    <w:p w14:paraId="61BCA1F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Besides the occurrence of both enhancive and degressive DDIs is not random [32, 33], however most current approaches have not yet exploited this structural property and have been developed only for conventional two-classes DDIs. Furthermore, revealing such a structural relationship is very important because it can help to understand how the DDIs occur. It is one of the most important steps for treating complex diseases [34] and guides physicians in preparing safer prescriptions to high-order drug interaction. </w:t>
      </w:r>
    </w:p>
    <w:p w14:paraId="1C9F0D4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1CCD104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Model of TMFUF [32] is proposed by Shi and et al. in 2018 which predicts enhancive and degressive DDIs for different predicting scenarios of new drugs (those with no known DDI). Proposed DDINMF model [33] in addition to predicting DDIs, asigns every drugs to drug communities. In result, some corelations are observed between drug communities and the numbers of enhancive, degressive, sum and difference of DDIs for each drug.</w:t>
      </w:r>
    </w:p>
    <w:p w14:paraId="01F5F8B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These observation shows that not only occurrence of enhancive or degressive DDIs are not randomly but also representes some topological features in DDI network. BRSNMF [35] model is a method based on Semi-NMF to predict the degressive and enhansive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5454440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solution for the subject of predicting DDI that has received much attention from researchers, but these methods do not work on potential DDIs which are crucially important in giving safer prescriptions. </w:t>
      </w:r>
    </w:p>
    <w:p w14:paraId="3FC374F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paper, we firstly introduce data and features. 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t>
      </w:r>
    </w:p>
    <w:p w14:paraId="486A710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t>
      </w:r>
    </w:p>
    <w:p w14:paraId="367F292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p>
    <w:p w14:paraId="475BAB6B" w14:textId="77777777" w:rsidR="008F055C" w:rsidRPr="00343B90" w:rsidRDefault="008F055C">
      <w:pPr>
        <w:spacing w:line="276" w:lineRule="auto"/>
        <w:rPr>
          <w:rFonts w:ascii="Times New Roman" w:hAnsi="Times New Roman" w:cs="Times New Roman"/>
        </w:rPr>
      </w:pPr>
    </w:p>
    <w:p w14:paraId="22CBFC51"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069B7E1B"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16417AA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 represented as an 881-dimensional feature vector </w:t>
      </w:r>
      <w:r w:rsidRPr="00343B90">
        <w:rPr>
          <w:rFonts w:ascii="Times New Roman" w:hAnsi="Times New Roman" w:cs="Times New Roman"/>
          <w:i/>
          <w:iCs/>
        </w:rPr>
        <w:t>F</w:t>
      </w:r>
      <w:r w:rsidRPr="00343B90">
        <w:rPr>
          <w:rFonts w:ascii="Times New Roman" w:hAnsi="Times New Roman" w:cs="Times New Roman"/>
          <w:i/>
          <w:iCs/>
          <w:vertAlign w:val="subscript"/>
        </w:rPr>
        <w:t>str</w:t>
      </w:r>
      <w:r w:rsidRPr="00343B90">
        <w:rPr>
          <w:rFonts w:ascii="Times New Roman" w:hAnsi="Times New Roman" w:cs="Times New Roman"/>
        </w:rPr>
        <w:t xml:space="preserve"> based on PubChem chemical structure descriptor and also a 9149-dimensional feature vector </w:t>
      </w:r>
      <w:r w:rsidRPr="00343B90">
        <w:rPr>
          <w:rFonts w:ascii="Times New Roman" w:hAnsi="Times New Roman" w:cs="Times New Roman"/>
          <w:i/>
          <w:iCs/>
        </w:rPr>
        <w:t>F</w:t>
      </w:r>
      <w:r w:rsidRPr="00343B90">
        <w:rPr>
          <w:rFonts w:ascii="Times New Roman" w:hAnsi="Times New Roman" w:cs="Times New Roman"/>
          <w:i/>
          <w:iCs/>
          <w:vertAlign w:val="subscript"/>
        </w:rPr>
        <w:t>se</w:t>
      </w:r>
      <w:r w:rsidRPr="00343B90">
        <w:rPr>
          <w:rFonts w:ascii="Times New Roman" w:hAnsi="Times New Roman" w:cs="Times New Roman"/>
        </w:rPr>
        <w:t xml:space="preserve"> based on the off-label side effects provided by OFFSIDES. If a side effect or chemical structure is reported or has observed for the drug its vector element is one, otherwise is zero.</w:t>
      </w:r>
    </w:p>
    <w:p w14:paraId="690AE58E" w14:textId="77777777" w:rsidR="008F055C" w:rsidRPr="00343B90" w:rsidRDefault="008F055C">
      <w:pPr>
        <w:spacing w:line="276" w:lineRule="auto"/>
        <w:rPr>
          <w:rFonts w:ascii="Times New Roman" w:hAnsi="Times New Roman" w:cs="Times New Roman"/>
        </w:rPr>
      </w:pPr>
    </w:p>
    <w:p w14:paraId="62155BB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Problem formulation</w:t>
      </w:r>
    </w:p>
    <w:p w14:paraId="686C613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i = 1, </w:t>
      </w:r>
      <w:r w:rsidR="00AE0122" w:rsidRPr="00343B90">
        <w:rPr>
          <w:rFonts w:ascii="Times New Roman" w:hAnsi="Times New Roman" w:cs="Times New Roman"/>
          <w:i/>
          <w:iCs/>
        </w:rPr>
        <w:t>2, ...</w:t>
      </w:r>
      <w:r w:rsidRPr="00343B90">
        <w:rPr>
          <w:rFonts w:ascii="Times New Roman" w:hAnsi="Times New Roman" w:cs="Times New Roman"/>
          <w:i/>
          <w:iCs/>
        </w:rPr>
        <w:t>,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 i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00AE0122" w:rsidRPr="00343B90">
        <w:rPr>
          <w:rFonts w:ascii="Times New Roman" w:hAnsi="Times New Roman" w:cs="Times New Roman"/>
          <w:i/>
          <w:iCs/>
          <w:vertAlign w:val="subscript"/>
        </w:rPr>
        <w:t>2</w:t>
      </w:r>
      <w:r w:rsidRPr="00343B90">
        <w:rPr>
          <w:rFonts w:ascii="Times New Roman" w:hAnsi="Times New Roman" w:cs="Times New Roman"/>
          <w:i/>
          <w:iCs/>
        </w:rPr>
        <w:t>,</w:t>
      </w:r>
      <w:r w:rsidR="00AE0122" w:rsidRPr="00343B90">
        <w:rPr>
          <w:rFonts w:ascii="Times New Roman" w:hAnsi="Times New Roman" w:cs="Times New Roman"/>
          <w:i/>
          <w:iCs/>
        </w:rPr>
        <w:t xml:space="preserve"> .</w:t>
      </w:r>
      <w:r w:rsidRPr="00343B90">
        <w:rPr>
          <w:rFonts w:ascii="Times New Roman" w:hAnsi="Times New Roman" w:cs="Times New Roman"/>
          <w:i/>
          <w:iCs/>
        </w:rPr>
        <w:t>.., f</w:t>
      </w:r>
      <w:r w:rsidRPr="00343B90">
        <w:rPr>
          <w:rFonts w:ascii="Times New Roman" w:hAnsi="Times New Roman" w:cs="Times New Roman"/>
          <w:i/>
          <w:iCs/>
          <w:vertAlign w:val="subscript"/>
        </w:rPr>
        <w:t>k</w:t>
      </w:r>
      <w:r w:rsidRPr="00343B90">
        <w:rPr>
          <w:rFonts w:ascii="Times New Roman" w:hAnsi="Times New Roman" w:cs="Times New Roman"/>
          <w:i/>
          <w:iCs/>
        </w:rPr>
        <w:t xml:space="preserve">, </w:t>
      </w:r>
      <w:r w:rsidR="00AE0122" w:rsidRPr="00343B90">
        <w:rPr>
          <w:rFonts w:ascii="Times New Roman" w:hAnsi="Times New Roman" w:cs="Times New Roman"/>
          <w:i/>
          <w:iCs/>
        </w:rPr>
        <w:t>..., f</w:t>
      </w:r>
      <w:r w:rsidR="00AE0122" w:rsidRPr="00343B90">
        <w:rPr>
          <w:rFonts w:ascii="Times New Roman" w:hAnsi="Times New Roman" w:cs="Times New Roman"/>
          <w:i/>
          <w:iCs/>
          <w:vertAlign w:val="subscript"/>
        </w:rPr>
        <w:t>p</w:t>
      </w:r>
      <w:r w:rsidRPr="00343B90">
        <w:rPr>
          <w:rFonts w:ascii="Times New Roman" w:hAnsi="Times New Roman" w:cs="Times New Roman"/>
          <w:i/>
          <w:iCs/>
        </w:rPr>
        <w:t>]</w:t>
      </w:r>
      <w:r w:rsidRPr="00343B90">
        <w:rPr>
          <w:rFonts w:ascii="Times New Roman" w:hAnsi="Times New Roman" w:cs="Times New Roman"/>
        </w:rPr>
        <w:t>, which f</w:t>
      </w:r>
      <w:r w:rsidRPr="00343B90">
        <w:rPr>
          <w:rFonts w:ascii="Times New Roman" w:hAnsi="Times New Roman" w:cs="Times New Roman"/>
          <w:vertAlign w:val="subscript"/>
        </w:rPr>
        <w:t>k</w:t>
      </w:r>
      <w:r w:rsidRPr="00343B90">
        <w:rPr>
          <w:rFonts w:ascii="Times New Roman" w:hAnsi="Times New Roman" w:cs="Times New Roman"/>
        </w:rPr>
        <w:t xml:space="preserve"> = 1 indicates the </w:t>
      </w:r>
      <w:r w:rsidRPr="00343B90">
        <w:rPr>
          <w:rFonts w:ascii="Times New Roman" w:hAnsi="Times New Roman" w:cs="Times New Roman"/>
          <w:i/>
          <w:iCs/>
        </w:rPr>
        <w:t>K-th</w:t>
      </w:r>
      <w:r w:rsidRPr="00343B90">
        <w:rPr>
          <w:rFonts w:ascii="Times New Roman" w:hAnsi="Times New Roman" w:cs="Times New Roman"/>
        </w:rPr>
        <w:t xml:space="preserve"> specific chemical structure fragment or occurs an off-label side effect, and </w:t>
      </w:r>
      <w:r w:rsidRPr="00343B90">
        <w:rPr>
          <w:rFonts w:ascii="Times New Roman" w:hAnsi="Times New Roman" w:cs="Times New Roman"/>
          <w:i/>
          <w:iCs/>
        </w:rPr>
        <w:t>f</w:t>
      </w:r>
      <w:r w:rsidRPr="00343B90">
        <w:rPr>
          <w:rFonts w:ascii="Times New Roman" w:hAnsi="Times New Roman" w:cs="Times New Roman"/>
          <w:i/>
          <w:iCs/>
          <w:vertAlign w:val="subscript"/>
        </w:rPr>
        <w:t xml:space="preserve">k </w:t>
      </w:r>
      <w:r w:rsidRPr="00343B90">
        <w:rPr>
          <w:rFonts w:ascii="Times New Roman" w:hAnsi="Times New Roman" w:cs="Times New Roman"/>
          <w:i/>
          <w:iCs/>
        </w:rPr>
        <w:t>= 0</w:t>
      </w:r>
      <w:r w:rsidRPr="00343B90">
        <w:rPr>
          <w:rFonts w:ascii="Times New Roman" w:hAnsi="Times New Roman" w:cs="Times New Roman"/>
        </w:rPr>
        <w:t xml:space="preserve"> otherwise. Because each drug has two feature vectors of the chemical structure and the off-label side effect. There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p>
    <w:p w14:paraId="20DB07E6" w14:textId="77777777" w:rsidR="008F055C" w:rsidRPr="00343B90" w:rsidRDefault="00BE2CD1">
      <w:pPr>
        <w:spacing w:line="276" w:lineRule="auto"/>
        <w:jc w:val="both"/>
        <w:rPr>
          <w:rFonts w:ascii="Times New Roman" w:hAnsi="Times New Roman" w:cs="Times New Roman"/>
        </w:rPr>
      </w:pPr>
      <w:r w:rsidRPr="00343B90">
        <w:rPr>
          <w:rFonts w:ascii="Times New Roman" w:hAnsi="Times New Roman" w:cs="Times New Roman"/>
        </w:rPr>
        <w:t>on kind of feature</w:t>
      </w:r>
      <w:r w:rsidR="00D92642" w:rsidRPr="00343B90">
        <w:rPr>
          <w:rFonts w:ascii="Times New Roman" w:hAnsi="Times New Roman" w:cs="Times New Roman"/>
        </w:rPr>
        <w:t xml:space="preserve">). Matrices of </w:t>
      </w:r>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str</w:t>
      </w:r>
      <w:r w:rsidR="00D92642" w:rsidRPr="00343B90">
        <w:rPr>
          <w:rFonts w:ascii="Times New Roman" w:hAnsi="Times New Roman" w:cs="Times New Roman"/>
        </w:rPr>
        <w:t xml:space="preserve"> and </w:t>
      </w:r>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se</w:t>
      </w:r>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are, respectively, the feature matrix of the chemical structure and the feature matrix of off-label side effects. </w:t>
      </w:r>
    </w:p>
    <w:p w14:paraId="0DCAD8E0"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Drug-Drug interactions can be accordingly represented as an </w:t>
      </w:r>
      <w:r w:rsidRPr="00343B90">
        <w:rPr>
          <w:rFonts w:ascii="Times New Roman" w:hAnsi="Times New Roman" w:cs="Times New Roman"/>
          <w:i/>
          <w:iCs/>
        </w:rPr>
        <w:t>m × m</w:t>
      </w:r>
      <w:r w:rsidRPr="00343B90">
        <w:rPr>
          <w:rFonts w:ascii="Times New Roman" w:hAnsi="Times New Roman" w:cs="Times New Roman"/>
        </w:rPr>
        <w:t xml:space="preserve"> symmetric interaction matrix </w:t>
      </w:r>
      <w:r w:rsidRPr="00343B90">
        <w:rPr>
          <w:rFonts w:ascii="Times New Roman" w:hAnsi="Times New Roman" w:cs="Times New Roman"/>
          <w:i/>
          <w:iCs/>
        </w:rPr>
        <w:t>A m×m = {a</w:t>
      </w:r>
      <w:r w:rsidRPr="00343B90">
        <w:rPr>
          <w:rFonts w:ascii="Times New Roman" w:hAnsi="Times New Roman" w:cs="Times New Roman"/>
          <w:i/>
          <w:iCs/>
          <w:vertAlign w:val="subscript"/>
        </w:rPr>
        <w:t>ij</w:t>
      </w:r>
      <w:r w:rsidRPr="00343B90">
        <w:rPr>
          <w:rFonts w:ascii="Times New Roman" w:hAnsi="Times New Roman" w:cs="Times New Roman"/>
          <w:i/>
          <w:iCs/>
        </w:rPr>
        <w:t>}.</w:t>
      </w:r>
      <w:r w:rsidRPr="00343B90">
        <w:rPr>
          <w:rFonts w:ascii="Times New Roman" w:hAnsi="Times New Roman" w:cs="Times New Roman"/>
        </w:rPr>
        <w:t xml:space="preserve"> For the conventional binary DDIs,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1</w:t>
      </w:r>
      <w:r w:rsidRPr="00343B90">
        <w:rPr>
          <w:rFonts w:ascii="Times New Roman" w:hAnsi="Times New Roman" w:cs="Times New Roman"/>
        </w:rPr>
        <w:t xml:space="preserve"> if d i interacts with d</w:t>
      </w:r>
      <w:r w:rsidRPr="00343B90">
        <w:rPr>
          <w:rFonts w:ascii="Times New Roman" w:hAnsi="Times New Roman" w:cs="Times New Roman"/>
          <w:vertAlign w:val="subscript"/>
        </w:rPr>
        <w:t>j</w:t>
      </w:r>
      <w:r w:rsidRPr="00343B90">
        <w:rPr>
          <w:rFonts w:ascii="Times New Roman" w:hAnsi="Times New Roman" w:cs="Times New Roman"/>
        </w:rPr>
        <w:t xml:space="preserve"> , and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0 </w:t>
      </w:r>
      <w:r w:rsidRPr="00343B90">
        <w:rPr>
          <w:rFonts w:ascii="Times New Roman" w:hAnsi="Times New Roman" w:cs="Times New Roman"/>
        </w:rPr>
        <w:t>otherwise. Matrix of comprehensive DDIs has three amounts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w:t>
      </w:r>
      <w:r w:rsidRPr="00343B90">
        <w:rPr>
          <w:rFonts w:ascii="Cambria Math" w:hAnsi="Cambria Math" w:cs="Cambria Math"/>
          <w:i/>
          <w:iCs/>
        </w:rPr>
        <w:t>∈</w:t>
      </w:r>
      <w:r w:rsidRPr="00343B90">
        <w:rPr>
          <w:rFonts w:ascii="Times New Roman" w:hAnsi="Times New Roman" w:cs="Times New Roman"/>
          <w:i/>
          <w:iCs/>
        </w:rPr>
        <w:t xml:space="preserve"> {−1, 0, +1}</w:t>
      </w:r>
      <w:r w:rsidRPr="00343B90">
        <w:rPr>
          <w:rFonts w:ascii="Times New Roman" w:hAnsi="Times New Roman" w:cs="Times New Roman"/>
        </w:rPr>
        <w:t xml:space="preserve">). Same as binary formulation, if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00BE2CD1" w:rsidRPr="00343B90">
        <w:rPr>
          <w:rFonts w:ascii="Times New Roman" w:hAnsi="Times New Roman" w:cs="Times New Roman"/>
          <w:i/>
          <w:iCs/>
          <w:vertAlign w:val="subscript"/>
        </w:rPr>
        <w:t>j</w:t>
      </w:r>
      <w:r w:rsidR="00BE2CD1" w:rsidRPr="00343B90">
        <w:rPr>
          <w:rFonts w:ascii="Times New Roman" w:hAnsi="Times New Roman" w:cs="Times New Roman"/>
          <w:i/>
          <w:iCs/>
        </w:rPr>
        <w:t xml:space="preserve"> </w:t>
      </w:r>
      <w:r w:rsidRPr="00343B90">
        <w:rPr>
          <w:rFonts w:ascii="Times New Roman" w:hAnsi="Times New Roman" w:cs="Times New Roman"/>
        </w:rPr>
        <w:t xml:space="preserve">do not interact with each other,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0</w:t>
      </w:r>
      <w:r w:rsidRPr="00343B90">
        <w:rPr>
          <w:rFonts w:ascii="Times New Roman" w:hAnsi="Times New Roman" w:cs="Times New Roman"/>
        </w:rPr>
        <w:t xml:space="preserve"> while there is an enhancive DDI or a degressive DDI between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+1</w:t>
      </w:r>
      <w:r w:rsidRPr="00343B90">
        <w:rPr>
          <w:rFonts w:ascii="Times New Roman" w:hAnsi="Times New Roman" w:cs="Times New Roman"/>
        </w:rPr>
        <w:t xml:space="preserve"> or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−1</w:t>
      </w:r>
      <w:r w:rsidRPr="00343B90">
        <w:rPr>
          <w:rFonts w:ascii="Times New Roman" w:hAnsi="Times New Roman" w:cs="Times New Roman"/>
        </w:rPr>
        <w:t xml:space="preserve"> respectively.</w:t>
      </w:r>
    </w:p>
    <w:p w14:paraId="39EEC671" w14:textId="77777777" w:rsidR="008F055C" w:rsidRPr="00343B90" w:rsidRDefault="008F055C">
      <w:pPr>
        <w:spacing w:line="276" w:lineRule="auto"/>
        <w:rPr>
          <w:rFonts w:ascii="Times New Roman" w:hAnsi="Times New Roman" w:cs="Times New Roman"/>
        </w:rPr>
      </w:pPr>
    </w:p>
    <w:p w14:paraId="183FB851"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5F8EB80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013755D1" w14:textId="77777777" w:rsidR="008F055C" w:rsidRPr="00343B90" w:rsidRDefault="008F055C">
      <w:pPr>
        <w:spacing w:line="276" w:lineRule="auto"/>
        <w:rPr>
          <w:rFonts w:ascii="Times New Roman" w:hAnsi="Times New Roman" w:cs="Times New Roman"/>
        </w:rPr>
      </w:pPr>
    </w:p>
    <w:p w14:paraId="42E3E1E8"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3B5E56D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w:t>
      </w:r>
      <w:r w:rsidRPr="00343B90">
        <w:rPr>
          <w:rFonts w:ascii="Times New Roman" w:hAnsi="Times New Roman" w:cs="Times New Roman"/>
        </w:rPr>
        <w:lastRenderedPageBreak/>
        <w:t xml:space="preserve">on chemical structure and off-label side effects are calculated. These matrices are </w:t>
      </w:r>
      <w:r w:rsidRPr="00343B90">
        <w:rPr>
          <w:rFonts w:ascii="Times New Roman" w:hAnsi="Times New Roman" w:cs="Times New Roman"/>
          <w:i/>
          <w:iCs/>
        </w:rPr>
        <w:t>S</w:t>
      </w:r>
      <w:r w:rsidRPr="00343B90">
        <w:rPr>
          <w:rFonts w:ascii="Times New Roman" w:hAnsi="Times New Roman" w:cs="Times New Roman"/>
          <w:i/>
          <w:iCs/>
          <w:vertAlign w:val="subscript"/>
        </w:rPr>
        <w:t>str</w:t>
      </w:r>
      <w:r w:rsidRPr="00343B90">
        <w:rPr>
          <w:rFonts w:ascii="Times New Roman" w:hAnsi="Times New Roman" w:cs="Times New Roman"/>
          <w:i/>
          <w:iCs/>
        </w:rPr>
        <w:t xml:space="preserve"> </w:t>
      </w:r>
      <w:r w:rsidRPr="00343B90">
        <w:rPr>
          <w:rFonts w:ascii="Times New Roman" w:hAnsi="Times New Roman" w:cs="Times New Roman"/>
        </w:rPr>
        <w:t xml:space="preserve">and </w:t>
      </w:r>
      <w:r w:rsidRPr="00343B90">
        <w:rPr>
          <w:rFonts w:ascii="Times New Roman" w:hAnsi="Times New Roman" w:cs="Times New Roman"/>
          <w:i/>
          <w:iCs/>
        </w:rPr>
        <w:t>S</w:t>
      </w:r>
      <w:r w:rsidRPr="00343B90">
        <w:rPr>
          <w:rFonts w:ascii="Times New Roman" w:hAnsi="Times New Roman" w:cs="Times New Roman"/>
          <w:i/>
          <w:iCs/>
          <w:vertAlign w:val="subscript"/>
        </w:rPr>
        <w:t>se</w:t>
      </w:r>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where s</w:t>
      </w:r>
      <w:r w:rsidRPr="00343B90">
        <w:rPr>
          <w:rFonts w:ascii="Times New Roman" w:hAnsi="Times New Roman" w:cs="Times New Roman"/>
          <w:vertAlign w:val="subscript"/>
        </w:rPr>
        <w:t>i,j</w:t>
      </w:r>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2D36B8C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x</w:t>
      </w:r>
      <w:r w:rsidRPr="00343B90">
        <w:rPr>
          <w:rFonts w:ascii="Times New Roman" w:hAnsi="Times New Roman" w:cs="Times New Roman"/>
          <w:i/>
          <w:iCs/>
          <w:vertAlign w:val="subscript"/>
        </w:rPr>
        <w:t>j</w:t>
      </w:r>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x</w:t>
      </w:r>
      <w:r w:rsidRPr="00343B90">
        <w:rPr>
          <w:rFonts w:ascii="Times New Roman" w:hAnsi="Times New Roman" w:cs="Times New Roman"/>
          <w:vertAlign w:val="subscript"/>
        </w:rPr>
        <w:t>j</w:t>
      </w:r>
      <w:r w:rsidRPr="00343B90">
        <w:rPr>
          <w:rFonts w:ascii="Times New Roman" w:hAnsi="Times New Roman" w:cs="Times New Roman"/>
        </w:rPr>
        <w:t xml:space="preserve"> is defined as follows:</w:t>
      </w:r>
    </w:p>
    <w:p w14:paraId="275B33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w:t>
      </w:r>
      <w:r w:rsidRPr="00343B90">
        <w:rPr>
          <w:rFonts w:ascii="Times New Roman" w:hAnsi="Times New Roman" w:cs="Times New Roman"/>
          <w:vertAlign w:val="subscript"/>
        </w:rPr>
        <w:t>Cos</w:t>
      </w:r>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w:t>
      </w:r>
      <w:r w:rsidRPr="00343B90">
        <w:rPr>
          <w:rFonts w:ascii="Times New Roman" w:hAnsi="Times New Roman" w:cs="Times New Roman"/>
          <w:vertAlign w:val="subscript"/>
        </w:rPr>
        <w:t>j</w:t>
      </w:r>
      <w:r w:rsidRPr="00343B90">
        <w:rPr>
          <w:rFonts w:ascii="Times New Roman" w:hAnsi="Times New Roman" w:cs="Times New Roman"/>
        </w:rPr>
        <w:t xml:space="preserve">) = </w:t>
      </w:r>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70D9A8E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r w:rsidR="00C939EF" w:rsidRPr="00343B90">
        <w:rPr>
          <w:rFonts w:ascii="Times New Roman" w:hAnsi="Times New Roman" w:cs="Times New Roman"/>
        </w:rPr>
        <w:t xml:space="preserve"> </w:t>
      </w:r>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is inner product of two vectors.</w:t>
      </w:r>
    </w:p>
    <w:p w14:paraId="693226FF" w14:textId="77777777" w:rsidR="008F055C" w:rsidRPr="00343B90" w:rsidRDefault="008F055C">
      <w:pPr>
        <w:spacing w:line="276" w:lineRule="auto"/>
        <w:rPr>
          <w:rFonts w:ascii="Times New Roman" w:hAnsi="Times New Roman" w:cs="Times New Roman"/>
        </w:rPr>
      </w:pPr>
    </w:p>
    <w:p w14:paraId="440EE691"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AB0320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247BF8D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4306B9E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7415E22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has dimensions of 568 × 568, and elements of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have a value between 0 and 1. To integrate the network similarity, the package of SNFPy is used, which is implemented in Python and is available at [39].</w:t>
      </w:r>
    </w:p>
    <w:p w14:paraId="0691BDD9" w14:textId="77777777" w:rsidR="008F055C" w:rsidRPr="00343B90" w:rsidRDefault="008F055C">
      <w:pPr>
        <w:spacing w:line="276" w:lineRule="auto"/>
        <w:rPr>
          <w:rFonts w:ascii="Times New Roman" w:hAnsi="Times New Roman" w:cs="Times New Roman"/>
        </w:rPr>
      </w:pPr>
    </w:p>
    <w:p w14:paraId="202CF2FE"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7772C6D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0943651A"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r w:rsidRPr="00343B90">
        <w:rPr>
          <w:rFonts w:ascii="Times New Roman" w:hAnsi="Times New Roman" w:cs="Times New Roman"/>
          <w:i/>
          <w:iCs/>
        </w:rPr>
        <w:t xml:space="preserve">i-th </w:t>
      </w:r>
      <w:r w:rsidRPr="00343B90">
        <w:rPr>
          <w:rFonts w:ascii="Times New Roman" w:hAnsi="Times New Roman" w:cs="Times New Roman"/>
        </w:rPr>
        <w:t>and the name of the drug j</w:t>
      </w:r>
      <w:r w:rsidRPr="00343B90">
        <w:rPr>
          <w:rFonts w:ascii="Times New Roman" w:hAnsi="Times New Roman" w:cs="Times New Roman"/>
          <w:i/>
          <w:iCs/>
        </w:rPr>
        <w:t>-th</w:t>
      </w:r>
      <w:r w:rsidRPr="00343B90">
        <w:rPr>
          <w:rFonts w:ascii="Times New Roman" w:hAnsi="Times New Roman" w:cs="Times New Roman"/>
        </w:rPr>
        <w:t>.</w:t>
      </w:r>
    </w:p>
    <w:p w14:paraId="798A4A1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49487426"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i-th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7B9CA6F3"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j-th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43BDAD9D"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contains 568 drugs. Obviously,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d</w:t>
      </w:r>
      <w:r w:rsidRPr="00343B90">
        <w:rPr>
          <w:rFonts w:ascii="Times New Roman" w:hAnsi="Times New Roman" w:cs="Times New Roman"/>
          <w:i/>
          <w:iCs/>
          <w:vertAlign w:val="subscript"/>
        </w:rPr>
        <w:t>j</w:t>
      </w:r>
      <w:r w:rsidRPr="00343B90">
        <w:rPr>
          <w:rFonts w:ascii="Times New Roman" w:hAnsi="Times New Roman" w:cs="Times New Roman"/>
        </w:rPr>
        <w:t>)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5EBA4B42" w14:textId="77777777" w:rsidR="00280A89" w:rsidRPr="00343B90" w:rsidRDefault="00280A89" w:rsidP="00280A89">
      <w:pPr>
        <w:keepNext/>
        <w:spacing w:line="276" w:lineRule="auto"/>
        <w:rPr>
          <w:rFonts w:ascii="Times New Roman" w:hAnsi="Times New Roman" w:cs="Times New Roman"/>
        </w:rPr>
      </w:pPr>
    </w:p>
    <w:p w14:paraId="2BE5FA0B"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30B65462" w14:textId="77777777" w:rsidR="001B23AB" w:rsidRPr="00343B90" w:rsidRDefault="001B23AB" w:rsidP="00280A89">
      <w:pPr>
        <w:keepNext/>
        <w:spacing w:line="276" w:lineRule="auto"/>
        <w:rPr>
          <w:rFonts w:ascii="Times New Roman" w:hAnsi="Times New Roman" w:cs="Times New Roman"/>
        </w:rPr>
      </w:pPr>
    </w:p>
    <w:p w14:paraId="5DD00C04"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1518DFF5" wp14:editId="76547D23">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296025" cy="2295525"/>
                    </a:xfrm>
                    <a:prstGeom prst="rect">
                      <a:avLst/>
                    </a:prstGeom>
                  </pic:spPr>
                </pic:pic>
              </a:graphicData>
            </a:graphic>
          </wp:inline>
        </w:drawing>
      </w:r>
    </w:p>
    <w:p w14:paraId="1169DC2F"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2530ABAD" w14:textId="77777777" w:rsidR="001B23AB" w:rsidRPr="00343B90" w:rsidRDefault="001B23AB" w:rsidP="00280A89">
      <w:pPr>
        <w:keepNext/>
        <w:spacing w:line="276" w:lineRule="auto"/>
        <w:rPr>
          <w:rFonts w:ascii="Times New Roman" w:hAnsi="Times New Roman" w:cs="Times New Roman"/>
        </w:rPr>
      </w:pPr>
    </w:p>
    <w:p w14:paraId="5736D2F4"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22519E54" wp14:editId="3033C4AC">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7"/>
                    <a:stretch>
                      <a:fillRect/>
                    </a:stretch>
                  </pic:blipFill>
                  <pic:spPr bwMode="auto">
                    <a:xfrm>
                      <a:off x="0" y="0"/>
                      <a:ext cx="6038850" cy="990600"/>
                    </a:xfrm>
                    <a:prstGeom prst="rect">
                      <a:avLst/>
                    </a:prstGeom>
                  </pic:spPr>
                </pic:pic>
              </a:graphicData>
            </a:graphic>
          </wp:inline>
        </w:drawing>
      </w:r>
    </w:p>
    <w:p w14:paraId="6D47C2F0"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750E6B65" w14:textId="77777777" w:rsidR="008F055C" w:rsidRPr="00343B90" w:rsidRDefault="008F055C" w:rsidP="00280A89">
      <w:pPr>
        <w:spacing w:line="276" w:lineRule="auto"/>
        <w:rPr>
          <w:rFonts w:ascii="Times New Roman" w:hAnsi="Times New Roman" w:cs="Times New Roman"/>
        </w:rPr>
      </w:pPr>
    </w:p>
    <w:p w14:paraId="453AE56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F80311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But before presenting the model and inputting the data into the machine, one important point must be considered. The positive and negative DDIs have specific and real labels while the zero label does not mean that there is no interaction between a drug pair, it just indicates that no interaction has </w:t>
      </w:r>
      <w:r w:rsidRPr="00343B90">
        <w:rPr>
          <w:rFonts w:ascii="Times New Roman" w:hAnsi="Times New Roman" w:cs="Times New Roman"/>
        </w:rPr>
        <w:lastRenderedPageBreak/>
        <w:t>yet been found for this pair of drugs. In the following, we present a method for detecting pairs of non-interacting drugs. Then we use these pairs of drugs as zero-labeled data in the next training.</w:t>
      </w:r>
    </w:p>
    <w:p w14:paraId="73E7CC17" w14:textId="77777777" w:rsidR="008F055C" w:rsidRPr="00343B90" w:rsidRDefault="008F055C">
      <w:pPr>
        <w:spacing w:line="276" w:lineRule="auto"/>
        <w:rPr>
          <w:rFonts w:ascii="Times New Roman" w:hAnsi="Times New Roman" w:cs="Times New Roman"/>
        </w:rPr>
      </w:pPr>
    </w:p>
    <w:p w14:paraId="1E8D8A1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6F65D7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246C1C9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d</w:t>
      </w:r>
      <w:r w:rsidRPr="00343B90">
        <w:rPr>
          <w:rFonts w:ascii="Times New Roman" w:hAnsi="Times New Roman" w:cs="Times New Roman"/>
          <w:vertAlign w:val="subscript"/>
        </w:rPr>
        <w:t>j</w:t>
      </w:r>
      <w:r w:rsidR="00727DFE" w:rsidRPr="00343B90">
        <w:rPr>
          <w:rFonts w:ascii="Times New Roman" w:hAnsi="Times New Roman" w:cs="Times New Roman"/>
        </w:rPr>
        <w:t>) and (d</w:t>
      </w:r>
      <w:r w:rsidR="00727DFE" w:rsidRPr="00343B90">
        <w:rPr>
          <w:rFonts w:ascii="Times New Roman" w:hAnsi="Times New Roman" w:cs="Times New Roman"/>
          <w:vertAlign w:val="subscript"/>
        </w:rPr>
        <w:t>j</w:t>
      </w:r>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2915A1E"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1C7618C7" w14:textId="77777777">
        <w:trPr>
          <w:trHeight w:val="900"/>
        </w:trPr>
        <w:tc>
          <w:tcPr>
            <w:tcW w:w="1538" w:type="dxa"/>
            <w:tcBorders>
              <w:top w:val="single" w:sz="6" w:space="0" w:color="000000"/>
              <w:bottom w:val="single" w:sz="6" w:space="0" w:color="000000"/>
            </w:tcBorders>
          </w:tcPr>
          <w:p w14:paraId="7D3B1081"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5DF51C5F"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1F4E5DE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7B5A7E5" w14:textId="77777777">
        <w:trPr>
          <w:trHeight w:val="697"/>
        </w:trPr>
        <w:tc>
          <w:tcPr>
            <w:tcW w:w="1538" w:type="dxa"/>
          </w:tcPr>
          <w:p w14:paraId="79A14F4C"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3C6C21FA"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1B6047F8"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220E1993" w14:textId="77777777">
        <w:trPr>
          <w:trHeight w:val="856"/>
        </w:trPr>
        <w:tc>
          <w:tcPr>
            <w:tcW w:w="1538" w:type="dxa"/>
            <w:tcBorders>
              <w:bottom w:val="single" w:sz="6" w:space="0" w:color="000000"/>
            </w:tcBorders>
          </w:tcPr>
          <w:p w14:paraId="6EF6DBDF"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0F5DF87E"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2312C4A1"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11F7E204"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6DA65D1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224EFB14"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p>
    <w:p w14:paraId="4B02E424" w14:textId="77777777"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 xml:space="preserve">Acurracy= </m:t>
          </m:r>
          <m:f>
            <m:fPr>
              <m:ctrlPr>
                <w:rPr>
                  <w:rFonts w:ascii="Cambria Math" w:hAnsi="Cambria Math" w:cs="Times New Roman"/>
                  <w:i/>
                  <w:iCs/>
                </w:rPr>
              </m:ctrlPr>
            </m:fPr>
            <m:num>
              <m:r>
                <w:rPr>
                  <w:rFonts w:ascii="Cambria Math" w:hAnsi="Cambria Math" w:cs="Times New Roman"/>
                </w:rPr>
                <m:t>TP+TN</m:t>
              </m:r>
            </m:num>
            <m:den>
              <m:r>
                <w:rPr>
                  <w:rFonts w:ascii="Cambria Math" w:hAnsi="Cambria Math" w:cs="Times New Roman"/>
                </w:rPr>
                <m:t>TP+FP+TN+FN</m:t>
              </m:r>
            </m:den>
          </m:f>
        </m:oMath>
      </m:oMathPara>
    </w:p>
    <w:p w14:paraId="48F7038E" w14:textId="77777777" w:rsidR="00A37DFB" w:rsidRPr="00343B90" w:rsidRDefault="00A37DFB" w:rsidP="00A37DFB">
      <w:pPr>
        <w:spacing w:line="276" w:lineRule="auto"/>
        <w:rPr>
          <w:rFonts w:ascii="Times New Roman" w:hAnsi="Times New Roman" w:cs="Times New Roman"/>
        </w:rPr>
      </w:pPr>
    </w:p>
    <w:p w14:paraId="47504D8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Precision: The fraction of correct predicted (enh/deg) interactions among all predicted (enh/deg) interactions.</w:t>
      </w:r>
    </w:p>
    <w:p w14:paraId="6EBC1ACC" w14:textId="77777777" w:rsidR="008F055C" w:rsidRPr="00343B90" w:rsidRDefault="00000000" w:rsidP="00661C92">
      <w:pPr>
        <w:spacing w:line="276" w:lineRule="auto"/>
        <w:rPr>
          <w:rFonts w:ascii="Times New Roman" w:hAnsi="Times New Roman" w:cs="Times New Roman"/>
          <w:i/>
          <w:iCs/>
        </w:rPr>
      </w:pPr>
      <m:oMathPara>
        <m:oMath>
          <m:sSub>
            <m:sSubPr>
              <m:ctrlPr>
                <w:rPr>
                  <w:rFonts w:ascii="Cambria Math" w:hAnsi="Cambria Math" w:cs="Times New Roman"/>
                  <w:iCs/>
                </w:rPr>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TP</m:t>
              </m:r>
            </m:num>
            <m:den>
              <m:r>
                <w:rPr>
                  <w:rFonts w:ascii="Cambria Math" w:hAnsi="Cambria Math" w:cs="Times New Roman"/>
                </w:rPr>
                <m:t>TP+FP</m:t>
              </m:r>
            </m:den>
          </m:f>
        </m:oMath>
      </m:oMathPara>
    </w:p>
    <w:p w14:paraId="415CF8A0" w14:textId="77777777" w:rsidR="00501F84" w:rsidRPr="00343B90" w:rsidRDefault="00501F84" w:rsidP="00501F84">
      <w:pPr>
        <w:spacing w:line="276" w:lineRule="auto"/>
        <w:rPr>
          <w:rFonts w:ascii="Times New Roman" w:hAnsi="Times New Roman" w:cs="Times New Roman"/>
          <w:i/>
          <w:iCs/>
        </w:rPr>
      </w:pPr>
    </w:p>
    <w:p w14:paraId="26BAD6F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(enh/deg) interactions among all true (enh/deg) interactions.</w:t>
      </w:r>
    </w:p>
    <w:p w14:paraId="68D6589D" w14:textId="77777777" w:rsidR="008F055C" w:rsidRPr="00343B90" w:rsidRDefault="00000000" w:rsidP="0094351A">
      <w:pPr>
        <w:spacing w:line="276" w:lineRule="auto"/>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rPr>
                  <w:rFonts w:ascii="Cambria Math" w:hAnsi="Cambria Math" w:cs="Times New Roman"/>
                  <w:i/>
                  <w:iCs/>
                </w:rPr>
              </m:ctrlPr>
            </m:fPr>
            <m:num>
              <m:r>
                <w:rPr>
                  <w:rFonts w:ascii="Cambria Math" w:hAnsi="Cambria Math" w:cs="Times New Roman"/>
                </w:rPr>
                <m:t>TP</m:t>
              </m:r>
            </m:num>
            <m:den>
              <m:r>
                <w:rPr>
                  <w:rFonts w:ascii="Cambria Math" w:hAnsi="Cambria Math" w:cs="Times New Roman"/>
                </w:rPr>
                <m:t>TP+FN</m:t>
              </m:r>
            </m:den>
          </m:f>
        </m:oMath>
      </m:oMathPara>
    </w:p>
    <w:p w14:paraId="02125B6D"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Precision and recall have a trade-off; thus, improving one of them may lead to a reduction in another. Therefore, utilizing F-measure is more reasonable. F-measure: The geometric mean of precision and recall.</w:t>
      </w:r>
    </w:p>
    <w:p w14:paraId="154A16A7"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rPr>
                      <w:rFonts w:ascii="Cambria Math" w:hAnsi="Cambria Math" w:cs="Times New Roman"/>
                      <w:i/>
                      <w:iCs/>
                    </w:rPr>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5653C508" w14:textId="77777777" w:rsidR="008F055C" w:rsidRPr="00343B90" w:rsidRDefault="008F055C">
      <w:pPr>
        <w:spacing w:line="276" w:lineRule="auto"/>
        <w:rPr>
          <w:rFonts w:ascii="Times New Roman" w:hAnsi="Times New Roman" w:cs="Times New Roman"/>
        </w:rPr>
      </w:pPr>
    </w:p>
    <w:p w14:paraId="66BAB5DF"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23E0106B" w14:textId="77777777" w:rsidR="008F055C" w:rsidRPr="00343B90" w:rsidRDefault="00D92642">
      <w:pPr>
        <w:spacing w:line="276" w:lineRule="auto"/>
        <w:rPr>
          <w:rFonts w:ascii="Times New Roman" w:hAnsi="Times New Roman" w:cs="Times New Roman"/>
          <w:i/>
          <w:iCs/>
        </w:rPr>
      </w:pPr>
      <w:r w:rsidRPr="00343B90">
        <w:rPr>
          <w:rFonts w:ascii="Times New Roman" w:hAnsi="Times New Roman" w:cs="Times New Roman"/>
          <w:i/>
          <w:iCs/>
        </w:rPr>
        <w:t>samples are not equal, AUPR is the fairer criterion for evaluation.</w:t>
      </w:r>
    </w:p>
    <w:p w14:paraId="65E29BA1" w14:textId="77777777" w:rsidR="008F055C" w:rsidRPr="00343B90" w:rsidRDefault="008F055C">
      <w:pPr>
        <w:spacing w:line="276" w:lineRule="auto"/>
        <w:rPr>
          <w:rFonts w:ascii="Times New Roman" w:hAnsi="Times New Roman" w:cs="Times New Roman"/>
        </w:rPr>
      </w:pPr>
    </w:p>
    <w:p w14:paraId="4179699F" w14:textId="77777777" w:rsidR="008F055C" w:rsidRPr="00343B90" w:rsidRDefault="00D92642">
      <w:pPr>
        <w:spacing w:line="276" w:lineRule="auto"/>
        <w:rPr>
          <w:rFonts w:ascii="Times New Roman" w:hAnsi="Times New Roman" w:cs="Times New Roman"/>
          <w:b/>
          <w:bCs/>
          <w:i/>
          <w:iCs/>
        </w:rPr>
      </w:pPr>
      <w:r w:rsidRPr="00343B90">
        <w:rPr>
          <w:rFonts w:ascii="Times New Roman" w:hAnsi="Times New Roman" w:cs="Times New Roman"/>
          <w:b/>
          <w:bCs/>
          <w:i/>
          <w:iCs/>
        </w:rPr>
        <w:t>Selecting and training model on known interactions</w:t>
      </w:r>
    </w:p>
    <w:p w14:paraId="69D5D572"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To solve this problem, it is necessary to provide a model that detects non-interaction with high resolution and confidence. Therefore, we design a model based on deep learning that predicts the possible non-interaction drug pairs and then use it to design a three-class model. Obviously, high resolution in detecting these zeros can help provide a more accurate and confident three-class model.</w:t>
      </w:r>
    </w:p>
    <w:p w14:paraId="4B6A6AB4" w14:textId="77777777" w:rsidR="008F055C" w:rsidRPr="00343B90" w:rsidRDefault="008F055C">
      <w:pPr>
        <w:spacing w:line="276" w:lineRule="auto"/>
        <w:rPr>
          <w:rFonts w:ascii="Times New Roman" w:hAnsi="Times New Roman" w:cs="Times New Roman"/>
        </w:rPr>
      </w:pPr>
    </w:p>
    <w:p w14:paraId="4C8C51A2" w14:textId="77777777" w:rsidR="008F055C" w:rsidRPr="00343B90" w:rsidRDefault="00D92642">
      <w:pPr>
        <w:spacing w:line="276" w:lineRule="auto"/>
        <w:rPr>
          <w:rFonts w:ascii="Times New Roman" w:hAnsi="Times New Roman" w:cs="Times New Roman"/>
          <w:b/>
          <w:bCs/>
          <w:i/>
          <w:iCs/>
        </w:rPr>
      </w:pPr>
      <w:r w:rsidRPr="00343B90">
        <w:rPr>
          <w:rFonts w:ascii="Times New Roman" w:hAnsi="Times New Roman" w:cs="Times New Roman"/>
          <w:b/>
          <w:bCs/>
          <w:i/>
          <w:iCs/>
        </w:rPr>
        <w:t>Selecting model</w:t>
      </w:r>
    </w:p>
    <w:p w14:paraId="3E249050"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p>
    <w:p w14:paraId="1BC12C73"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p>
    <w:p w14:paraId="5CD2F405"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process, pairs of drugs dual are considered. Since the (d i , d j ) and (d j , d i ) pairs of drugs are not biologically different from each other, in the separation of training and testing data, necessarily a pair of drugs and their dual are in the same group. This prevents unfair results.</w:t>
      </w:r>
    </w:p>
    <w:p w14:paraId="23E83F28" w14:textId="77777777" w:rsidR="008F055C" w:rsidRPr="00343B90" w:rsidRDefault="008F055C">
      <w:pPr>
        <w:spacing w:line="276" w:lineRule="auto"/>
        <w:jc w:val="both"/>
        <w:rPr>
          <w:rFonts w:ascii="Times New Roman" w:hAnsi="Times New Roman" w:cs="Times New Roman"/>
        </w:rPr>
      </w:pPr>
    </w:p>
    <w:p w14:paraId="1FCBA51E"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 xml:space="preserve">After testing the different structures, we have modeled the final deep neural network shown in Figure 3. This network has three layers of two-dimensional convolution. In the following, there are three fully-connected convolution layers. The last layer has two outputs for predicting degressive or enhancive interaction. Convolution layers have 4-dimensions square filters with a Stride of 1. Each convolution </w:t>
      </w:r>
      <w:r w:rsidRPr="00343B90">
        <w:rPr>
          <w:rFonts w:ascii="Times New Roman" w:hAnsi="Times New Roman" w:cs="Times New Roman"/>
          <w:i/>
          <w:iCs/>
        </w:rPr>
        <w:lastRenderedPageBreak/>
        <w:t>layer also has a Rectified Linear Units (ReLU) activation function [40], which is defined as the positive part of its argument:</w:t>
      </w:r>
    </w:p>
    <w:p w14:paraId="628A4397" w14:textId="77777777" w:rsidR="008F055C" w:rsidRPr="00343B90" w:rsidRDefault="008F055C">
      <w:pPr>
        <w:spacing w:line="276" w:lineRule="auto"/>
        <w:rPr>
          <w:rFonts w:ascii="Times New Roman" w:hAnsi="Times New Roman" w:cs="Times New Roman"/>
        </w:rPr>
      </w:pPr>
    </w:p>
    <w:p w14:paraId="6D4FF3EF" w14:textId="77777777" w:rsidR="008F055C" w:rsidRPr="00343B90" w:rsidRDefault="00D92642" w:rsidP="00740943">
      <w:pPr>
        <w:keepNext/>
        <w:spacing w:line="276" w:lineRule="auto"/>
        <w:rPr>
          <w:rFonts w:ascii="Times New Roman" w:hAnsi="Times New Roman" w:cs="Times New Roman"/>
          <w:noProof/>
          <w:lang w:eastAsia="en-US" w:bidi="ar-SA"/>
        </w:rPr>
      </w:pPr>
      <w:r w:rsidRPr="00343B90">
        <w:rPr>
          <w:rFonts w:ascii="Times New Roman" w:hAnsi="Times New Roman" w:cs="Times New Roman"/>
          <w:i/>
          <w:iCs/>
        </w:rPr>
        <w:t xml:space="preserve">ReLU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2F4E103C" w14:textId="77777777" w:rsidR="00740943" w:rsidRPr="00343B90" w:rsidRDefault="00740943" w:rsidP="00740943">
      <w:pPr>
        <w:keepNext/>
        <w:spacing w:line="276" w:lineRule="auto"/>
        <w:rPr>
          <w:rFonts w:ascii="Times New Roman" w:hAnsi="Times New Roman" w:cs="Times New Roman"/>
          <w:noProof/>
          <w:lang w:eastAsia="en-US" w:bidi="ar-SA"/>
        </w:rPr>
      </w:pPr>
    </w:p>
    <w:p w14:paraId="60D1A3BD"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4D0CD140" wp14:editId="7FC46B1F">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9538" cy="2739878"/>
                    </a:xfrm>
                    <a:prstGeom prst="rect">
                      <a:avLst/>
                    </a:prstGeom>
                  </pic:spPr>
                </pic:pic>
              </a:graphicData>
            </a:graphic>
          </wp:inline>
        </w:drawing>
      </w:r>
    </w:p>
    <w:p w14:paraId="6583709C"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7E840089" w14:textId="77777777" w:rsidR="008F055C" w:rsidRPr="00343B90" w:rsidRDefault="008F055C">
      <w:pPr>
        <w:spacing w:line="276" w:lineRule="auto"/>
        <w:rPr>
          <w:rFonts w:ascii="Times New Roman" w:hAnsi="Times New Roman" w:cs="Times New Roman"/>
        </w:rPr>
      </w:pPr>
    </w:p>
    <w:p w14:paraId="29158F3E" w14:textId="77777777" w:rsidR="008F055C" w:rsidRPr="00343B90" w:rsidRDefault="00000000" w:rsidP="00D57090">
      <w:pPr>
        <w:spacing w:line="276" w:lineRule="auto"/>
        <w:jc w:val="both"/>
        <w:rPr>
          <w:rFonts w:ascii="Times New Roman" w:hAnsi="Times New Roman" w:cs="Times New Roman"/>
          <w:i/>
          <w:iCs/>
        </w:rPr>
      </w:pPr>
      <w:r>
        <w:rPr>
          <w:rFonts w:ascii="Times New Roman" w:hAnsi="Times New Roman" w:cs="Times New Roman"/>
          <w:noProof/>
          <w:lang w:eastAsia="en-US" w:bidi="ar-SA"/>
        </w:rPr>
        <w:pict w14:anchorId="2D4E9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75" o:spid="_x0000_s1027" type="#_x0000_t75" style="position:absolute;left:0;text-align:left;margin-left:0;margin-top:0;width:50pt;height:50pt;z-index:251658240;visibility:hidden">
            <o:lock v:ext="edit" selection="t"/>
          </v:shape>
        </w:pict>
      </w:r>
      <w:r w:rsidR="00D92642" w:rsidRPr="00343B90">
        <w:rPr>
          <w:rFonts w:ascii="Times New Roman" w:hAnsi="Times New Roman" w:cs="Times New Roman"/>
          <w:i/>
          <w:iCs/>
        </w:rPr>
        <w:t>The number of convolution filters is 128, 32, and 8, respectively. All connected layers have 64, 16, and 2 nodes, respectively. The first two layers have the activation function of ReLU, and the last layer with 2 nodes has a Sigmoid activation function [41], which is calculated as follows:</w:t>
      </w:r>
    </w:p>
    <w:p w14:paraId="3B250096" w14:textId="77777777" w:rsidR="00D57090" w:rsidRPr="00343B90" w:rsidRDefault="00D57090" w:rsidP="00D57090">
      <w:pPr>
        <w:spacing w:line="276" w:lineRule="auto"/>
        <w:jc w:val="both"/>
        <w:rPr>
          <w:rFonts w:ascii="Times New Roman" w:hAnsi="Times New Roman" w:cs="Times New Roman"/>
          <w:i/>
          <w:iCs/>
        </w:rPr>
      </w:pPr>
    </w:p>
    <w:p w14:paraId="159443C6"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 xml:space="preserve">(1 +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73F8CF21" w14:textId="77777777" w:rsidR="008F055C" w:rsidRPr="00343B90" w:rsidRDefault="008F055C">
      <w:pPr>
        <w:spacing w:line="276" w:lineRule="auto"/>
        <w:rPr>
          <w:rFonts w:ascii="Times New Roman" w:hAnsi="Times New Roman" w:cs="Times New Roman"/>
        </w:rPr>
      </w:pPr>
    </w:p>
    <w:p w14:paraId="2B2F1AC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wast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49230C7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60A16E8B"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complexity of the model.</w:t>
      </w:r>
    </w:p>
    <w:p w14:paraId="2C1AB160" w14:textId="77777777" w:rsidR="00FF7E56" w:rsidRPr="00343B90" w:rsidRDefault="00FF7E56">
      <w:pPr>
        <w:spacing w:line="276" w:lineRule="auto"/>
        <w:rPr>
          <w:rFonts w:ascii="Times New Roman" w:hAnsi="Times New Roman" w:cs="Times New Roman"/>
        </w:rPr>
      </w:pPr>
    </w:p>
    <w:p w14:paraId="1713726A"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3A7E60E9" wp14:editId="1D588D55">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9"/>
                    <a:stretch>
                      <a:fillRect/>
                    </a:stretch>
                  </pic:blipFill>
                  <pic:spPr bwMode="auto">
                    <a:xfrm>
                      <a:off x="0" y="0"/>
                      <a:ext cx="5371465" cy="3609340"/>
                    </a:xfrm>
                    <a:prstGeom prst="rect">
                      <a:avLst/>
                    </a:prstGeom>
                  </pic:spPr>
                </pic:pic>
              </a:graphicData>
            </a:graphic>
          </wp:inline>
        </w:drawing>
      </w:r>
    </w:p>
    <w:p w14:paraId="60190B5F"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3BD62490"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2145751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We used Tensorflow [43] (version 1.14.0) and KERAS [44] (version 2.2.5) packages to implement the neural network.</w:t>
      </w:r>
    </w:p>
    <w:p w14:paraId="00AABA59"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30BB8F85"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267DBB15"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407EEAD6"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6003D989" w14:textId="77777777" w:rsidR="008F055C" w:rsidRPr="00343B90" w:rsidRDefault="008F055C">
      <w:pPr>
        <w:spacing w:line="276" w:lineRule="auto"/>
        <w:jc w:val="both"/>
        <w:rPr>
          <w:rFonts w:ascii="Times New Roman" w:hAnsi="Times New Roman" w:cs="Times New Roman"/>
        </w:rPr>
      </w:pPr>
    </w:p>
    <w:p w14:paraId="0EBD515C"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FE7022D"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p>
    <w:p w14:paraId="2C4B4454"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5E890508"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4992FECA" w14:textId="77777777" w:rsidR="008F055C" w:rsidRPr="00343B90" w:rsidRDefault="008F055C">
      <w:pPr>
        <w:spacing w:line="276" w:lineRule="auto"/>
        <w:jc w:val="both"/>
        <w:rPr>
          <w:rFonts w:ascii="Times New Roman" w:hAnsi="Times New Roman" w:cs="Times New Roman"/>
        </w:rPr>
      </w:pPr>
    </w:p>
    <w:p w14:paraId="27456107"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6932C2AE" wp14:editId="5B636E04">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0"/>
                    <a:stretch>
                      <a:fillRect/>
                    </a:stretch>
                  </pic:blipFill>
                  <pic:spPr bwMode="auto">
                    <a:xfrm>
                      <a:off x="0" y="0"/>
                      <a:ext cx="6332220" cy="2152650"/>
                    </a:xfrm>
                    <a:prstGeom prst="rect">
                      <a:avLst/>
                    </a:prstGeom>
                  </pic:spPr>
                </pic:pic>
              </a:graphicData>
            </a:graphic>
          </wp:inline>
        </w:drawing>
      </w:r>
    </w:p>
    <w:p w14:paraId="2BA8149F"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6A2BF1C0"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32E6325C"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426C49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1E4FE404"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79EB3229" w14:textId="77777777" w:rsidR="008F055C" w:rsidRPr="00343B90" w:rsidRDefault="008F055C">
      <w:pPr>
        <w:spacing w:line="276" w:lineRule="auto"/>
        <w:jc w:val="both"/>
        <w:rPr>
          <w:rFonts w:ascii="Times New Roman" w:hAnsi="Times New Roman" w:cs="Times New Roman"/>
        </w:rPr>
      </w:pPr>
    </w:p>
    <w:p w14:paraId="4EF03E63"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7196409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2C38DEE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1CCB7206"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0CCBB276" w14:textId="77777777">
        <w:tc>
          <w:tcPr>
            <w:tcW w:w="1662" w:type="dxa"/>
            <w:tcBorders>
              <w:top w:val="single" w:sz="6" w:space="0" w:color="000000"/>
              <w:bottom w:val="single" w:sz="6" w:space="0" w:color="000000"/>
            </w:tcBorders>
          </w:tcPr>
          <w:p w14:paraId="43E21590"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536216C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5114FA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34296E5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347AF41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6BF40E0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67594ABD" w14:textId="77777777">
        <w:tc>
          <w:tcPr>
            <w:tcW w:w="1662" w:type="dxa"/>
          </w:tcPr>
          <w:p w14:paraId="7D8A1315"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0B120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04BE7022"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18E06B92"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748B81C0"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6FD880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6BE04858" w14:textId="77777777">
        <w:tc>
          <w:tcPr>
            <w:tcW w:w="1662" w:type="dxa"/>
          </w:tcPr>
          <w:p w14:paraId="679523B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F879192"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6EE87E6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68472D7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0DA8BAB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D0F37E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751B22D7" w14:textId="77777777">
        <w:tc>
          <w:tcPr>
            <w:tcW w:w="1662" w:type="dxa"/>
          </w:tcPr>
          <w:p w14:paraId="1644575A"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56D7C314"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2E63B6A0"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4261E23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030BD90"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28E505C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6B71FD80" w14:textId="77777777">
        <w:tc>
          <w:tcPr>
            <w:tcW w:w="1662" w:type="dxa"/>
            <w:tcBorders>
              <w:bottom w:val="single" w:sz="6" w:space="0" w:color="000000"/>
            </w:tcBorders>
          </w:tcPr>
          <w:p w14:paraId="2D148EDD"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08B978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4E4C98C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6B8ECFB4"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60C3276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9CC3DF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0F17105D"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02DB72D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recall and F-measure Indicates the type of interactions. According to Table 2 the precision of </w:t>
      </w:r>
      <w:r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37D063C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50910823"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66F209B1"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5B896784" w14:textId="77777777" w:rsidTr="00BA54BF">
        <w:trPr>
          <w:trHeight w:val="708"/>
        </w:trPr>
        <w:tc>
          <w:tcPr>
            <w:tcW w:w="790" w:type="dxa"/>
          </w:tcPr>
          <w:p w14:paraId="6E6AC97A"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11C04908"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18BE6730"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24BEB40C" w14:textId="77777777" w:rsidTr="00BA54BF">
        <w:trPr>
          <w:trHeight w:val="708"/>
        </w:trPr>
        <w:tc>
          <w:tcPr>
            <w:tcW w:w="790" w:type="dxa"/>
          </w:tcPr>
          <w:p w14:paraId="41550CF1"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76DE5928"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4B0F4B0B"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0A730896" w14:textId="77777777" w:rsidTr="00BA54BF">
        <w:trPr>
          <w:trHeight w:val="360"/>
        </w:trPr>
        <w:tc>
          <w:tcPr>
            <w:tcW w:w="790" w:type="dxa"/>
          </w:tcPr>
          <w:p w14:paraId="430DFC09"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0A8AD0A5"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2F03750E" w14:textId="77777777" w:rsidTr="00BA54BF">
        <w:trPr>
          <w:trHeight w:val="360"/>
        </w:trPr>
        <w:tc>
          <w:tcPr>
            <w:tcW w:w="790" w:type="dxa"/>
          </w:tcPr>
          <w:p w14:paraId="7A1D104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48062698"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35382F1E" w14:textId="77777777" w:rsidTr="00BA54BF">
        <w:trPr>
          <w:trHeight w:val="348"/>
        </w:trPr>
        <w:tc>
          <w:tcPr>
            <w:tcW w:w="790" w:type="dxa"/>
          </w:tcPr>
          <w:p w14:paraId="32AE59C7"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65B6E9E7"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2AAC1D12" w14:textId="77777777" w:rsidTr="00BA54BF">
        <w:trPr>
          <w:trHeight w:val="360"/>
        </w:trPr>
        <w:tc>
          <w:tcPr>
            <w:tcW w:w="790" w:type="dxa"/>
          </w:tcPr>
          <w:p w14:paraId="47745077"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543FB268"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27E3F47D"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6F2714AE" w14:textId="531A3010" w:rsidR="008F055C" w:rsidRPr="00343B90" w:rsidRDefault="00734A53" w:rsidP="000027B2">
      <w:pPr>
        <w:pStyle w:val="Caption"/>
        <w:rPr>
          <w:rFonts w:ascii="Times New Roman" w:hAnsi="Times New Roman" w:cs="Times New Roman"/>
        </w:rPr>
      </w:pPr>
      <w:r>
        <w:rPr>
          <w:noProof/>
        </w:rPr>
        <w:pict w14:anchorId="05E39F62">
          <v:line id="Shape3" o:spid="_x0000_s1028"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" strokecolor="#3465a4"/>
        </w:pict>
      </w:r>
    </w:p>
    <w:p w14:paraId="49515D08"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516AE5A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0CF836A5"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061089B7" wp14:editId="437FE8A1">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1"/>
                    <a:stretch>
                      <a:fillRect/>
                    </a:stretch>
                  </pic:blipFill>
                  <pic:spPr bwMode="auto">
                    <a:xfrm>
                      <a:off x="0" y="0"/>
                      <a:ext cx="3683635" cy="2660015"/>
                    </a:xfrm>
                    <a:prstGeom prst="rect">
                      <a:avLst/>
                    </a:prstGeom>
                  </pic:spPr>
                </pic:pic>
              </a:graphicData>
            </a:graphic>
          </wp:inline>
        </w:drawing>
      </w:r>
    </w:p>
    <w:p w14:paraId="295513A9"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3FE00B5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111F02DD"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DBD82F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1A5738A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1F24DAD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63EC868E" w14:textId="77777777" w:rsidR="0006212E" w:rsidRPr="00343B90" w:rsidRDefault="0006212E">
      <w:pPr>
        <w:spacing w:line="276" w:lineRule="auto"/>
        <w:jc w:val="both"/>
        <w:rPr>
          <w:rFonts w:ascii="Times New Roman" w:hAnsi="Times New Roman" w:cs="Times New Roman"/>
          <w:b/>
          <w:bCs/>
        </w:rPr>
      </w:pPr>
    </w:p>
    <w:p w14:paraId="03F2D99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169348AF"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w:t>
      </w:r>
      <w:r w:rsidRPr="00343B90">
        <w:rPr>
          <w:rFonts w:ascii="Times New Roman" w:hAnsi="Times New Roman" w:cs="Times New Roman"/>
        </w:rPr>
        <w:lastRenderedPageBreak/>
        <w:t>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B58239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6F5A0C4D"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6C96EBD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74E3944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59BBCED7" w14:textId="77777777" w:rsidR="008F055C" w:rsidRPr="00343B90" w:rsidRDefault="008F055C">
      <w:pPr>
        <w:spacing w:line="276" w:lineRule="auto"/>
        <w:jc w:val="both"/>
        <w:rPr>
          <w:rFonts w:ascii="Times New Roman" w:hAnsi="Times New Roman" w:cs="Times New Roman"/>
        </w:rPr>
      </w:pPr>
    </w:p>
    <w:p w14:paraId="14FAFBBA"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D0C3657" wp14:editId="788D76E0">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911" cy="2430822"/>
                    </a:xfrm>
                    <a:prstGeom prst="rect">
                      <a:avLst/>
                    </a:prstGeom>
                  </pic:spPr>
                </pic:pic>
              </a:graphicData>
            </a:graphic>
          </wp:inline>
        </w:drawing>
      </w:r>
    </w:p>
    <w:p w14:paraId="7B97DE71"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C3D8705" w14:textId="77777777" w:rsidR="000936D9" w:rsidRPr="00343B90" w:rsidRDefault="000936D9">
      <w:pPr>
        <w:spacing w:line="276" w:lineRule="auto"/>
        <w:jc w:val="both"/>
        <w:rPr>
          <w:rFonts w:ascii="Times New Roman" w:hAnsi="Times New Roman" w:cs="Times New Roman"/>
        </w:rPr>
      </w:pPr>
    </w:p>
    <w:p w14:paraId="2F7188EF"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19F028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3C31D1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5E34C7DB"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29E40D54"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446"/>
      </w:tblGrid>
      <w:tr w:rsidR="00CB131A" w:rsidRPr="00343B90" w14:paraId="0794F0E3" w14:textId="77777777" w:rsidTr="00D01E7F">
        <w:tc>
          <w:tcPr>
            <w:tcW w:w="336" w:type="dxa"/>
          </w:tcPr>
          <w:p w14:paraId="2CE01128"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2AFEE381"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selection(SNF-CNN) pseudocode</w:t>
            </w:r>
          </w:p>
          <w:p w14:paraId="0F6A99A4"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40D25894" w14:textId="77777777" w:rsidTr="00D01E7F">
        <w:tc>
          <w:tcPr>
            <w:tcW w:w="336" w:type="dxa"/>
          </w:tcPr>
          <w:p w14:paraId="77E9F2CD"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6514A778"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699051"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37B52C8C" w14:textId="77777777" w:rsidTr="00D01E7F">
        <w:tc>
          <w:tcPr>
            <w:tcW w:w="336" w:type="dxa"/>
          </w:tcPr>
          <w:p w14:paraId="609D07D8"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0342E0C2"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5027A381" w14:textId="77777777" w:rsidTr="00D01E7F">
        <w:tc>
          <w:tcPr>
            <w:tcW w:w="336" w:type="dxa"/>
          </w:tcPr>
          <w:p w14:paraId="3C7AC7E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4D54FAD5"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fusion(SNF) method.</w:t>
            </w:r>
          </w:p>
        </w:tc>
      </w:tr>
      <w:tr w:rsidR="0089010B" w:rsidRPr="00343B90" w14:paraId="352250F3" w14:textId="77777777" w:rsidTr="00D01E7F">
        <w:tc>
          <w:tcPr>
            <w:tcW w:w="336" w:type="dxa"/>
          </w:tcPr>
          <w:p w14:paraId="1BB87BC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0F7275EA"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33F1660C" w14:textId="77777777" w:rsidTr="00D01E7F">
        <w:tc>
          <w:tcPr>
            <w:tcW w:w="336" w:type="dxa"/>
          </w:tcPr>
          <w:p w14:paraId="008843F0"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06A2F082"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45C6F6A6" w14:textId="77777777" w:rsidTr="00D01E7F">
        <w:tc>
          <w:tcPr>
            <w:tcW w:w="336" w:type="dxa"/>
          </w:tcPr>
          <w:p w14:paraId="4EE4AFE2"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63C63A1"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61FFD0A3" w14:textId="77777777" w:rsidTr="00D01E7F">
        <w:tc>
          <w:tcPr>
            <w:tcW w:w="336" w:type="dxa"/>
          </w:tcPr>
          <w:p w14:paraId="7CF10C00"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46666A10"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13BA246B" w14:textId="77777777" w:rsidTr="00D01E7F">
        <w:tc>
          <w:tcPr>
            <w:tcW w:w="336" w:type="dxa"/>
          </w:tcPr>
          <w:p w14:paraId="2DF3DB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7F379E20"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6713DAD6"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for  SNF-CNN</w:t>
      </w:r>
    </w:p>
    <w:p w14:paraId="7FBF25E5"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66167652" wp14:editId="06C606E0">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373630"/>
                    </a:xfrm>
                    <a:prstGeom prst="rect">
                      <a:avLst/>
                    </a:prstGeom>
                  </pic:spPr>
                </pic:pic>
              </a:graphicData>
            </a:graphic>
          </wp:inline>
        </w:drawing>
      </w:r>
    </w:p>
    <w:p w14:paraId="631DC072"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76CB1CE" w14:textId="77777777" w:rsidR="004A4E4E" w:rsidRPr="00343B90" w:rsidRDefault="004A4E4E">
      <w:pPr>
        <w:spacing w:line="276" w:lineRule="auto"/>
        <w:jc w:val="both"/>
        <w:rPr>
          <w:rFonts w:ascii="Times New Roman" w:hAnsi="Times New Roman" w:cs="Times New Roman"/>
        </w:rPr>
      </w:pPr>
    </w:p>
    <w:p w14:paraId="6FEDDDE3"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13663432"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52ED16D6"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6C92042E"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8B73CE4"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68A7CB1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168"/>
        <w:gridCol w:w="2070"/>
        <w:gridCol w:w="2160"/>
        <w:gridCol w:w="2790"/>
      </w:tblGrid>
      <w:tr w:rsidR="00472B93" w:rsidRPr="00343B90" w14:paraId="4FA0603C"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8284B5E"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0CE0063B"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095BB7F0"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1EAC36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623A7784"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698CD8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3F111420"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
        </w:tc>
        <w:tc>
          <w:tcPr>
            <w:tcW w:w="2160" w:type="dxa"/>
          </w:tcPr>
          <w:p w14:paraId="0D3DDAEE"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c>
          <w:tcPr>
            <w:tcW w:w="2790" w:type="dxa"/>
          </w:tcPr>
          <w:p w14:paraId="1904A4FF"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r>
      <w:tr w:rsidR="00472B93" w:rsidRPr="00343B90" w14:paraId="61F56BF9"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7807FB96"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654B9443"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c>
          <w:tcPr>
            <w:tcW w:w="2160" w:type="dxa"/>
          </w:tcPr>
          <w:p w14:paraId="1F83C866"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
        </w:tc>
        <w:tc>
          <w:tcPr>
            <w:tcW w:w="2790" w:type="dxa"/>
          </w:tcPr>
          <w:p w14:paraId="1DABC6C6"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r>
      <w:tr w:rsidR="000A4823" w:rsidRPr="00343B90" w14:paraId="19F7A01E"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1F3C2BB1"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6264DEE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Non-Int</w:t>
            </w:r>
          </w:p>
        </w:tc>
        <w:tc>
          <w:tcPr>
            <w:tcW w:w="2160" w:type="dxa"/>
          </w:tcPr>
          <w:p w14:paraId="52C8D15C"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r w:rsidRPr="00343B90">
              <w:rPr>
                <w:rFonts w:ascii="Times New Roman" w:hAnsi="Times New Roman" w:cs="Times New Roman"/>
                <w:i/>
                <w:iCs/>
                <w:sz w:val="22"/>
                <w:szCs w:val="22"/>
                <w:vertAlign w:val="subscript"/>
              </w:rPr>
              <w:tab/>
              <w:t>:</w:t>
            </w:r>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7D149727"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4BC65692"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12F3F74F"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3463442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F3962D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7914BBD" w14:textId="77777777" w:rsidR="003551E6" w:rsidRPr="00343B90" w:rsidRDefault="003551E6" w:rsidP="003551E6">
      <w:pPr>
        <w:pStyle w:val="Caption"/>
        <w:rPr>
          <w:rFonts w:ascii="Times New Roman" w:hAnsi="Times New Roman" w:cs="Times New Roman"/>
          <w:sz w:val="22"/>
          <w:szCs w:val="22"/>
        </w:rPr>
      </w:pPr>
    </w:p>
    <w:p w14:paraId="5C135AA4"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(enh/deg/nonInt)</w:t>
      </w:r>
      <w:r w:rsidRPr="00343B90">
        <w:rPr>
          <w:rFonts w:ascii="Times New Roman" w:hAnsi="Times New Roman" w:cs="Times New Roman"/>
        </w:rPr>
        <w:t>: The fraction of all correct predictions (TPs) to all predictions.</w:t>
      </w:r>
    </w:p>
    <w:p w14:paraId="6D891C45"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rPr>
                  <w:rFonts w:ascii="Cambria Math" w:hAnsi="Cambria Math" w:cs="Times New Roman"/>
                  <w:i/>
                </w:rPr>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9</m:t>
                  </m:r>
                </m:sup>
                <m:e>
                  <m:sSub>
                    <m:sSubPr>
                      <m:ctrlPr>
                        <w:rPr>
                          <w:rFonts w:ascii="Cambria Math" w:hAnsi="Cambria Math" w:cs="Times New Roman"/>
                          <w:i/>
                        </w:rPr>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400E62FA"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02F7D77B"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7912482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r w:rsidR="00FA1296" w:rsidRPr="00343B90">
        <w:rPr>
          <w:rFonts w:ascii="Times New Roman" w:hAnsi="Times New Roman" w:cs="Times New Roman"/>
        </w:rPr>
        <w:t>Enh/Deg/Non-Int</w:t>
      </w:r>
      <w:r w:rsidRPr="00343B90">
        <w:rPr>
          <w:rFonts w:ascii="Times New Roman" w:hAnsi="Times New Roman" w:cs="Times New Roman"/>
        </w:rPr>
        <w:t>) interactions</w:t>
      </w:r>
      <w:r w:rsidR="00F0286D" w:rsidRPr="00343B90">
        <w:rPr>
          <w:rFonts w:ascii="Times New Roman" w:hAnsi="Times New Roman" w:cs="Times New Roman"/>
        </w:rPr>
        <w:t>.</w:t>
      </w:r>
    </w:p>
    <w:p w14:paraId="4D67AC8F" w14:textId="77777777" w:rsidR="00F0286D" w:rsidRPr="00343B90" w:rsidRDefault="00000000" w:rsidP="007B1C87">
      <w:pPr>
        <w:spacing w:line="276"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num>
            <m:den>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1D53BC00"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96"/>
        <w:gridCol w:w="3396"/>
        <w:gridCol w:w="3396"/>
      </w:tblGrid>
      <w:tr w:rsidR="003A15B5" w:rsidRPr="00343B90" w14:paraId="6265EE3C" w14:textId="77777777" w:rsidTr="003A15B5">
        <w:tc>
          <w:tcPr>
            <w:tcW w:w="3396" w:type="dxa"/>
          </w:tcPr>
          <w:p w14:paraId="305FFB81"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6D4063D8"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A434975"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2E6ADB5C" w14:textId="77777777" w:rsidTr="003A15B5">
        <w:tc>
          <w:tcPr>
            <w:tcW w:w="3396" w:type="dxa"/>
          </w:tcPr>
          <w:p w14:paraId="7B7160BD"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479936E9"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5BDC530C"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6AB45B13" w14:textId="77777777" w:rsidTr="003A15B5">
        <w:tc>
          <w:tcPr>
            <w:tcW w:w="3396" w:type="dxa"/>
          </w:tcPr>
          <w:p w14:paraId="546E36C1"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23377E41"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22F34BEC"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3CA9814A" w14:textId="77777777" w:rsidTr="003A15B5">
        <w:tc>
          <w:tcPr>
            <w:tcW w:w="3396" w:type="dxa"/>
          </w:tcPr>
          <w:p w14:paraId="2416C68A"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8CB5F6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4D186A0E"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682EF11" w14:textId="77777777" w:rsidTr="003A15B5">
        <w:tc>
          <w:tcPr>
            <w:tcW w:w="3396" w:type="dxa"/>
          </w:tcPr>
          <w:p w14:paraId="4DD1C46E"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036993E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045C5DB1"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81A5FFA"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36E0DCE0" w14:textId="77777777" w:rsidR="00FD4D85" w:rsidRPr="00343B90" w:rsidRDefault="00FD4D85" w:rsidP="00FD4D85">
      <w:pPr>
        <w:pStyle w:val="Caption"/>
        <w:rPr>
          <w:rFonts w:ascii="Times New Roman" w:hAnsi="Times New Roman" w:cs="Times New Roman"/>
        </w:rPr>
      </w:pPr>
    </w:p>
    <w:p w14:paraId="6B865C28"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(TP</w:t>
      </w:r>
      <w:r w:rsidRPr="00343B90">
        <w:rPr>
          <w:rFonts w:ascii="Times New Roman" w:hAnsi="Times New Roman" w:cs="Times New Roman"/>
          <w:i w:val="0"/>
          <w:iCs w:val="0"/>
          <w:vertAlign w:val="subscript"/>
        </w:rPr>
        <w:t>Enh/Deg/Non-Int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(Enh/Deg/Non-Int) interactions.</w:t>
      </w:r>
    </w:p>
    <w:p w14:paraId="1C8A621F" w14:textId="77777777" w:rsidR="004D086D" w:rsidRPr="00343B90" w:rsidRDefault="00000000" w:rsidP="004D086D">
      <w:pPr>
        <w:spacing w:line="276"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num>
            <m:den>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03E2EED8"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33F1950F"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55F029F4"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rPr>
                      <w:rFonts w:ascii="Cambria Math" w:hAnsi="Cambria Math" w:cs="Times New Roman"/>
                      <w:i/>
                      <w:iCs/>
                    </w:rPr>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798656BF"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1BAC6D0" w14:textId="77777777" w:rsidR="00343B90" w:rsidRPr="00343B90" w:rsidRDefault="00343B90" w:rsidP="004D086D">
      <w:pPr>
        <w:pStyle w:val="Caption"/>
        <w:rPr>
          <w:rFonts w:ascii="Times New Roman" w:hAnsi="Times New Roman" w:cs="Times New Roman"/>
          <w:i w:val="0"/>
          <w:iCs w:val="0"/>
        </w:rPr>
      </w:pPr>
    </w:p>
    <w:p w14:paraId="6569E2EA"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2A33248B"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070DB3CE"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98"/>
        <w:gridCol w:w="1698"/>
        <w:gridCol w:w="1698"/>
        <w:gridCol w:w="1698"/>
        <w:gridCol w:w="1698"/>
        <w:gridCol w:w="1698"/>
      </w:tblGrid>
      <w:tr w:rsidR="00BC1990" w14:paraId="2A71E724" w14:textId="77777777" w:rsidTr="00BC1990">
        <w:trPr>
          <w:trHeight w:val="792"/>
        </w:trPr>
        <w:tc>
          <w:tcPr>
            <w:tcW w:w="1698" w:type="dxa"/>
          </w:tcPr>
          <w:p w14:paraId="33B78801"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22E9619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6E526FF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6B9D5B52"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0EC552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430824A0"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59F58E32" w14:textId="77777777" w:rsidTr="00BC1990">
        <w:trPr>
          <w:trHeight w:val="792"/>
        </w:trPr>
        <w:tc>
          <w:tcPr>
            <w:tcW w:w="1698" w:type="dxa"/>
          </w:tcPr>
          <w:p w14:paraId="6EBD21D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68C77C02"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47ED495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75238F0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70330C7B"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7172BE2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40CAB8A2" w14:textId="77777777" w:rsidTr="00BC1990">
        <w:trPr>
          <w:trHeight w:val="792"/>
        </w:trPr>
        <w:tc>
          <w:tcPr>
            <w:tcW w:w="1698" w:type="dxa"/>
          </w:tcPr>
          <w:p w14:paraId="3C5CFEA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56A1915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F50FC6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EF36A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40FC86E"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C890D2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38005EE8" w14:textId="77777777" w:rsidTr="00BC1990">
        <w:trPr>
          <w:trHeight w:val="792"/>
        </w:trPr>
        <w:tc>
          <w:tcPr>
            <w:tcW w:w="1698" w:type="dxa"/>
          </w:tcPr>
          <w:p w14:paraId="3C19F76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4B35922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13574B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5ACB0B9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3A8940EE"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E8CBB7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59C233BA" w14:textId="77777777" w:rsidTr="00BC1990">
        <w:trPr>
          <w:trHeight w:val="792"/>
        </w:trPr>
        <w:tc>
          <w:tcPr>
            <w:tcW w:w="1698" w:type="dxa"/>
          </w:tcPr>
          <w:p w14:paraId="0145B73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6A9341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2E38470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400970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538FDC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66B9F12"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3893AEF1" w14:textId="77777777" w:rsidTr="00BC1990">
        <w:trPr>
          <w:trHeight w:val="792"/>
        </w:trPr>
        <w:tc>
          <w:tcPr>
            <w:tcW w:w="1698" w:type="dxa"/>
          </w:tcPr>
          <w:p w14:paraId="0A475DA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6EDFDB60"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1CEFF5A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CB0B4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2151D3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5F0E099D"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14AB2467"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4A0368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11586183"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06A1A63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0272A510"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03330DD0"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96"/>
        <w:gridCol w:w="3396"/>
        <w:gridCol w:w="3396"/>
      </w:tblGrid>
      <w:tr w:rsidR="00C44504" w14:paraId="1377114C" w14:textId="77777777" w:rsidTr="00C44504">
        <w:tc>
          <w:tcPr>
            <w:tcW w:w="3396" w:type="dxa"/>
          </w:tcPr>
          <w:p w14:paraId="58A5A47A"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65A3CAD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57A942DE"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7938D452" w14:textId="77777777" w:rsidTr="00C44504">
        <w:tc>
          <w:tcPr>
            <w:tcW w:w="3396" w:type="dxa"/>
          </w:tcPr>
          <w:p w14:paraId="59DF517F"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7465A8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10B4A94"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08C64A3B" w14:textId="77777777" w:rsidTr="00C44504">
        <w:tc>
          <w:tcPr>
            <w:tcW w:w="3396" w:type="dxa"/>
          </w:tcPr>
          <w:p w14:paraId="143655B6"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0382EDC7"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0E8A9C8"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1AEE08A2" w14:textId="77777777" w:rsidTr="00C44504">
        <w:tc>
          <w:tcPr>
            <w:tcW w:w="3396" w:type="dxa"/>
          </w:tcPr>
          <w:p w14:paraId="3A1A747A"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23F34B4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479ADBC6"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38CDF031"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4F844A43"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96"/>
        <w:gridCol w:w="3396"/>
        <w:gridCol w:w="3396"/>
      </w:tblGrid>
      <w:tr w:rsidR="00743862" w14:paraId="212A8677" w14:textId="77777777" w:rsidTr="00743862">
        <w:tc>
          <w:tcPr>
            <w:tcW w:w="3396" w:type="dxa"/>
          </w:tcPr>
          <w:p w14:paraId="2121CA9A"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28663CC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7535848A"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42CC8B96" w14:textId="77777777" w:rsidTr="00743862">
        <w:tc>
          <w:tcPr>
            <w:tcW w:w="3396" w:type="dxa"/>
          </w:tcPr>
          <w:p w14:paraId="77753F1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680280F0"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431975E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1197B275" w14:textId="77777777" w:rsidTr="00743862">
        <w:tc>
          <w:tcPr>
            <w:tcW w:w="3396" w:type="dxa"/>
          </w:tcPr>
          <w:p w14:paraId="3C13D8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BRSNMF[35]</w:t>
            </w:r>
          </w:p>
        </w:tc>
        <w:tc>
          <w:tcPr>
            <w:tcW w:w="3396" w:type="dxa"/>
          </w:tcPr>
          <w:p w14:paraId="60686C7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21172FF6"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339106FF" w14:textId="77777777" w:rsidTr="00743862">
        <w:tc>
          <w:tcPr>
            <w:tcW w:w="3396" w:type="dxa"/>
          </w:tcPr>
          <w:p w14:paraId="03A5EDED"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0FA55226"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544D465C"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1D8219D9" w14:textId="77777777" w:rsidTr="00743862">
        <w:tc>
          <w:tcPr>
            <w:tcW w:w="3396" w:type="dxa"/>
          </w:tcPr>
          <w:p w14:paraId="5DC63ABA"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TMFUF[32]</w:t>
            </w:r>
          </w:p>
        </w:tc>
        <w:tc>
          <w:tcPr>
            <w:tcW w:w="3396" w:type="dxa"/>
          </w:tcPr>
          <w:p w14:paraId="18C7E676"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47E0FE2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232655DA"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10B852A2"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0A46BA71" w14:textId="77777777" w:rsidR="00DE2C70" w:rsidRDefault="00DE2C70" w:rsidP="00DE2C70">
      <w:pPr>
        <w:pStyle w:val="Caption"/>
        <w:rPr>
          <w:rFonts w:ascii="Times New Roman" w:hAnsi="Times New Roman" w:cs="Times New Roman"/>
          <w:i w:val="0"/>
          <w:iCs w:val="0"/>
        </w:rPr>
      </w:pPr>
    </w:p>
    <w:p w14:paraId="566B2D42"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68B41D42"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60D35679" w14:textId="77777777" w:rsidR="00DE2C70" w:rsidRDefault="00DE2C70" w:rsidP="00DE2C70">
      <w:pPr>
        <w:pStyle w:val="Caption"/>
        <w:jc w:val="both"/>
        <w:rPr>
          <w:rFonts w:ascii="Times New Roman" w:hAnsi="Times New Roman" w:cs="Times New Roman"/>
          <w:i w:val="0"/>
          <w:iCs w:val="0"/>
        </w:rPr>
      </w:pPr>
    </w:p>
    <w:p w14:paraId="26A95692"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still be improved. So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latest version of the DrugBank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p>
    <w:p w14:paraId="496AE71F" w14:textId="77777777"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1) The first is about removed interactions in D</w:t>
      </w:r>
      <w:r>
        <w:rPr>
          <w:rFonts w:ascii="Times New Roman" w:hAnsi="Times New Roman" w:cs="Times New Roman"/>
          <w:i w:val="0"/>
          <w:iCs w:val="0"/>
        </w:rPr>
        <w:t>rugBank version 5 which are pre</w:t>
      </w:r>
      <w:r w:rsidRPr="00DE2C70">
        <w:rPr>
          <w:rFonts w:ascii="Times New Roman" w:hAnsi="Times New Roman" w:cs="Times New Roman"/>
          <w:i w:val="0"/>
          <w:iCs w:val="0"/>
        </w:rPr>
        <w:t>cisely labeled as DDIs in DrugBank version 4. For example, the old version of</w:t>
      </w:r>
      <w:r>
        <w:rPr>
          <w:rFonts w:ascii="Times New Roman" w:hAnsi="Times New Roman" w:cs="Times New Roman"/>
          <w:i w:val="0"/>
          <w:iCs w:val="0"/>
        </w:rPr>
        <w:t xml:space="preserve"> </w:t>
      </w:r>
      <w:r w:rsidRPr="00DE2C70">
        <w:rPr>
          <w:rFonts w:ascii="Times New Roman" w:hAnsi="Times New Roman" w:cs="Times New Roman"/>
          <w:i w:val="0"/>
          <w:iCs w:val="0"/>
        </w:rPr>
        <w:t>DrugBank 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tivities of Alprenolol (DB00866) and Bevantolol (DB01295), while the newer version</w:t>
      </w:r>
      <w:r>
        <w:rPr>
          <w:rFonts w:ascii="Times New Roman" w:hAnsi="Times New Roman" w:cs="Times New Roman"/>
          <w:i w:val="0"/>
          <w:iCs w:val="0"/>
        </w:rPr>
        <w:t xml:space="preserve"> </w:t>
      </w:r>
      <w:r w:rsidRPr="00DE2C70">
        <w:rPr>
          <w:rFonts w:ascii="Times New Roman" w:hAnsi="Times New Roman" w:cs="Times New Roman"/>
          <w:i w:val="0"/>
          <w:iCs w:val="0"/>
        </w:rPr>
        <w:t>removes them, so new research show they have no interaction.</w:t>
      </w:r>
    </w:p>
    <w:p w14:paraId="25316010" w14:textId="77777777"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2) The second one is about drug Pairs which are labeled as non-DDIs in DrugBank</w:t>
      </w:r>
      <w:r>
        <w:rPr>
          <w:rFonts w:ascii="Times New Roman" w:hAnsi="Times New Roman" w:cs="Times New Roman"/>
          <w:i w:val="0"/>
          <w:iCs w:val="0"/>
        </w:rPr>
        <w:t xml:space="preserve"> </w:t>
      </w:r>
      <w:r w:rsidRPr="00DE2C70">
        <w:rPr>
          <w:rFonts w:ascii="Times New Roman" w:hAnsi="Times New Roman" w:cs="Times New Roman"/>
          <w:i w:val="0"/>
          <w:iCs w:val="0"/>
        </w:rPr>
        <w:t>version 4, but in the current version, they are reported as DDIs. For example, the</w:t>
      </w:r>
      <w:r>
        <w:rPr>
          <w:rFonts w:ascii="Times New Roman" w:hAnsi="Times New Roman" w:cs="Times New Roman"/>
          <w:i w:val="0"/>
          <w:iCs w:val="0"/>
        </w:rPr>
        <w:t xml:space="preserve"> </w:t>
      </w:r>
      <w:r w:rsidRPr="00DE2C70">
        <w:rPr>
          <w:rFonts w:ascii="Times New Roman" w:hAnsi="Times New Roman" w:cs="Times New Roman"/>
          <w:i w:val="0"/>
          <w:iCs w:val="0"/>
        </w:rPr>
        <w:t>pair of Valrubicin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 xml:space="preserve">Ergocalciferol (DB00153) and Calcitriol (DB00136) in </w:t>
      </w:r>
      <w:r w:rsidRPr="00DE2C70">
        <w:rPr>
          <w:rFonts w:ascii="Times New Roman" w:hAnsi="Times New Roman" w:cs="Times New Roman"/>
          <w:i w:val="0"/>
          <w:iCs w:val="0"/>
        </w:rPr>
        <w:lastRenderedPageBreak/>
        <w:t>the n</w:t>
      </w:r>
      <w:r>
        <w:rPr>
          <w:rFonts w:ascii="Times New Roman" w:hAnsi="Times New Roman" w:cs="Times New Roman"/>
          <w:i w:val="0"/>
          <w:iCs w:val="0"/>
        </w:rPr>
        <w:t>ewer version of Drug</w:t>
      </w:r>
      <w:r w:rsidRPr="00DE2C70">
        <w:rPr>
          <w:rFonts w:ascii="Times New Roman" w:hAnsi="Times New Roman" w:cs="Times New Roman"/>
          <w:i w:val="0"/>
          <w:iCs w:val="0"/>
        </w:rPr>
        <w:t>Bank,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723F0A72"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3) The last one refers to altering DDIs’ types, which are labeled as enhancive</w:t>
      </w:r>
      <w:r>
        <w:rPr>
          <w:rFonts w:ascii="Times New Roman" w:hAnsi="Times New Roman" w:cs="Times New Roman"/>
          <w:i w:val="0"/>
          <w:iCs w:val="0"/>
        </w:rPr>
        <w:t xml:space="preserve"> </w:t>
      </w:r>
      <w:r w:rsidRPr="00DE2C70">
        <w:rPr>
          <w:rFonts w:ascii="Times New Roman" w:hAnsi="Times New Roman" w:cs="Times New Roman"/>
          <w:i w:val="0"/>
          <w:iCs w:val="0"/>
        </w:rPr>
        <w:t>DDIs in DrugBank version 4, but in the current version, 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 and vice versa.</w:t>
      </w:r>
      <w:r>
        <w:rPr>
          <w:rFonts w:ascii="Times New Roman" w:hAnsi="Times New Roman" w:cs="Times New Roman"/>
          <w:i w:val="0"/>
          <w:iCs w:val="0"/>
        </w:rPr>
        <w:t xml:space="preserve"> </w:t>
      </w:r>
    </w:p>
    <w:p w14:paraId="77809FF0" w14:textId="77777777" w:rsidR="00DE2C70" w:rsidRDefault="00DE2C70" w:rsidP="00DE2C70">
      <w:pPr>
        <w:pStyle w:val="Caption"/>
        <w:jc w:val="both"/>
        <w:rPr>
          <w:rFonts w:ascii="Times New Roman" w:hAnsi="Times New Roman" w:cs="Times New Roman"/>
          <w:i w:val="0"/>
          <w:iCs w:val="0"/>
        </w:rPr>
      </w:pPr>
    </w:p>
    <w:p w14:paraId="1C84A304" w14:textId="77777777"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drug pairs. For future work,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be collected from the latest version of DrugBank.</w:t>
      </w:r>
    </w:p>
    <w:p w14:paraId="276E886D"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56748B5F" w14:textId="77777777" w:rsidR="002175CC" w:rsidRDefault="002175CC" w:rsidP="00DE2C70">
      <w:pPr>
        <w:pStyle w:val="Caption"/>
        <w:jc w:val="both"/>
        <w:rPr>
          <w:rFonts w:ascii="Times New Roman" w:hAnsi="Times New Roman" w:cs="Times New Roman"/>
          <w:i w:val="0"/>
          <w:iCs w:val="0"/>
        </w:rPr>
      </w:pPr>
    </w:p>
    <w:p w14:paraId="5013AA2E"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1D748B6B"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1B15402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194A8EBB"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5C5253C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 would like to thank the reviewers for their constructive comments that help make the paper much clearer.</w:t>
      </w:r>
    </w:p>
    <w:p w14:paraId="5D63F950"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5F6068F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10A7FC6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178B2DD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DDI:Drug-drug interactions; CV:cross-validation; SNF:Similarity Network Fusion;</w:t>
      </w:r>
    </w:p>
    <w:p w14:paraId="5169BDC9"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0A2A275"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14"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15"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5A3F458F"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485C5DBC"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1A84C686"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72C0B24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58374ED"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7F29981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79BD7F93"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75D43218"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Bl conceived and designed the experiments, draft the manuscript, and analyzed the results. MAK contributed</w:t>
      </w:r>
    </w:p>
    <w:p w14:paraId="6892C11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6107AC9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p>
    <w:p w14:paraId="7E74C6A9"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60F64F3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1-</w:t>
      </w:r>
      <w:r w:rsidRPr="002175CC">
        <w:rPr>
          <w:rFonts w:ascii="Times New Roman" w:hAnsi="Times New Roman" w:cs="Times New Roman"/>
          <w:lang w:bidi="fa-IR"/>
        </w:rPr>
        <w:t>Universidade NOVA de Lisboa, NOVA School of Science and Technology (FCT NOVA) / Uninova, Center of Technology and Systems</w:t>
      </w:r>
    </w:p>
    <w:p w14:paraId="644A84CA"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19D52AFA"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p>
    <w:p w14:paraId="21DE7A62" w14:textId="77777777" w:rsidR="002175CC" w:rsidRDefault="002175CC" w:rsidP="002175CC">
      <w:pPr>
        <w:pStyle w:val="Caption"/>
        <w:jc w:val="both"/>
        <w:rPr>
          <w:rFonts w:ascii="Times New Roman" w:hAnsi="Times New Roman" w:cs="Times New Roman"/>
          <w:i w:val="0"/>
          <w:iCs w:val="0"/>
        </w:rPr>
      </w:pPr>
    </w:p>
    <w:p w14:paraId="6F09D8F7" w14:textId="77777777" w:rsidR="002175CC" w:rsidRDefault="002175CC" w:rsidP="002175CC">
      <w:pPr>
        <w:pStyle w:val="Caption"/>
        <w:jc w:val="both"/>
        <w:rPr>
          <w:rFonts w:ascii="Times New Roman" w:hAnsi="Times New Roman" w:cs="Times New Roman"/>
          <w:i w:val="0"/>
          <w:iCs w:val="0"/>
        </w:rPr>
      </w:pPr>
    </w:p>
    <w:p w14:paraId="67D573FD"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14:paraId="02CF9F4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 Wienkers, L.C., Heath, T.G.: Predicting in vivo drug interactions from in vitro drug discovery data. Nature</w:t>
      </w:r>
      <w:r>
        <w:rPr>
          <w:rFonts w:ascii="Times New Roman" w:hAnsi="Times New Roman" w:cs="Times New Roman"/>
          <w:i w:val="0"/>
          <w:iCs w:val="0"/>
        </w:rPr>
        <w:t xml:space="preserve"> </w:t>
      </w:r>
      <w:r w:rsidRPr="002175CC">
        <w:rPr>
          <w:rFonts w:ascii="Times New Roman" w:hAnsi="Times New Roman" w:cs="Times New Roman"/>
          <w:i w:val="0"/>
          <w:iCs w:val="0"/>
        </w:rPr>
        <w:t>reviews Drug discovery 4(10), 825–833 (2005)</w:t>
      </w:r>
    </w:p>
    <w:p w14:paraId="721E55F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 Law, V., Knox, C., Djoumbou, Y., Jewison, T., Guo, A.C., Liu, Y., Maciejewski, A., Arndt, D., Wilson, M.,</w:t>
      </w:r>
      <w:r>
        <w:rPr>
          <w:rFonts w:ascii="Times New Roman" w:hAnsi="Times New Roman" w:cs="Times New Roman"/>
          <w:i w:val="0"/>
          <w:iCs w:val="0"/>
        </w:rPr>
        <w:t xml:space="preserve"> </w:t>
      </w:r>
      <w:r w:rsidRPr="002175CC">
        <w:rPr>
          <w:rFonts w:ascii="Times New Roman" w:hAnsi="Times New Roman" w:cs="Times New Roman"/>
          <w:i w:val="0"/>
          <w:iCs w:val="0"/>
        </w:rPr>
        <w:t>Neveu, V., et al.: Drugbank 4.0: shedding new light on drug metabolism. Nucleic acids research 42(D1),</w:t>
      </w:r>
      <w:r>
        <w:rPr>
          <w:rFonts w:ascii="Times New Roman" w:hAnsi="Times New Roman" w:cs="Times New Roman"/>
          <w:i w:val="0"/>
          <w:iCs w:val="0"/>
        </w:rPr>
        <w:t xml:space="preserve"> </w:t>
      </w:r>
      <w:r w:rsidRPr="002175CC">
        <w:rPr>
          <w:rFonts w:ascii="Times New Roman" w:hAnsi="Times New Roman" w:cs="Times New Roman"/>
          <w:i w:val="0"/>
          <w:iCs w:val="0"/>
        </w:rPr>
        <w:t>1091–1097 (2014)</w:t>
      </w:r>
    </w:p>
    <w:p w14:paraId="10D593A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3. Leape, L.L., Bates, D.W., Cullen, D.J., Cooper, J., Demonaco, H.J., Gallivan, T., Hallisey, R., Ives, J., Laird,</w:t>
      </w:r>
      <w:r>
        <w:rPr>
          <w:rFonts w:ascii="Times New Roman" w:hAnsi="Times New Roman" w:cs="Times New Roman"/>
          <w:i w:val="0"/>
          <w:iCs w:val="0"/>
        </w:rPr>
        <w:t xml:space="preserve"> </w:t>
      </w:r>
      <w:r w:rsidRPr="002175CC">
        <w:rPr>
          <w:rFonts w:ascii="Times New Roman" w:hAnsi="Times New Roman" w:cs="Times New Roman"/>
          <w:i w:val="0"/>
          <w:iCs w:val="0"/>
        </w:rPr>
        <w:t>N., Laffel, G., et al.: Systems analysis of adverse drug events. Jama 274(1), 35–43 (1995)</w:t>
      </w:r>
    </w:p>
    <w:p w14:paraId="6C8EDFE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4. Businaro, R.: Why we need an efficient and careful pharmacovigilance? Journal of pharmacovigilance (2013)</w:t>
      </w:r>
    </w:p>
    <w:p w14:paraId="4030D0D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5. Karbownik, A., Szalek, E., Sobańska, K., Grabowski, T., Wolc, A., Grześkowiak, E.: Pharmacokinetic drug-drug</w:t>
      </w:r>
      <w:r>
        <w:rPr>
          <w:rFonts w:ascii="Times New Roman" w:hAnsi="Times New Roman" w:cs="Times New Roman"/>
          <w:i w:val="0"/>
          <w:iCs w:val="0"/>
        </w:rPr>
        <w:t xml:space="preserve"> </w:t>
      </w:r>
      <w:r w:rsidRPr="002175CC">
        <w:rPr>
          <w:rFonts w:ascii="Times New Roman" w:hAnsi="Times New Roman" w:cs="Times New Roman"/>
          <w:i w:val="0"/>
          <w:iCs w:val="0"/>
        </w:rPr>
        <w:t>interaction between erlotinib and paracetamol: a potential risk for clinical practice. European Journal of</w:t>
      </w:r>
      <w:r>
        <w:rPr>
          <w:rFonts w:ascii="Times New Roman" w:hAnsi="Times New Roman" w:cs="Times New Roman"/>
          <w:i w:val="0"/>
          <w:iCs w:val="0"/>
        </w:rPr>
        <w:t xml:space="preserve"> </w:t>
      </w:r>
      <w:r w:rsidRPr="002175CC">
        <w:rPr>
          <w:rFonts w:ascii="Times New Roman" w:hAnsi="Times New Roman" w:cs="Times New Roman"/>
          <w:i w:val="0"/>
          <w:iCs w:val="0"/>
        </w:rPr>
        <w:t>Pharmaceutical Sciences 102, 55–62 (2017)</w:t>
      </w:r>
    </w:p>
    <w:p w14:paraId="2BC9018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94D6D9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integrating molecular and pharmacological data. PLoS Comput Biol 7(12), 1002323 (2011)</w:t>
      </w:r>
    </w:p>
    <w:p w14:paraId="0A712A5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327338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093A5E1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1F3916A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11. Wiśniowska,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6C273DF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12. Zhou, D., Bui, K., Sostek, M., Al-Huniti,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of naloxegol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38810E2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13. Bui, Q.-C., Sloot, P.M., Van Mulligen,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A0833A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kernels to extract pharmacokinetic drug drug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37B246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15. Yamanishi, Y., Araki, M., Gutteridge, A., Honda, W., Kanehisa,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4D4610E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16. Vilar, S., Uriarte, E., Santana, L., Lorberbaum, T., Hripcsak, G., Friedman, C., Tatonetti,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1404622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0736A7B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18. Pahikkala, T., Airola, A., Pietilä, S., Shakyawar, S., Szwajda, A., Tang, J., Aittokallio,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6CD1C1A"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19. Luo, H., Zhang, P., Huang, H., Huang, J., Kao, E., Shi, L., He, L., Yang, L.: Ddi-cpi,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15BBFE9E"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20. Shi, J.-Y., Huang, H., Li, J.-X., Lei, P., Zhang, Y.-N., Yiu,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6823BFD3"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3E82E5F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EBDB05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23. Wang, B., Mezlini, A.M., Demir, F., Fiume, M., Tu, Z., Brudno, M., Haibe-Kains,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0E22D180"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24. Olayan, R.S., Ashoor, H., Bajic, V.B.: Ddr: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8CBD17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6E2EFA3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26. Kim, Y.-A., Cho, D.-Y., Przytycka,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approaches. PLoS computational biology 12(3), 1004747 (2016)</w:t>
      </w:r>
    </w:p>
    <w:p w14:paraId="1B42478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27. Wang, Y., Liu, T., Xu, D., Shi, H., Zhang, C., Mo, Y.-Y., Wang, Z.: Predicting dna methylation state of cpg</w:t>
      </w:r>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58BFED5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560061B7"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29. Fu, L., Peng, Q.: A deep ensemble model to predict mirna-disease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67B19E2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30. Pan, X., Fan, Y.-X., Yan, J., Shen, H.-B.: Ipminer: hidden ncrna-protein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240CC42A"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18CE471E"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32. Shi, J.-Y., Huang, H., Li, J.-X., Lei, P., Zhang, Y.-N., Dong, K., Yiu, S.-M.: Tmfuf: a triple matrix</w:t>
      </w:r>
    </w:p>
    <w:p w14:paraId="3C8B04CB"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r w:rsidRPr="000D3D42">
        <w:rPr>
          <w:rFonts w:ascii="Times New Roman" w:hAnsi="Times New Roman" w:cs="Times New Roman"/>
          <w:i w:val="0"/>
          <w:iCs w:val="0"/>
        </w:rPr>
        <w:t>ioinformatics 19(14), 27–37 (2018)</w:t>
      </w:r>
    </w:p>
    <w:p w14:paraId="3C43B0BE"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33. Yu, H., Mao, K.-T., Shi, J.-Y., Huang, H., Chen, Z., Dong, K., Yiu,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0BE0506E"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34. Cokol, M., Kuru, N., Bicak,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377A32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35. Shi, J.-Y., Mao, K.-T., Yu, H., Yiu,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drug–drug interactions via balance regularized semi-nonnegative matrix factorization. Journal ofcheminformatics 11(1), 1–16 (2019)</w:t>
      </w:r>
    </w:p>
    <w:p w14:paraId="65F2139A"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12E6E69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3F2A15EA"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4C9775AB"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39. Ross Markello: snfpy 0.2.2 (2018). https://pypi.org/project/snfpy/ Accessed Accessed 20 October 2020</w:t>
      </w:r>
    </w:p>
    <w:p w14:paraId="6989FBC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40. Nair, V., Hinton, G.E.: Rectified linear units improve restricted boltzmann machines. In: ICML (2010)</w:t>
      </w:r>
    </w:p>
    <w:p w14:paraId="6D8D1F9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41. Hinton, G., Deng, L., Yu, D., Dahl, G.E., Mohamed, A.-r., Jaitly, N., Senior, A., Vanhoucke,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A02C2D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42. Srivastava, N., Hinton, G., Krizhevsky, A., Sutskever, I., Salakhutdinov,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36F8C4A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et al.: Tensorflow: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009C6C9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Keras. </w:t>
      </w:r>
      <w:hyperlink r:id="rId16"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45. Ghosal, T., Edithal, V., Ekbal, A., Bhattacharyya, P., Chivukula, S.S.S.K., Tsatsaronis, G.: Is your document</w:t>
      </w:r>
      <w:r>
        <w:rPr>
          <w:rFonts w:ascii="Times New Roman" w:hAnsi="Times New Roman" w:cs="Times New Roman"/>
          <w:i w:val="0"/>
          <w:iCs w:val="0"/>
        </w:rPr>
        <w:t xml:space="preserve"> </w:t>
      </w:r>
      <w:r w:rsidRPr="000D3D42">
        <w:rPr>
          <w:rFonts w:ascii="Times New Roman" w:hAnsi="Times New Roman" w:cs="Times New Roman"/>
          <w:i w:val="0"/>
          <w:iCs w:val="0"/>
        </w:rPr>
        <w:t>novel? let attention guide you. an attention based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BFED2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9E6ABF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3160273E"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48. Kingma, D.P., Ba, J.: Adam: A method for stochastic optimization. arXiv preprint arXiv:1412.6980 (2014)</w:t>
      </w:r>
    </w:p>
    <w:p w14:paraId="50CE4519" w14:textId="77777777" w:rsidR="000D3D42" w:rsidRPr="000D3D42" w:rsidRDefault="000D3D42" w:rsidP="000D3D42">
      <w:pPr>
        <w:pStyle w:val="Caption"/>
        <w:jc w:val="both"/>
        <w:rPr>
          <w:rFonts w:ascii="Times New Roman" w:hAnsi="Times New Roman" w:cs="Times New Roman"/>
          <w:i w:val="0"/>
          <w:iCs w:val="0"/>
        </w:rPr>
      </w:pPr>
    </w:p>
    <w:p w14:paraId="143DA62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1C1CDAE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235F2B9D" w14:textId="64AF28D5" w:rsidR="000D3D42" w:rsidRPr="002175CC" w:rsidRDefault="000D3D42" w:rsidP="000D3D42">
      <w:pPr>
        <w:pStyle w:val="Caption"/>
        <w:jc w:val="both"/>
        <w:rPr>
          <w:rFonts w:ascii="Times New Roman" w:hAnsi="Times New Roman" w:cs="Times New Roman"/>
          <w:i w:val="0"/>
          <w:iCs w:val="0"/>
        </w:rPr>
      </w:pPr>
    </w:p>
    <w:sectPr w:rsidR="000D3D42" w:rsidRPr="002175C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MV Bol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50341501">
    <w:abstractNumId w:val="1"/>
  </w:num>
  <w:num w:numId="2" w16cid:durableId="1701280804">
    <w:abstractNumId w:val="2"/>
  </w:num>
  <w:num w:numId="3" w16cid:durableId="931818851">
    <w:abstractNumId w:val="3"/>
  </w:num>
  <w:num w:numId="4" w16cid:durableId="45184469">
    <w:abstractNumId w:val="0"/>
  </w:num>
  <w:num w:numId="5" w16cid:durableId="1622420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055C"/>
    <w:rsid w:val="000027B2"/>
    <w:rsid w:val="000176AC"/>
    <w:rsid w:val="0003431A"/>
    <w:rsid w:val="00044B6A"/>
    <w:rsid w:val="0006212E"/>
    <w:rsid w:val="000936D9"/>
    <w:rsid w:val="000A4823"/>
    <w:rsid w:val="000C5EEE"/>
    <w:rsid w:val="000D3D42"/>
    <w:rsid w:val="0017488D"/>
    <w:rsid w:val="0019397E"/>
    <w:rsid w:val="001B23AB"/>
    <w:rsid w:val="001B502F"/>
    <w:rsid w:val="00211598"/>
    <w:rsid w:val="002175CC"/>
    <w:rsid w:val="00251DAD"/>
    <w:rsid w:val="0025384D"/>
    <w:rsid w:val="002672D6"/>
    <w:rsid w:val="00280A89"/>
    <w:rsid w:val="002B60A9"/>
    <w:rsid w:val="003238B6"/>
    <w:rsid w:val="00337D9A"/>
    <w:rsid w:val="00343B90"/>
    <w:rsid w:val="003551E6"/>
    <w:rsid w:val="003718B5"/>
    <w:rsid w:val="00391E28"/>
    <w:rsid w:val="003A15B5"/>
    <w:rsid w:val="003E1C20"/>
    <w:rsid w:val="00414B38"/>
    <w:rsid w:val="00472B93"/>
    <w:rsid w:val="004A4E4E"/>
    <w:rsid w:val="004D086D"/>
    <w:rsid w:val="004E5816"/>
    <w:rsid w:val="004F2A64"/>
    <w:rsid w:val="00501F84"/>
    <w:rsid w:val="00505940"/>
    <w:rsid w:val="0057003C"/>
    <w:rsid w:val="005811DB"/>
    <w:rsid w:val="005A45EE"/>
    <w:rsid w:val="005D3D9C"/>
    <w:rsid w:val="005E75C9"/>
    <w:rsid w:val="005F1445"/>
    <w:rsid w:val="00603B82"/>
    <w:rsid w:val="00626971"/>
    <w:rsid w:val="00661C92"/>
    <w:rsid w:val="006D54E1"/>
    <w:rsid w:val="00716F43"/>
    <w:rsid w:val="00727DFE"/>
    <w:rsid w:val="00734A53"/>
    <w:rsid w:val="00740943"/>
    <w:rsid w:val="00743862"/>
    <w:rsid w:val="007B1C87"/>
    <w:rsid w:val="007F68B9"/>
    <w:rsid w:val="00831B06"/>
    <w:rsid w:val="00861DEE"/>
    <w:rsid w:val="0089010B"/>
    <w:rsid w:val="00897344"/>
    <w:rsid w:val="008B467D"/>
    <w:rsid w:val="008C1A1C"/>
    <w:rsid w:val="008C7764"/>
    <w:rsid w:val="008F055C"/>
    <w:rsid w:val="0091574B"/>
    <w:rsid w:val="0094351A"/>
    <w:rsid w:val="009B3A13"/>
    <w:rsid w:val="009D0441"/>
    <w:rsid w:val="009D1F93"/>
    <w:rsid w:val="009F539C"/>
    <w:rsid w:val="00A37DFB"/>
    <w:rsid w:val="00AE0122"/>
    <w:rsid w:val="00B01E31"/>
    <w:rsid w:val="00B73E17"/>
    <w:rsid w:val="00B82B41"/>
    <w:rsid w:val="00BA54BF"/>
    <w:rsid w:val="00BC1990"/>
    <w:rsid w:val="00BE2CD1"/>
    <w:rsid w:val="00C33742"/>
    <w:rsid w:val="00C44504"/>
    <w:rsid w:val="00C44AD3"/>
    <w:rsid w:val="00C44D4A"/>
    <w:rsid w:val="00C939EF"/>
    <w:rsid w:val="00CB131A"/>
    <w:rsid w:val="00D01E7F"/>
    <w:rsid w:val="00D421A9"/>
    <w:rsid w:val="00D57090"/>
    <w:rsid w:val="00D8772B"/>
    <w:rsid w:val="00D92642"/>
    <w:rsid w:val="00DE2C70"/>
    <w:rsid w:val="00E1160D"/>
    <w:rsid w:val="00E4181C"/>
    <w:rsid w:val="00EA4081"/>
    <w:rsid w:val="00EC7797"/>
    <w:rsid w:val="00F0286D"/>
    <w:rsid w:val="00F0622E"/>
    <w:rsid w:val="00F40D7F"/>
    <w:rsid w:val="00FA1296"/>
    <w:rsid w:val="00FD4D85"/>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DFA5A1"/>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chollet/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minkhod/DDI-Projec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minkhod/DD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1836B8-8957-45A2-897E-B3323FCC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23</Pages>
  <Words>8720</Words>
  <Characters>49706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Amin Khodamoradi</cp:lastModifiedBy>
  <cp:revision>180</cp:revision>
  <dcterms:created xsi:type="dcterms:W3CDTF">2023-09-02T11:48:00Z</dcterms:created>
  <dcterms:modified xsi:type="dcterms:W3CDTF">2024-01-08T14:30:00Z</dcterms:modified>
  <dc:language>en-US</dc:language>
</cp:coreProperties>
</file>