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75C" w:rsidRPr="00652C1E" w:rsidRDefault="002E475C" w:rsidP="002E475C">
      <w:pPr>
        <w:shd w:val="clear" w:color="auto" w:fill="FFFFFF"/>
        <w:spacing w:before="100" w:beforeAutospacing="1" w:after="100" w:afterAutospacing="1" w:line="240" w:lineRule="auto"/>
        <w:outlineLvl w:val="0"/>
        <w:rPr>
          <w:rFonts w:ascii="Times New Roman" w:eastAsia="Times New Roman" w:hAnsi="Times New Roman" w:cs="Times New Roman"/>
          <w:b/>
          <w:bCs/>
          <w:color w:val="212121"/>
          <w:kern w:val="36"/>
          <w:sz w:val="28"/>
          <w:szCs w:val="28"/>
          <w:lang w:eastAsia="sv-SE"/>
        </w:rPr>
      </w:pPr>
      <w:r w:rsidRPr="00652C1E">
        <w:rPr>
          <w:rFonts w:ascii="Times New Roman" w:eastAsia="Times New Roman" w:hAnsi="Times New Roman" w:cs="Times New Roman"/>
          <w:b/>
          <w:bCs/>
          <w:color w:val="212121"/>
          <w:kern w:val="36"/>
          <w:sz w:val="28"/>
          <w:szCs w:val="28"/>
          <w:lang w:eastAsia="sv-SE"/>
        </w:rPr>
        <w:t>Machine-learning Techniques for Building a Diagnostic Model for Mild Cognitive Impairments</w:t>
      </w:r>
    </w:p>
    <w:p w:rsidR="002E475C" w:rsidRDefault="002E475C" w:rsidP="00DF17B1">
      <w:pPr>
        <w:pStyle w:val="Heading1"/>
        <w:rPr>
          <w:rFonts w:asciiTheme="majorBidi" w:hAnsiTheme="majorBidi"/>
          <w:b/>
          <w:bCs/>
        </w:rPr>
      </w:pPr>
    </w:p>
    <w:p w:rsidR="001B084B" w:rsidRDefault="00DF17B1" w:rsidP="00DF17B1">
      <w:pPr>
        <w:pStyle w:val="Heading1"/>
        <w:rPr>
          <w:rFonts w:asciiTheme="majorBidi" w:hAnsiTheme="majorBidi"/>
          <w:b/>
          <w:bCs/>
        </w:rPr>
      </w:pPr>
      <w:r w:rsidRPr="00DF17B1">
        <w:rPr>
          <w:rFonts w:asciiTheme="majorBidi" w:hAnsiTheme="majorBidi"/>
          <w:b/>
          <w:bCs/>
        </w:rPr>
        <w:t>Method</w:t>
      </w:r>
    </w:p>
    <w:p w:rsidR="00DF17B1" w:rsidRPr="00DF17B1" w:rsidRDefault="00DF17B1" w:rsidP="00DF17B1"/>
    <w:p w:rsidR="001B084B" w:rsidRPr="00DF17B1" w:rsidRDefault="001B084B" w:rsidP="00DF17B1">
      <w:pPr>
        <w:spacing w:line="360" w:lineRule="auto"/>
        <w:jc w:val="both"/>
        <w:rPr>
          <w:rFonts w:asciiTheme="majorBidi" w:hAnsiTheme="majorBidi" w:cstheme="majorBidi"/>
          <w:b/>
          <w:bCs/>
          <w:sz w:val="24"/>
          <w:szCs w:val="24"/>
          <w:rtl/>
          <w:lang w:bidi="fa-IR"/>
        </w:rPr>
      </w:pPr>
      <w:r w:rsidRPr="00DF17B1">
        <w:rPr>
          <w:rFonts w:asciiTheme="majorBidi" w:hAnsiTheme="majorBidi" w:cstheme="majorBidi"/>
          <w:b/>
          <w:bCs/>
          <w:sz w:val="24"/>
          <w:szCs w:val="24"/>
        </w:rPr>
        <w:t>Participants</w:t>
      </w:r>
    </w:p>
    <w:p w:rsidR="001B084B" w:rsidRDefault="001B084B" w:rsidP="00DF17B1">
      <w:pPr>
        <w:spacing w:line="360" w:lineRule="auto"/>
        <w:jc w:val="both"/>
        <w:rPr>
          <w:rStyle w:val="tlid-translation"/>
          <w:rFonts w:asciiTheme="majorBidi" w:hAnsiTheme="majorBidi" w:cstheme="majorBidi"/>
          <w:sz w:val="24"/>
          <w:szCs w:val="24"/>
          <w:lang w:val="en"/>
        </w:rPr>
      </w:pPr>
      <w:r w:rsidRPr="00DF17B1">
        <w:rPr>
          <w:rStyle w:val="tlid-translation"/>
          <w:rFonts w:asciiTheme="majorBidi" w:hAnsiTheme="majorBidi" w:cstheme="majorBidi"/>
          <w:sz w:val="24"/>
          <w:szCs w:val="24"/>
        </w:rPr>
        <w:t>1</w:t>
      </w:r>
      <w:r w:rsidRPr="00DF17B1">
        <w:rPr>
          <w:rStyle w:val="tlid-translation"/>
          <w:rFonts w:asciiTheme="majorBidi" w:hAnsiTheme="majorBidi" w:cstheme="majorBidi"/>
          <w:sz w:val="24"/>
          <w:szCs w:val="24"/>
          <w:lang w:val="en"/>
        </w:rPr>
        <w:t>20 people participated in this study</w:t>
      </w:r>
      <w:r w:rsidRPr="00DF17B1">
        <w:rPr>
          <w:rFonts w:asciiTheme="majorBidi" w:hAnsiTheme="majorBidi" w:cstheme="majorBidi"/>
          <w:sz w:val="24"/>
          <w:szCs w:val="24"/>
          <w:lang w:val="en"/>
        </w:rPr>
        <w:t xml:space="preserve">. </w:t>
      </w:r>
      <w:r w:rsidRPr="00DF17B1">
        <w:rPr>
          <w:rStyle w:val="tlid-translation"/>
          <w:rFonts w:asciiTheme="majorBidi" w:hAnsiTheme="majorBidi" w:cstheme="majorBidi"/>
          <w:sz w:val="24"/>
          <w:szCs w:val="24"/>
          <w:lang w:val="en"/>
        </w:rPr>
        <w:t>Sixteen participants were excluded from the study based on exclusion criteria.</w:t>
      </w:r>
      <w:r w:rsidRPr="00DF17B1">
        <w:rPr>
          <w:rFonts w:asciiTheme="majorBidi" w:hAnsiTheme="majorBidi" w:cstheme="majorBidi"/>
          <w:sz w:val="24"/>
          <w:szCs w:val="24"/>
          <w:lang w:val="en"/>
        </w:rPr>
        <w:t xml:space="preserve"> </w:t>
      </w:r>
      <w:r w:rsidRPr="00DF17B1">
        <w:rPr>
          <w:rStyle w:val="tlid-translation"/>
          <w:rFonts w:asciiTheme="majorBidi" w:hAnsiTheme="majorBidi" w:cstheme="majorBidi"/>
          <w:sz w:val="24"/>
          <w:szCs w:val="24"/>
          <w:lang w:val="en"/>
        </w:rPr>
        <w:t>49 healthy adults with no objective cognitive problems were in the control group, 36 adults with mild cognitive problems were in the MCI group, and 19 patients with Alzheimer's were in the Alzimer disease group.</w:t>
      </w:r>
      <w:r w:rsidRPr="00DF17B1">
        <w:rPr>
          <w:rFonts w:asciiTheme="majorBidi" w:hAnsiTheme="majorBidi" w:cstheme="majorBidi"/>
          <w:sz w:val="24"/>
          <w:szCs w:val="24"/>
          <w:lang w:val="en"/>
        </w:rPr>
        <w:t xml:space="preserve"> </w:t>
      </w:r>
      <w:r w:rsidRPr="00DF17B1">
        <w:rPr>
          <w:rStyle w:val="tlid-translation"/>
          <w:rFonts w:asciiTheme="majorBidi" w:hAnsiTheme="majorBidi" w:cstheme="majorBidi"/>
          <w:sz w:val="24"/>
          <w:szCs w:val="24"/>
          <w:lang w:val="en"/>
        </w:rPr>
        <w:t>The total number of participants was divided into two groups: group 1 (MCI + control = 68) and group 2 (AD + control = 85). Participants were aged 55 to 95 years.</w:t>
      </w:r>
    </w:p>
    <w:p w:rsidR="006E081D" w:rsidRPr="00DF17B1" w:rsidRDefault="006E081D" w:rsidP="00DF17B1">
      <w:pPr>
        <w:spacing w:line="360" w:lineRule="auto"/>
        <w:jc w:val="both"/>
        <w:rPr>
          <w:rStyle w:val="tlid-translation"/>
          <w:rFonts w:asciiTheme="majorBidi" w:hAnsiTheme="majorBidi" w:cstheme="majorBidi"/>
          <w:b/>
          <w:bCs/>
          <w:sz w:val="24"/>
          <w:szCs w:val="24"/>
          <w:u w:val="single"/>
          <w:rtl/>
          <w:lang w:bidi="fa-IR"/>
        </w:rPr>
      </w:pPr>
    </w:p>
    <w:p w:rsidR="001B084B" w:rsidRPr="00DF17B1" w:rsidRDefault="001B084B" w:rsidP="00DF17B1">
      <w:pPr>
        <w:spacing w:line="360" w:lineRule="auto"/>
        <w:jc w:val="both"/>
        <w:rPr>
          <w:rStyle w:val="tlid-translation"/>
          <w:rFonts w:asciiTheme="majorBidi" w:hAnsiTheme="majorBidi" w:cstheme="majorBidi"/>
          <w:sz w:val="24"/>
          <w:szCs w:val="24"/>
          <w:lang w:bidi="fa-IR"/>
        </w:rPr>
      </w:pPr>
      <w:r w:rsidRPr="00DF17B1">
        <w:rPr>
          <w:rStyle w:val="tlid-translation"/>
          <w:rFonts w:asciiTheme="majorBidi" w:hAnsiTheme="majorBidi" w:cstheme="majorBidi"/>
          <w:sz w:val="24"/>
          <w:szCs w:val="24"/>
          <w:lang w:bidi="fa-IR"/>
        </w:rPr>
        <w:t>Table 1. Subject information.</w:t>
      </w:r>
    </w:p>
    <w:tbl>
      <w:tblPr>
        <w:tblStyle w:val="TableGrid"/>
        <w:bidiVisual/>
        <w:tblW w:w="9781" w:type="dxa"/>
        <w:tblInd w:w="-426" w:type="dxa"/>
        <w:tblLayout w:type="fixed"/>
        <w:tblLook w:val="04A0" w:firstRow="1" w:lastRow="0" w:firstColumn="1" w:lastColumn="0" w:noHBand="0" w:noVBand="1"/>
      </w:tblPr>
      <w:tblGrid>
        <w:gridCol w:w="983"/>
        <w:gridCol w:w="860"/>
        <w:gridCol w:w="850"/>
        <w:gridCol w:w="479"/>
        <w:gridCol w:w="686"/>
        <w:gridCol w:w="745"/>
        <w:gridCol w:w="472"/>
        <w:gridCol w:w="750"/>
        <w:gridCol w:w="752"/>
        <w:gridCol w:w="472"/>
        <w:gridCol w:w="747"/>
        <w:gridCol w:w="1985"/>
      </w:tblGrid>
      <w:tr w:rsidR="006E081D" w:rsidRPr="00DF17B1" w:rsidTr="006E081D">
        <w:trPr>
          <w:trHeight w:val="340"/>
        </w:trPr>
        <w:tc>
          <w:tcPr>
            <w:tcW w:w="983"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lang w:bidi="fa-IR"/>
              </w:rPr>
            </w:pPr>
            <w:r w:rsidRPr="00DF17B1">
              <w:rPr>
                <w:rStyle w:val="tlid-translation"/>
                <w:rFonts w:asciiTheme="majorBidi" w:hAnsiTheme="majorBidi" w:cstheme="majorBidi"/>
                <w:sz w:val="20"/>
                <w:szCs w:val="20"/>
                <w:lang w:bidi="fa-IR"/>
              </w:rPr>
              <w:t>MCI-AD</w:t>
            </w:r>
          </w:p>
          <w:p w:rsidR="001B084B" w:rsidRPr="00DF17B1" w:rsidRDefault="001B084B" w:rsidP="006E081D">
            <w:pPr>
              <w:bidi/>
              <w:spacing w:line="360" w:lineRule="auto"/>
              <w:jc w:val="center"/>
              <w:rPr>
                <w:rStyle w:val="tlid-translation"/>
                <w:rFonts w:asciiTheme="majorBidi" w:hAnsiTheme="majorBidi" w:cstheme="majorBidi"/>
                <w:sz w:val="20"/>
                <w:szCs w:val="20"/>
                <w:lang w:bidi="fa-IR"/>
              </w:rPr>
            </w:pPr>
            <w:r w:rsidRPr="00DF17B1">
              <w:rPr>
                <w:rStyle w:val="tlid-translation"/>
                <w:rFonts w:asciiTheme="majorBidi" w:hAnsiTheme="majorBidi" w:cstheme="majorBidi"/>
                <w:sz w:val="20"/>
                <w:szCs w:val="20"/>
                <w:lang w:bidi="fa-IR"/>
              </w:rPr>
              <w:t>n = 85</w:t>
            </w:r>
          </w:p>
        </w:tc>
        <w:tc>
          <w:tcPr>
            <w:tcW w:w="860"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lang w:bidi="fa-IR"/>
              </w:rPr>
            </w:pPr>
            <w:r w:rsidRPr="00DF17B1">
              <w:rPr>
                <w:rStyle w:val="tlid-translation"/>
                <w:rFonts w:asciiTheme="majorBidi" w:hAnsiTheme="majorBidi" w:cstheme="majorBidi"/>
                <w:sz w:val="20"/>
                <w:szCs w:val="20"/>
                <w:lang w:bidi="fa-IR"/>
              </w:rPr>
              <w:t>MCI-HC</w:t>
            </w:r>
          </w:p>
          <w:p w:rsidR="001B084B" w:rsidRPr="00DF17B1" w:rsidRDefault="001B084B" w:rsidP="006E081D">
            <w:pPr>
              <w:bidi/>
              <w:spacing w:line="360" w:lineRule="auto"/>
              <w:jc w:val="center"/>
              <w:rPr>
                <w:rStyle w:val="tlid-translation"/>
                <w:rFonts w:asciiTheme="majorBidi" w:hAnsiTheme="majorBidi" w:cstheme="majorBidi"/>
                <w:sz w:val="20"/>
                <w:szCs w:val="20"/>
                <w:lang w:bidi="fa-IR"/>
              </w:rPr>
            </w:pPr>
            <w:r w:rsidRPr="00DF17B1">
              <w:rPr>
                <w:rStyle w:val="tlid-translation"/>
                <w:rFonts w:asciiTheme="majorBidi" w:hAnsiTheme="majorBidi" w:cstheme="majorBidi"/>
                <w:sz w:val="20"/>
                <w:szCs w:val="20"/>
                <w:lang w:bidi="fa-IR"/>
              </w:rPr>
              <w:t>n=68</w:t>
            </w:r>
          </w:p>
        </w:tc>
        <w:tc>
          <w:tcPr>
            <w:tcW w:w="2015" w:type="dxa"/>
            <w:gridSpan w:val="3"/>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lang w:bidi="fa-IR"/>
              </w:rPr>
            </w:pPr>
            <w:r w:rsidRPr="00DF17B1">
              <w:rPr>
                <w:rStyle w:val="tlid-translation"/>
                <w:rFonts w:asciiTheme="majorBidi" w:hAnsiTheme="majorBidi" w:cstheme="majorBidi"/>
                <w:sz w:val="20"/>
                <w:szCs w:val="20"/>
                <w:lang w:bidi="fa-IR"/>
              </w:rPr>
              <w:t>AD</w:t>
            </w:r>
          </w:p>
          <w:p w:rsidR="001B084B" w:rsidRPr="00DF17B1" w:rsidRDefault="001B084B" w:rsidP="006E081D">
            <w:pPr>
              <w:bidi/>
              <w:spacing w:line="360" w:lineRule="auto"/>
              <w:jc w:val="center"/>
              <w:rPr>
                <w:rStyle w:val="tlid-translation"/>
                <w:rFonts w:asciiTheme="majorBidi" w:hAnsiTheme="majorBidi" w:cstheme="majorBidi"/>
                <w:sz w:val="20"/>
                <w:szCs w:val="20"/>
                <w:lang w:bidi="fa-IR"/>
              </w:rPr>
            </w:pPr>
            <w:r w:rsidRPr="00DF17B1">
              <w:rPr>
                <w:rStyle w:val="tlid-translation"/>
                <w:rFonts w:asciiTheme="majorBidi" w:hAnsiTheme="majorBidi" w:cstheme="majorBidi"/>
                <w:sz w:val="20"/>
                <w:szCs w:val="20"/>
                <w:lang w:bidi="fa-IR"/>
              </w:rPr>
              <w:t xml:space="preserve">(n =19; </w:t>
            </w:r>
            <w:proofErr w:type="spellStart"/>
            <w:r w:rsidRPr="00DF17B1">
              <w:rPr>
                <w:rStyle w:val="tlid-translation"/>
                <w:rFonts w:asciiTheme="majorBidi" w:hAnsiTheme="majorBidi" w:cstheme="majorBidi"/>
                <w:sz w:val="20"/>
                <w:szCs w:val="20"/>
                <w:lang w:bidi="fa-IR"/>
              </w:rPr>
              <w:t>xF</w:t>
            </w:r>
            <w:proofErr w:type="spellEnd"/>
            <w:r w:rsidRPr="00DF17B1">
              <w:rPr>
                <w:rStyle w:val="tlid-translation"/>
                <w:rFonts w:asciiTheme="majorBidi" w:hAnsiTheme="majorBidi" w:cstheme="majorBidi"/>
                <w:sz w:val="20"/>
                <w:szCs w:val="20"/>
                <w:lang w:bidi="fa-IR"/>
              </w:rPr>
              <w:t>/</w:t>
            </w:r>
            <w:proofErr w:type="spellStart"/>
            <w:r w:rsidRPr="00DF17B1">
              <w:rPr>
                <w:rStyle w:val="tlid-translation"/>
                <w:rFonts w:asciiTheme="majorBidi" w:hAnsiTheme="majorBidi" w:cstheme="majorBidi"/>
                <w:sz w:val="20"/>
                <w:szCs w:val="20"/>
                <w:lang w:bidi="fa-IR"/>
              </w:rPr>
              <w:t>yM</w:t>
            </w:r>
            <w:proofErr w:type="spellEnd"/>
            <w:r w:rsidRPr="00DF17B1">
              <w:rPr>
                <w:rStyle w:val="tlid-translation"/>
                <w:rFonts w:asciiTheme="majorBidi" w:hAnsiTheme="majorBidi" w:cstheme="majorBidi"/>
                <w:sz w:val="20"/>
                <w:szCs w:val="20"/>
                <w:lang w:bidi="fa-IR"/>
              </w:rPr>
              <w:t xml:space="preserve"> )</w:t>
            </w:r>
          </w:p>
        </w:tc>
        <w:tc>
          <w:tcPr>
            <w:tcW w:w="1967" w:type="dxa"/>
            <w:gridSpan w:val="3"/>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lang w:bidi="fa-IR"/>
              </w:rPr>
            </w:pPr>
            <w:r w:rsidRPr="00DF17B1">
              <w:rPr>
                <w:rStyle w:val="tlid-translation"/>
                <w:rFonts w:asciiTheme="majorBidi" w:hAnsiTheme="majorBidi" w:cstheme="majorBidi"/>
                <w:sz w:val="20"/>
                <w:szCs w:val="20"/>
                <w:lang w:bidi="fa-IR"/>
              </w:rPr>
              <w:t>MCI</w:t>
            </w:r>
          </w:p>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r w:rsidRPr="00DF17B1">
              <w:rPr>
                <w:rStyle w:val="tlid-translation"/>
                <w:rFonts w:asciiTheme="majorBidi" w:hAnsiTheme="majorBidi" w:cstheme="majorBidi"/>
                <w:sz w:val="20"/>
                <w:szCs w:val="20"/>
                <w:lang w:bidi="fa-IR"/>
              </w:rPr>
              <w:t xml:space="preserve">(n =36; </w:t>
            </w:r>
            <w:proofErr w:type="spellStart"/>
            <w:r w:rsidRPr="00DF17B1">
              <w:rPr>
                <w:rStyle w:val="tlid-translation"/>
                <w:rFonts w:asciiTheme="majorBidi" w:hAnsiTheme="majorBidi" w:cstheme="majorBidi"/>
                <w:sz w:val="20"/>
                <w:szCs w:val="20"/>
                <w:lang w:bidi="fa-IR"/>
              </w:rPr>
              <w:t>xF</w:t>
            </w:r>
            <w:proofErr w:type="spellEnd"/>
            <w:r w:rsidRPr="00DF17B1">
              <w:rPr>
                <w:rStyle w:val="tlid-translation"/>
                <w:rFonts w:asciiTheme="majorBidi" w:hAnsiTheme="majorBidi" w:cstheme="majorBidi"/>
                <w:sz w:val="20"/>
                <w:szCs w:val="20"/>
                <w:lang w:bidi="fa-IR"/>
              </w:rPr>
              <w:t>/</w:t>
            </w:r>
            <w:proofErr w:type="spellStart"/>
            <w:r w:rsidRPr="00DF17B1">
              <w:rPr>
                <w:rStyle w:val="tlid-translation"/>
                <w:rFonts w:asciiTheme="majorBidi" w:hAnsiTheme="majorBidi" w:cstheme="majorBidi"/>
                <w:sz w:val="20"/>
                <w:szCs w:val="20"/>
                <w:lang w:bidi="fa-IR"/>
              </w:rPr>
              <w:t>yM</w:t>
            </w:r>
            <w:proofErr w:type="spellEnd"/>
            <w:r w:rsidRPr="00DF17B1">
              <w:rPr>
                <w:rStyle w:val="tlid-translation"/>
                <w:rFonts w:asciiTheme="majorBidi" w:hAnsiTheme="majorBidi" w:cstheme="majorBidi"/>
                <w:sz w:val="20"/>
                <w:szCs w:val="20"/>
                <w:lang w:bidi="fa-IR"/>
              </w:rPr>
              <w:t xml:space="preserve"> )</w:t>
            </w:r>
          </w:p>
        </w:tc>
        <w:tc>
          <w:tcPr>
            <w:tcW w:w="1971" w:type="dxa"/>
            <w:gridSpan w:val="3"/>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lang w:bidi="fa-IR"/>
              </w:rPr>
            </w:pPr>
            <w:r w:rsidRPr="00DF17B1">
              <w:rPr>
                <w:rStyle w:val="tlid-translation"/>
                <w:rFonts w:asciiTheme="majorBidi" w:hAnsiTheme="majorBidi" w:cstheme="majorBidi"/>
                <w:sz w:val="20"/>
                <w:szCs w:val="20"/>
                <w:lang w:bidi="fa-IR"/>
              </w:rPr>
              <w:t>HC</w:t>
            </w:r>
          </w:p>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r w:rsidRPr="00DF17B1">
              <w:rPr>
                <w:rStyle w:val="tlid-translation"/>
                <w:rFonts w:asciiTheme="majorBidi" w:hAnsiTheme="majorBidi" w:cstheme="majorBidi"/>
                <w:sz w:val="20"/>
                <w:szCs w:val="20"/>
                <w:lang w:bidi="fa-IR"/>
              </w:rPr>
              <w:t xml:space="preserve">(n=49; </w:t>
            </w:r>
            <w:proofErr w:type="spellStart"/>
            <w:r w:rsidRPr="00DF17B1">
              <w:rPr>
                <w:rStyle w:val="tlid-translation"/>
                <w:rFonts w:asciiTheme="majorBidi" w:hAnsiTheme="majorBidi" w:cstheme="majorBidi"/>
                <w:sz w:val="20"/>
                <w:szCs w:val="20"/>
                <w:lang w:bidi="fa-IR"/>
              </w:rPr>
              <w:t>xF</w:t>
            </w:r>
            <w:proofErr w:type="spellEnd"/>
            <w:r w:rsidRPr="00DF17B1">
              <w:rPr>
                <w:rStyle w:val="tlid-translation"/>
                <w:rFonts w:asciiTheme="majorBidi" w:hAnsiTheme="majorBidi" w:cstheme="majorBidi"/>
                <w:sz w:val="20"/>
                <w:szCs w:val="20"/>
                <w:lang w:bidi="fa-IR"/>
              </w:rPr>
              <w:t>/</w:t>
            </w:r>
            <w:proofErr w:type="spellStart"/>
            <w:r w:rsidRPr="00DF17B1">
              <w:rPr>
                <w:rStyle w:val="tlid-translation"/>
                <w:rFonts w:asciiTheme="majorBidi" w:hAnsiTheme="majorBidi" w:cstheme="majorBidi"/>
                <w:sz w:val="20"/>
                <w:szCs w:val="20"/>
                <w:lang w:bidi="fa-IR"/>
              </w:rPr>
              <w:t>yM</w:t>
            </w:r>
            <w:proofErr w:type="spellEnd"/>
            <w:r w:rsidRPr="00DF17B1">
              <w:rPr>
                <w:rStyle w:val="tlid-translation"/>
                <w:rFonts w:asciiTheme="majorBidi" w:hAnsiTheme="majorBidi" w:cstheme="majorBidi"/>
                <w:sz w:val="20"/>
                <w:szCs w:val="20"/>
                <w:lang w:bidi="fa-IR"/>
              </w:rPr>
              <w:t>)</w:t>
            </w:r>
          </w:p>
        </w:tc>
        <w:tc>
          <w:tcPr>
            <w:tcW w:w="1985" w:type="dxa"/>
            <w:vAlign w:val="center"/>
          </w:tcPr>
          <w:p w:rsidR="001B084B" w:rsidRPr="00DF17B1" w:rsidRDefault="001B084B" w:rsidP="006E081D">
            <w:pPr>
              <w:spacing w:line="360" w:lineRule="auto"/>
              <w:jc w:val="center"/>
              <w:rPr>
                <w:rStyle w:val="tlid-translation"/>
                <w:rFonts w:asciiTheme="majorBidi" w:hAnsiTheme="majorBidi" w:cstheme="majorBidi"/>
                <w:sz w:val="20"/>
                <w:szCs w:val="20"/>
                <w:rtl/>
                <w:lang w:bidi="fa-IR"/>
              </w:rPr>
            </w:pPr>
            <w:r w:rsidRPr="00DF17B1">
              <w:rPr>
                <w:rStyle w:val="tlid-translation"/>
                <w:rFonts w:asciiTheme="majorBidi" w:hAnsiTheme="majorBidi" w:cstheme="majorBidi"/>
                <w:sz w:val="20"/>
                <w:szCs w:val="20"/>
                <w:lang w:bidi="fa-IR"/>
              </w:rPr>
              <w:t>characteristics</w:t>
            </w:r>
          </w:p>
        </w:tc>
      </w:tr>
      <w:tr w:rsidR="00DF17B1" w:rsidRPr="00DF17B1" w:rsidTr="006E081D">
        <w:trPr>
          <w:trHeight w:val="340"/>
        </w:trPr>
        <w:tc>
          <w:tcPr>
            <w:tcW w:w="983"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lang w:bidi="fa-IR"/>
              </w:rPr>
            </w:pPr>
          </w:p>
        </w:tc>
        <w:tc>
          <w:tcPr>
            <w:tcW w:w="860"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lang w:bidi="fa-IR"/>
              </w:rPr>
            </w:pPr>
          </w:p>
        </w:tc>
        <w:tc>
          <w:tcPr>
            <w:tcW w:w="850"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lang w:bidi="fa-IR"/>
              </w:rPr>
            </w:pPr>
            <w:r w:rsidRPr="00DF17B1">
              <w:rPr>
                <w:rStyle w:val="tlid-translation"/>
                <w:rFonts w:asciiTheme="majorBidi" w:hAnsiTheme="majorBidi" w:cstheme="majorBidi"/>
                <w:sz w:val="20"/>
                <w:szCs w:val="20"/>
                <w:lang w:bidi="fa-IR"/>
              </w:rPr>
              <w:t>Range</w:t>
            </w:r>
          </w:p>
        </w:tc>
        <w:tc>
          <w:tcPr>
            <w:tcW w:w="479"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lang w:bidi="fa-IR"/>
              </w:rPr>
            </w:pPr>
            <w:r w:rsidRPr="00DF17B1">
              <w:rPr>
                <w:rStyle w:val="tlid-translation"/>
                <w:rFonts w:asciiTheme="majorBidi" w:hAnsiTheme="majorBidi" w:cstheme="majorBidi"/>
                <w:sz w:val="20"/>
                <w:szCs w:val="20"/>
                <w:lang w:bidi="fa-IR"/>
              </w:rPr>
              <w:t>SD</w:t>
            </w:r>
          </w:p>
        </w:tc>
        <w:tc>
          <w:tcPr>
            <w:tcW w:w="686"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lang w:bidi="fa-IR"/>
              </w:rPr>
            </w:pPr>
            <w:r w:rsidRPr="00DF17B1">
              <w:rPr>
                <w:rStyle w:val="tlid-translation"/>
                <w:rFonts w:asciiTheme="majorBidi" w:hAnsiTheme="majorBidi" w:cstheme="majorBidi"/>
                <w:sz w:val="20"/>
                <w:szCs w:val="20"/>
                <w:lang w:bidi="fa-IR"/>
              </w:rPr>
              <w:t>Mean</w:t>
            </w:r>
          </w:p>
        </w:tc>
        <w:tc>
          <w:tcPr>
            <w:tcW w:w="745"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lang w:bidi="fa-IR"/>
              </w:rPr>
            </w:pPr>
            <w:r w:rsidRPr="00DF17B1">
              <w:rPr>
                <w:rStyle w:val="tlid-translation"/>
                <w:rFonts w:asciiTheme="majorBidi" w:hAnsiTheme="majorBidi" w:cstheme="majorBidi"/>
                <w:sz w:val="20"/>
                <w:szCs w:val="20"/>
                <w:lang w:bidi="fa-IR"/>
              </w:rPr>
              <w:t>Range</w:t>
            </w:r>
          </w:p>
        </w:tc>
        <w:tc>
          <w:tcPr>
            <w:tcW w:w="472"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lang w:bidi="fa-IR"/>
              </w:rPr>
            </w:pPr>
            <w:r w:rsidRPr="00DF17B1">
              <w:rPr>
                <w:rStyle w:val="tlid-translation"/>
                <w:rFonts w:asciiTheme="majorBidi" w:hAnsiTheme="majorBidi" w:cstheme="majorBidi"/>
                <w:sz w:val="20"/>
                <w:szCs w:val="20"/>
                <w:lang w:bidi="fa-IR"/>
              </w:rPr>
              <w:t>SD</w:t>
            </w:r>
          </w:p>
        </w:tc>
        <w:tc>
          <w:tcPr>
            <w:tcW w:w="750"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lang w:bidi="fa-IR"/>
              </w:rPr>
            </w:pPr>
            <w:r w:rsidRPr="00DF17B1">
              <w:rPr>
                <w:rStyle w:val="tlid-translation"/>
                <w:rFonts w:asciiTheme="majorBidi" w:hAnsiTheme="majorBidi" w:cstheme="majorBidi"/>
                <w:sz w:val="20"/>
                <w:szCs w:val="20"/>
                <w:lang w:bidi="fa-IR"/>
              </w:rPr>
              <w:t>Mean</w:t>
            </w:r>
          </w:p>
        </w:tc>
        <w:tc>
          <w:tcPr>
            <w:tcW w:w="752"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lang w:bidi="fa-IR"/>
              </w:rPr>
            </w:pPr>
            <w:r w:rsidRPr="00DF17B1">
              <w:rPr>
                <w:rStyle w:val="tlid-translation"/>
                <w:rFonts w:asciiTheme="majorBidi" w:hAnsiTheme="majorBidi" w:cstheme="majorBidi"/>
                <w:sz w:val="20"/>
                <w:szCs w:val="20"/>
                <w:lang w:bidi="fa-IR"/>
              </w:rPr>
              <w:t>Range</w:t>
            </w:r>
          </w:p>
        </w:tc>
        <w:tc>
          <w:tcPr>
            <w:tcW w:w="472"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lang w:bidi="fa-IR"/>
              </w:rPr>
            </w:pPr>
            <w:r w:rsidRPr="00DF17B1">
              <w:rPr>
                <w:rStyle w:val="tlid-translation"/>
                <w:rFonts w:asciiTheme="majorBidi" w:hAnsiTheme="majorBidi" w:cstheme="majorBidi"/>
                <w:sz w:val="20"/>
                <w:szCs w:val="20"/>
                <w:lang w:bidi="fa-IR"/>
              </w:rPr>
              <w:t>SD</w:t>
            </w:r>
          </w:p>
        </w:tc>
        <w:tc>
          <w:tcPr>
            <w:tcW w:w="747"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lang w:bidi="fa-IR"/>
              </w:rPr>
            </w:pPr>
            <w:r w:rsidRPr="00DF17B1">
              <w:rPr>
                <w:rStyle w:val="tlid-translation"/>
                <w:rFonts w:asciiTheme="majorBidi" w:hAnsiTheme="majorBidi" w:cstheme="majorBidi"/>
                <w:sz w:val="20"/>
                <w:szCs w:val="20"/>
                <w:lang w:bidi="fa-IR"/>
              </w:rPr>
              <w:t>Mean</w:t>
            </w:r>
          </w:p>
        </w:tc>
        <w:tc>
          <w:tcPr>
            <w:tcW w:w="1985" w:type="dxa"/>
            <w:vAlign w:val="center"/>
          </w:tcPr>
          <w:p w:rsidR="001B084B" w:rsidRPr="00DF17B1" w:rsidRDefault="001B084B" w:rsidP="006E081D">
            <w:pPr>
              <w:spacing w:line="360" w:lineRule="auto"/>
              <w:jc w:val="center"/>
              <w:rPr>
                <w:rStyle w:val="tlid-translation"/>
                <w:rFonts w:asciiTheme="majorBidi" w:hAnsiTheme="majorBidi" w:cstheme="majorBidi"/>
                <w:sz w:val="20"/>
                <w:szCs w:val="20"/>
                <w:lang w:bidi="fa-IR"/>
              </w:rPr>
            </w:pPr>
          </w:p>
        </w:tc>
      </w:tr>
      <w:tr w:rsidR="00DF17B1" w:rsidRPr="00DF17B1" w:rsidTr="006E081D">
        <w:trPr>
          <w:trHeight w:val="340"/>
        </w:trPr>
        <w:tc>
          <w:tcPr>
            <w:tcW w:w="983"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860"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850"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479"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686"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745"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472"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750"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752"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472"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747"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1985" w:type="dxa"/>
            <w:vAlign w:val="center"/>
          </w:tcPr>
          <w:p w:rsidR="001B084B" w:rsidRPr="00DF17B1" w:rsidRDefault="001B084B" w:rsidP="006E081D">
            <w:pPr>
              <w:spacing w:line="360" w:lineRule="auto"/>
              <w:jc w:val="center"/>
              <w:rPr>
                <w:rStyle w:val="tlid-translation"/>
                <w:rFonts w:asciiTheme="majorBidi" w:hAnsiTheme="majorBidi" w:cstheme="majorBidi"/>
                <w:sz w:val="20"/>
                <w:szCs w:val="20"/>
                <w:rtl/>
                <w:lang w:bidi="fa-IR"/>
              </w:rPr>
            </w:pPr>
            <w:r w:rsidRPr="00DF17B1">
              <w:rPr>
                <w:rStyle w:val="tlid-translation"/>
                <w:rFonts w:asciiTheme="majorBidi" w:hAnsiTheme="majorBidi" w:cstheme="majorBidi"/>
                <w:sz w:val="20"/>
                <w:szCs w:val="20"/>
                <w:lang w:bidi="fa-IR"/>
              </w:rPr>
              <w:t xml:space="preserve">Age (mean </w:t>
            </w:r>
            <m:oMath>
              <m:r>
                <w:rPr>
                  <w:rStyle w:val="tlid-translation"/>
                  <w:rFonts w:ascii="Cambria Math" w:hAnsi="Cambria Math" w:cstheme="majorBidi"/>
                  <w:sz w:val="20"/>
                  <w:szCs w:val="20"/>
                  <w:rtl/>
                  <w:lang w:bidi="fa-IR"/>
                </w:rPr>
                <m:t>±</m:t>
              </m:r>
            </m:oMath>
            <w:r w:rsidRPr="00DF17B1">
              <w:rPr>
                <w:rStyle w:val="tlid-translation"/>
                <w:rFonts w:asciiTheme="majorBidi" w:hAnsiTheme="majorBidi" w:cstheme="majorBidi"/>
                <w:sz w:val="20"/>
                <w:szCs w:val="20"/>
                <w:lang w:bidi="fa-IR"/>
              </w:rPr>
              <w:t>sd)</w:t>
            </w:r>
          </w:p>
        </w:tc>
      </w:tr>
      <w:tr w:rsidR="00DF17B1" w:rsidRPr="00DF17B1" w:rsidTr="006E081D">
        <w:trPr>
          <w:trHeight w:val="340"/>
        </w:trPr>
        <w:tc>
          <w:tcPr>
            <w:tcW w:w="983"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860"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850"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479"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686"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745"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472"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750"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752"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472"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747"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1985" w:type="dxa"/>
            <w:vAlign w:val="center"/>
          </w:tcPr>
          <w:p w:rsidR="001B084B" w:rsidRPr="00DF17B1" w:rsidRDefault="001B084B" w:rsidP="006E081D">
            <w:pPr>
              <w:spacing w:line="360" w:lineRule="auto"/>
              <w:jc w:val="center"/>
              <w:rPr>
                <w:rStyle w:val="tlid-translation"/>
                <w:rFonts w:asciiTheme="majorBidi" w:hAnsiTheme="majorBidi" w:cstheme="majorBidi"/>
                <w:sz w:val="20"/>
                <w:szCs w:val="20"/>
                <w:rtl/>
                <w:lang w:bidi="fa-IR"/>
              </w:rPr>
            </w:pPr>
            <w:r w:rsidRPr="00DF17B1">
              <w:rPr>
                <w:rStyle w:val="tlid-translation"/>
                <w:rFonts w:asciiTheme="majorBidi" w:hAnsiTheme="majorBidi" w:cstheme="majorBidi"/>
                <w:sz w:val="20"/>
                <w:szCs w:val="20"/>
                <w:lang w:bidi="fa-IR"/>
              </w:rPr>
              <w:t xml:space="preserve">education(mean </w:t>
            </w:r>
            <m:oMath>
              <m:r>
                <w:rPr>
                  <w:rStyle w:val="tlid-translation"/>
                  <w:rFonts w:ascii="Cambria Math" w:hAnsi="Cambria Math" w:cstheme="majorBidi"/>
                  <w:sz w:val="20"/>
                  <w:szCs w:val="20"/>
                  <w:rtl/>
                  <w:lang w:bidi="fa-IR"/>
                </w:rPr>
                <m:t>±</m:t>
              </m:r>
            </m:oMath>
            <w:r w:rsidRPr="00DF17B1">
              <w:rPr>
                <w:rStyle w:val="tlid-translation"/>
                <w:rFonts w:asciiTheme="majorBidi" w:hAnsiTheme="majorBidi" w:cstheme="majorBidi"/>
                <w:sz w:val="20"/>
                <w:szCs w:val="20"/>
                <w:lang w:bidi="fa-IR"/>
              </w:rPr>
              <w:t>sd)</w:t>
            </w:r>
          </w:p>
        </w:tc>
      </w:tr>
      <w:tr w:rsidR="00DF17B1" w:rsidRPr="00DF17B1" w:rsidTr="006E081D">
        <w:trPr>
          <w:trHeight w:val="340"/>
        </w:trPr>
        <w:tc>
          <w:tcPr>
            <w:tcW w:w="983"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860"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850"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479"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686"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745"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472"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750"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752"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472"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747" w:type="dxa"/>
            <w:vAlign w:val="center"/>
          </w:tcPr>
          <w:p w:rsidR="001B084B" w:rsidRPr="00DF17B1" w:rsidRDefault="001B084B" w:rsidP="006E081D">
            <w:pPr>
              <w:bidi/>
              <w:spacing w:line="360" w:lineRule="auto"/>
              <w:jc w:val="center"/>
              <w:rPr>
                <w:rStyle w:val="tlid-translation"/>
                <w:rFonts w:asciiTheme="majorBidi" w:hAnsiTheme="majorBidi" w:cstheme="majorBidi"/>
                <w:sz w:val="20"/>
                <w:szCs w:val="20"/>
                <w:rtl/>
                <w:lang w:bidi="fa-IR"/>
              </w:rPr>
            </w:pPr>
          </w:p>
        </w:tc>
        <w:tc>
          <w:tcPr>
            <w:tcW w:w="1985" w:type="dxa"/>
            <w:vAlign w:val="center"/>
          </w:tcPr>
          <w:p w:rsidR="001B084B" w:rsidRPr="00DF17B1" w:rsidRDefault="001B084B" w:rsidP="006E081D">
            <w:pPr>
              <w:spacing w:line="360" w:lineRule="auto"/>
              <w:jc w:val="center"/>
              <w:rPr>
                <w:rStyle w:val="tlid-translation"/>
                <w:rFonts w:asciiTheme="majorBidi" w:hAnsiTheme="majorBidi" w:cstheme="majorBidi"/>
                <w:sz w:val="20"/>
                <w:szCs w:val="20"/>
                <w:rtl/>
                <w:lang w:bidi="fa-IR"/>
              </w:rPr>
            </w:pPr>
            <w:r w:rsidRPr="00DF17B1">
              <w:rPr>
                <w:rStyle w:val="tlid-translation"/>
                <w:rFonts w:asciiTheme="majorBidi" w:hAnsiTheme="majorBidi" w:cstheme="majorBidi"/>
                <w:sz w:val="20"/>
                <w:szCs w:val="20"/>
                <w:lang w:bidi="fa-IR"/>
              </w:rPr>
              <w:t>CDR</w:t>
            </w:r>
          </w:p>
        </w:tc>
      </w:tr>
    </w:tbl>
    <w:p w:rsidR="001B084B" w:rsidRPr="00DF17B1" w:rsidRDefault="001B084B" w:rsidP="00DF17B1">
      <w:pPr>
        <w:autoSpaceDE w:val="0"/>
        <w:autoSpaceDN w:val="0"/>
        <w:adjustRightInd w:val="0"/>
        <w:spacing w:after="0" w:line="360" w:lineRule="auto"/>
        <w:jc w:val="both"/>
        <w:rPr>
          <w:rFonts w:asciiTheme="majorBidi" w:hAnsiTheme="majorBidi" w:cstheme="majorBidi"/>
          <w:sz w:val="24"/>
          <w:szCs w:val="24"/>
        </w:rPr>
      </w:pPr>
    </w:p>
    <w:p w:rsidR="001B084B" w:rsidRPr="006E081D" w:rsidRDefault="001B084B" w:rsidP="00DF17B1">
      <w:pPr>
        <w:autoSpaceDE w:val="0"/>
        <w:autoSpaceDN w:val="0"/>
        <w:adjustRightInd w:val="0"/>
        <w:spacing w:after="0" w:line="360" w:lineRule="auto"/>
        <w:jc w:val="both"/>
        <w:rPr>
          <w:rFonts w:asciiTheme="majorBidi" w:hAnsiTheme="majorBidi" w:cstheme="majorBidi"/>
          <w:sz w:val="18"/>
          <w:szCs w:val="18"/>
        </w:rPr>
      </w:pPr>
      <w:r w:rsidRPr="006E081D">
        <w:rPr>
          <w:rFonts w:asciiTheme="majorBidi" w:hAnsiTheme="majorBidi" w:cstheme="majorBidi"/>
          <w:sz w:val="18"/>
          <w:szCs w:val="18"/>
        </w:rPr>
        <w:t>The numbers refer to baseline data. AD=Alzheimer's disease, MCI=Mild Cognitive Impairment, HC=Healthy Control, CDR= Clinical Dementia Rating.</w:t>
      </w:r>
    </w:p>
    <w:p w:rsidR="00827E79" w:rsidRDefault="00827E79" w:rsidP="00DF17B1">
      <w:pPr>
        <w:spacing w:line="360" w:lineRule="auto"/>
        <w:jc w:val="both"/>
        <w:rPr>
          <w:rFonts w:asciiTheme="majorBidi" w:hAnsiTheme="majorBidi" w:cstheme="majorBidi"/>
          <w:sz w:val="24"/>
          <w:szCs w:val="24"/>
        </w:rPr>
      </w:pPr>
    </w:p>
    <w:p w:rsidR="00070EDE" w:rsidRPr="00070EDE" w:rsidRDefault="00070EDE" w:rsidP="00070EDE">
      <w:pPr>
        <w:spacing w:line="360" w:lineRule="auto"/>
        <w:jc w:val="both"/>
        <w:rPr>
          <w:rFonts w:asciiTheme="majorBidi" w:hAnsiTheme="majorBidi" w:cstheme="majorBidi"/>
          <w:b/>
          <w:bCs/>
          <w:sz w:val="24"/>
          <w:szCs w:val="24"/>
          <w:rtl/>
        </w:rPr>
      </w:pPr>
      <w:r w:rsidRPr="00070EDE">
        <w:rPr>
          <w:rFonts w:asciiTheme="majorBidi" w:hAnsiTheme="majorBidi" w:cstheme="majorBidi"/>
          <w:b/>
          <w:bCs/>
          <w:sz w:val="24"/>
          <w:szCs w:val="24"/>
        </w:rPr>
        <w:t>Eye-tracking experiments</w:t>
      </w:r>
    </w:p>
    <w:p w:rsidR="00905F09" w:rsidRPr="00827E79" w:rsidRDefault="00827E79" w:rsidP="007025BA">
      <w:pPr>
        <w:autoSpaceDE w:val="0"/>
        <w:autoSpaceDN w:val="0"/>
        <w:adjustRightInd w:val="0"/>
        <w:spacing w:after="0" w:line="360" w:lineRule="auto"/>
        <w:jc w:val="both"/>
        <w:rPr>
          <w:rStyle w:val="tlid-translation"/>
          <w:rFonts w:asciiTheme="majorBidi" w:hAnsiTheme="majorBidi" w:cstheme="majorBidi"/>
          <w:sz w:val="24"/>
          <w:szCs w:val="24"/>
        </w:rPr>
      </w:pPr>
      <w:r w:rsidRPr="00827E79">
        <w:t>We</w:t>
      </w:r>
      <w:r w:rsidRPr="00905F09">
        <w:rPr>
          <w:rStyle w:val="tlid-translation"/>
          <w:rFonts w:asciiTheme="majorBidi" w:hAnsiTheme="majorBidi" w:cstheme="majorBidi"/>
          <w:sz w:val="24"/>
          <w:szCs w:val="24"/>
          <w:lang w:val="en"/>
        </w:rPr>
        <w:t xml:space="preserve"> used </w:t>
      </w:r>
      <w:r w:rsidRPr="00827E79">
        <w:rPr>
          <w:rFonts w:asciiTheme="majorBidi" w:hAnsiTheme="majorBidi" w:cstheme="majorBidi"/>
          <w:sz w:val="24"/>
          <w:szCs w:val="24"/>
        </w:rPr>
        <w:t>Simon</w:t>
      </w:r>
      <w:r>
        <w:rPr>
          <w:rFonts w:asciiTheme="majorBidi" w:hAnsiTheme="majorBidi" w:cstheme="majorBidi"/>
          <w:sz w:val="24"/>
          <w:szCs w:val="24"/>
        </w:rPr>
        <w:t xml:space="preserve">, </w:t>
      </w:r>
      <w:r w:rsidRPr="00827E79">
        <w:rPr>
          <w:rFonts w:asciiTheme="majorBidi" w:hAnsiTheme="majorBidi" w:cstheme="majorBidi"/>
          <w:sz w:val="24"/>
          <w:szCs w:val="24"/>
        </w:rPr>
        <w:t>Pen and pencil</w:t>
      </w:r>
      <w:r>
        <w:rPr>
          <w:rFonts w:asciiTheme="majorBidi" w:hAnsiTheme="majorBidi" w:cstheme="majorBidi"/>
          <w:sz w:val="24"/>
          <w:szCs w:val="24"/>
        </w:rPr>
        <w:t xml:space="preserve">, </w:t>
      </w:r>
      <w:r w:rsidRPr="00827E79">
        <w:rPr>
          <w:rFonts w:asciiTheme="majorBidi" w:hAnsiTheme="majorBidi" w:cstheme="majorBidi"/>
          <w:sz w:val="24"/>
          <w:szCs w:val="24"/>
        </w:rPr>
        <w:t>n-back</w:t>
      </w:r>
      <w:r>
        <w:rPr>
          <w:rFonts w:asciiTheme="majorBidi" w:hAnsiTheme="majorBidi" w:cstheme="majorBidi"/>
          <w:sz w:val="24"/>
          <w:szCs w:val="24"/>
        </w:rPr>
        <w:t xml:space="preserve"> and </w:t>
      </w:r>
      <w:r w:rsidRPr="00827E79">
        <w:rPr>
          <w:rFonts w:asciiTheme="majorBidi" w:hAnsiTheme="majorBidi" w:cstheme="majorBidi"/>
          <w:sz w:val="24"/>
          <w:szCs w:val="24"/>
        </w:rPr>
        <w:t>eye-tracking</w:t>
      </w:r>
      <w:r>
        <w:rPr>
          <w:rFonts w:asciiTheme="majorBidi" w:hAnsiTheme="majorBidi" w:cstheme="majorBidi"/>
          <w:sz w:val="24"/>
          <w:szCs w:val="24"/>
        </w:rPr>
        <w:t xml:space="preserve"> methods</w:t>
      </w:r>
      <w:r w:rsidR="007025BA">
        <w:rPr>
          <w:rFonts w:asciiTheme="majorBidi" w:hAnsiTheme="majorBidi" w:cstheme="majorBidi"/>
          <w:sz w:val="24"/>
          <w:szCs w:val="24"/>
        </w:rPr>
        <w:t xml:space="preserve">. </w:t>
      </w:r>
      <w:r w:rsidR="007025BA">
        <w:t>The</w:t>
      </w:r>
      <w:r w:rsidR="00070EDE" w:rsidRPr="00905F09">
        <w:rPr>
          <w:rStyle w:val="tlid-translation"/>
          <w:rFonts w:asciiTheme="majorBidi" w:hAnsiTheme="majorBidi" w:cstheme="majorBidi"/>
          <w:sz w:val="24"/>
          <w:szCs w:val="24"/>
          <w:lang w:val="en"/>
        </w:rPr>
        <w:t xml:space="preserve"> eye-tracking experiments were carried out in a quiet lab environment</w:t>
      </w:r>
      <w:r w:rsidR="00070EDE" w:rsidRPr="00905F09">
        <w:rPr>
          <w:rStyle w:val="tlid-translation"/>
          <w:rFonts w:asciiTheme="majorBidi" w:hAnsiTheme="majorBidi" w:cstheme="majorBidi"/>
          <w:sz w:val="24"/>
          <w:szCs w:val="24"/>
          <w:rtl/>
          <w:lang w:val="en"/>
        </w:rPr>
        <w:t>.</w:t>
      </w:r>
      <w:r w:rsidR="00905F09" w:rsidRPr="00905F09">
        <w:rPr>
          <w:rStyle w:val="tlid-translation"/>
          <w:rFonts w:asciiTheme="majorBidi" w:hAnsiTheme="majorBidi" w:cstheme="majorBidi"/>
          <w:sz w:val="24"/>
          <w:szCs w:val="24"/>
          <w:lang w:val="en"/>
        </w:rPr>
        <w:t xml:space="preserve"> 1000 Desktop Mount with monocular eye-tracking</w:t>
      </w:r>
      <w:r w:rsidR="007025BA">
        <w:rPr>
          <w:rStyle w:val="tlid-translation"/>
          <w:rFonts w:asciiTheme="majorBidi" w:hAnsiTheme="majorBidi" w:cstheme="majorBidi"/>
          <w:sz w:val="24"/>
          <w:szCs w:val="24"/>
          <w:lang w:val="en"/>
        </w:rPr>
        <w:t>.</w:t>
      </w:r>
      <w:r w:rsidR="00905F09" w:rsidRPr="00905F09">
        <w:rPr>
          <w:rStyle w:val="tlid-translation"/>
          <w:rFonts w:asciiTheme="majorBidi" w:hAnsiTheme="majorBidi" w:cstheme="majorBidi"/>
          <w:sz w:val="24"/>
          <w:szCs w:val="24"/>
          <w:lang w:val="en"/>
        </w:rPr>
        <w:t xml:space="preserve"> The eye tracking system is completely safe and does not need to restrain or control the subject's </w:t>
      </w:r>
      <w:r w:rsidR="00905F09" w:rsidRPr="00905F09">
        <w:rPr>
          <w:rStyle w:val="tlid-translation"/>
          <w:rFonts w:asciiTheme="majorBidi" w:hAnsiTheme="majorBidi" w:cstheme="majorBidi"/>
          <w:sz w:val="24"/>
          <w:szCs w:val="24"/>
          <w:lang w:val="en"/>
        </w:rPr>
        <w:lastRenderedPageBreak/>
        <w:t>head, and this tool only records eye movements. Each person is placed at a distance of 20 cm from the screen. The system follows both eyes of the subject and its accuracy is 0.5 degrees of eye angle. The sampling rate was set to 1000 Hz</w:t>
      </w:r>
      <w:r w:rsidR="00905F09" w:rsidRPr="00905F09">
        <w:rPr>
          <w:rStyle w:val="tlid-translation"/>
          <w:rFonts w:asciiTheme="majorBidi" w:hAnsiTheme="majorBidi" w:cstheme="majorBidi"/>
          <w:sz w:val="24"/>
          <w:szCs w:val="24"/>
          <w:rtl/>
          <w:lang w:val="en"/>
        </w:rPr>
        <w:t>.</w:t>
      </w:r>
      <w:r w:rsidR="00905F09" w:rsidRPr="00905F09">
        <w:rPr>
          <w:rStyle w:val="tlid-translation"/>
          <w:rFonts w:asciiTheme="majorBidi" w:hAnsiTheme="majorBidi" w:cstheme="majorBidi"/>
          <w:sz w:val="24"/>
          <w:szCs w:val="24"/>
          <w:lang w:val="en"/>
        </w:rPr>
        <w:t xml:space="preserve"> Spatial resolution is 0.2 degrees and error rate is 0.3 degrees. Eye movements, such as saccades and fixations, are then calculated with respect to the predefined Areas of interest (AOIs). The eye-tracker was calibrated for each participant using a 9-point calibration procedure, and drift-corrected between Trial 1 and Trial 2</w:t>
      </w:r>
    </w:p>
    <w:p w:rsidR="00070EDE" w:rsidRPr="00DF17B1" w:rsidRDefault="00070EDE" w:rsidP="00DF17B1">
      <w:pPr>
        <w:spacing w:line="360" w:lineRule="auto"/>
        <w:jc w:val="both"/>
        <w:rPr>
          <w:rFonts w:asciiTheme="majorBidi" w:hAnsiTheme="majorBidi" w:cstheme="majorBidi"/>
          <w:sz w:val="24"/>
          <w:szCs w:val="24"/>
        </w:rPr>
      </w:pPr>
    </w:p>
    <w:p w:rsidR="001B084B" w:rsidRPr="00DF17B1" w:rsidRDefault="001B084B" w:rsidP="00DF17B1">
      <w:pPr>
        <w:spacing w:line="360" w:lineRule="auto"/>
        <w:jc w:val="both"/>
        <w:rPr>
          <w:rFonts w:asciiTheme="majorBidi" w:hAnsiTheme="majorBidi" w:cstheme="majorBidi"/>
          <w:b/>
          <w:bCs/>
          <w:sz w:val="24"/>
          <w:szCs w:val="24"/>
        </w:rPr>
      </w:pPr>
      <w:r w:rsidRPr="00DF17B1">
        <w:rPr>
          <w:rFonts w:asciiTheme="majorBidi" w:hAnsiTheme="majorBidi" w:cstheme="majorBidi"/>
          <w:b/>
          <w:bCs/>
          <w:sz w:val="24"/>
          <w:szCs w:val="24"/>
        </w:rPr>
        <w:t>Data preparing</w:t>
      </w:r>
    </w:p>
    <w:p w:rsidR="00DF17B1" w:rsidRPr="00827E79" w:rsidRDefault="006E081D" w:rsidP="00827E79">
      <w:pPr>
        <w:autoSpaceDE w:val="0"/>
        <w:autoSpaceDN w:val="0"/>
        <w:adjustRightInd w:val="0"/>
        <w:spacing w:after="0" w:line="360" w:lineRule="auto"/>
        <w:jc w:val="both"/>
      </w:pPr>
      <w:r w:rsidRPr="007025BA">
        <w:rPr>
          <w:rFonts w:asciiTheme="majorBidi" w:hAnsiTheme="majorBidi" w:cstheme="majorBidi"/>
          <w:sz w:val="24"/>
          <w:szCs w:val="24"/>
        </w:rPr>
        <w:t>Three</w:t>
      </w:r>
      <w:r w:rsidR="001B084B" w:rsidRPr="007025BA">
        <w:rPr>
          <w:rFonts w:asciiTheme="majorBidi" w:hAnsiTheme="majorBidi" w:cstheme="majorBidi"/>
          <w:sz w:val="24"/>
          <w:szCs w:val="24"/>
        </w:rPr>
        <w:t xml:space="preserve"> machine learning algorithms were implemented in Python using Orange (</w:t>
      </w:r>
      <w:proofErr w:type="spellStart"/>
      <w:r w:rsidR="001B084B" w:rsidRPr="007025BA">
        <w:rPr>
          <w:rFonts w:asciiTheme="majorBidi" w:hAnsiTheme="majorBidi" w:cstheme="majorBidi"/>
          <w:sz w:val="24"/>
          <w:szCs w:val="24"/>
        </w:rPr>
        <w:t>Curk</w:t>
      </w:r>
      <w:proofErr w:type="spellEnd"/>
      <w:r w:rsidR="001B084B" w:rsidRPr="007025BA">
        <w:rPr>
          <w:rFonts w:asciiTheme="majorBidi" w:hAnsiTheme="majorBidi" w:cstheme="majorBidi"/>
          <w:sz w:val="24"/>
          <w:szCs w:val="24"/>
        </w:rPr>
        <w:t xml:space="preserve"> et al., 2005): </w:t>
      </w:r>
      <w:r w:rsidR="001B084B" w:rsidRPr="00DF17B1">
        <w:rPr>
          <w:rFonts w:asciiTheme="majorBidi" w:hAnsiTheme="majorBidi" w:cstheme="majorBidi"/>
          <w:sz w:val="24"/>
          <w:szCs w:val="24"/>
        </w:rPr>
        <w:t>Logistic Regression (LR)</w:t>
      </w:r>
      <w:r w:rsidR="001B084B" w:rsidRPr="007025BA">
        <w:rPr>
          <w:rFonts w:asciiTheme="majorBidi" w:hAnsiTheme="majorBidi" w:cstheme="majorBidi"/>
          <w:sz w:val="24"/>
          <w:szCs w:val="24"/>
        </w:rPr>
        <w:t xml:space="preserve">, </w:t>
      </w:r>
      <w:r w:rsidR="001B084B" w:rsidRPr="00DF17B1">
        <w:rPr>
          <w:rFonts w:asciiTheme="majorBidi" w:hAnsiTheme="majorBidi" w:cstheme="majorBidi"/>
          <w:sz w:val="24"/>
          <w:szCs w:val="24"/>
        </w:rPr>
        <w:t>Gaussian Naive Bayes (GNB)</w:t>
      </w:r>
      <w:r w:rsidRPr="007025BA">
        <w:rPr>
          <w:rFonts w:asciiTheme="majorBidi" w:hAnsiTheme="majorBidi" w:cstheme="majorBidi"/>
          <w:sz w:val="24"/>
          <w:szCs w:val="24"/>
        </w:rPr>
        <w:t>,</w:t>
      </w:r>
      <w:r w:rsidR="001B084B" w:rsidRPr="007025BA">
        <w:rPr>
          <w:rFonts w:asciiTheme="majorBidi" w:hAnsiTheme="majorBidi" w:cstheme="majorBidi"/>
          <w:sz w:val="24"/>
          <w:szCs w:val="24"/>
        </w:rPr>
        <w:t xml:space="preserve"> and </w:t>
      </w:r>
      <w:r w:rsidR="001B084B" w:rsidRPr="00DF17B1">
        <w:rPr>
          <w:rFonts w:asciiTheme="majorBidi" w:hAnsiTheme="majorBidi" w:cstheme="majorBidi"/>
          <w:sz w:val="24"/>
          <w:szCs w:val="24"/>
        </w:rPr>
        <w:t>Support Vector Machine (SVM)</w:t>
      </w:r>
      <w:r w:rsidR="001B084B" w:rsidRPr="007025BA">
        <w:rPr>
          <w:rFonts w:asciiTheme="majorBidi" w:hAnsiTheme="majorBidi" w:cstheme="majorBidi"/>
          <w:sz w:val="24"/>
          <w:szCs w:val="24"/>
        </w:rPr>
        <w:t xml:space="preserve"> with radial basis function kernel type.</w:t>
      </w:r>
      <w:r w:rsidR="00827E79" w:rsidRPr="007025BA">
        <w:rPr>
          <w:rFonts w:asciiTheme="majorBidi" w:hAnsiTheme="majorBidi" w:cstheme="majorBidi"/>
          <w:sz w:val="24"/>
          <w:szCs w:val="24"/>
        </w:rPr>
        <w:t xml:space="preserve"> </w:t>
      </w:r>
      <w:r w:rsidR="00DF17B1" w:rsidRPr="00DF17B1">
        <w:rPr>
          <w:rFonts w:asciiTheme="majorBidi" w:hAnsiTheme="majorBidi" w:cstheme="majorBidi"/>
          <w:sz w:val="24"/>
          <w:szCs w:val="24"/>
        </w:rPr>
        <w:t>Our approach was to adapt the techniques from machine learning-based classification methodology from Computer Science. The specifics of the training and prediction stages of the classification algorithms are described below</w:t>
      </w:r>
      <w:r w:rsidR="00DF17B1" w:rsidRPr="00DF17B1">
        <w:rPr>
          <w:rFonts w:asciiTheme="majorBidi" w:hAnsiTheme="majorBidi" w:cstheme="majorBidi"/>
          <w:sz w:val="24"/>
          <w:szCs w:val="24"/>
          <w:rtl/>
        </w:rPr>
        <w:t>.</w:t>
      </w:r>
      <w:r w:rsidR="00DF17B1" w:rsidRPr="00DF17B1">
        <w:rPr>
          <w:rFonts w:asciiTheme="majorBidi" w:hAnsiTheme="majorBidi" w:cstheme="majorBidi"/>
          <w:sz w:val="24"/>
          <w:szCs w:val="24"/>
        </w:rPr>
        <w:t xml:space="preserve"> We explored a number of popular and state-of-the-art classification algorithms from computer science, ultimately focusing on three representative methods that resulted in the best performances </w:t>
      </w:r>
      <w:r>
        <w:rPr>
          <w:rFonts w:asciiTheme="majorBidi" w:hAnsiTheme="majorBidi" w:cstheme="majorBidi"/>
          <w:sz w:val="24"/>
          <w:szCs w:val="24"/>
        </w:rPr>
        <w:t>on our preliminary experiments</w:t>
      </w:r>
      <w:r w:rsidR="00827E79">
        <w:t xml:space="preserve"> </w:t>
      </w:r>
      <w:r w:rsidR="00DF17B1" w:rsidRPr="00DF17B1">
        <w:rPr>
          <w:rFonts w:asciiTheme="majorBidi" w:hAnsiTheme="majorBidi" w:cstheme="majorBidi"/>
          <w:sz w:val="24"/>
          <w:szCs w:val="24"/>
        </w:rPr>
        <w:t>Given the small size of our data set, we forego parameter optimization and use the default parameters; i.e., for LR we use a ridge regression parameter of 10−8, and for SVM we use a first degree polynomial kernel and a complexity parameter of 1.0</w:t>
      </w:r>
      <w:r w:rsidR="00DF17B1" w:rsidRPr="00DF17B1">
        <w:rPr>
          <w:rFonts w:asciiTheme="majorBidi" w:hAnsiTheme="majorBidi" w:cstheme="majorBidi"/>
          <w:sz w:val="24"/>
          <w:szCs w:val="24"/>
          <w:rtl/>
        </w:rPr>
        <w:t>.</w:t>
      </w:r>
    </w:p>
    <w:p w:rsidR="006E081D" w:rsidRDefault="006E081D" w:rsidP="006E081D">
      <w:pPr>
        <w:autoSpaceDE w:val="0"/>
        <w:autoSpaceDN w:val="0"/>
        <w:adjustRightInd w:val="0"/>
        <w:spacing w:after="0" w:line="360" w:lineRule="auto"/>
        <w:jc w:val="both"/>
        <w:rPr>
          <w:rFonts w:asciiTheme="majorBidi" w:hAnsiTheme="majorBidi" w:cstheme="majorBidi"/>
          <w:sz w:val="24"/>
          <w:szCs w:val="24"/>
        </w:rPr>
      </w:pPr>
    </w:p>
    <w:p w:rsidR="006E081D" w:rsidRPr="00DF17B1" w:rsidRDefault="006E081D" w:rsidP="006E081D">
      <w:pPr>
        <w:spacing w:line="360" w:lineRule="auto"/>
        <w:jc w:val="both"/>
        <w:rPr>
          <w:rFonts w:asciiTheme="majorBidi" w:hAnsiTheme="majorBidi" w:cstheme="majorBidi"/>
          <w:b/>
          <w:bCs/>
          <w:sz w:val="24"/>
          <w:szCs w:val="24"/>
        </w:rPr>
      </w:pPr>
      <w:r w:rsidRPr="00DF17B1">
        <w:rPr>
          <w:rFonts w:asciiTheme="majorBidi" w:hAnsiTheme="majorBidi" w:cstheme="majorBidi"/>
          <w:b/>
          <w:bCs/>
          <w:sz w:val="24"/>
          <w:szCs w:val="24"/>
        </w:rPr>
        <w:t>Logistic Regression (LR)</w:t>
      </w:r>
    </w:p>
    <w:p w:rsidR="006E081D" w:rsidRDefault="006E081D" w:rsidP="00827E79">
      <w:pPr>
        <w:spacing w:line="360" w:lineRule="auto"/>
        <w:jc w:val="both"/>
        <w:rPr>
          <w:rFonts w:asciiTheme="majorBidi" w:hAnsiTheme="majorBidi" w:cstheme="majorBidi"/>
          <w:sz w:val="24"/>
          <w:szCs w:val="24"/>
          <w:lang w:bidi="fa-IR"/>
        </w:rPr>
      </w:pPr>
      <w:r w:rsidRPr="002A74AE">
        <w:rPr>
          <w:rFonts w:asciiTheme="majorBidi" w:hAnsiTheme="majorBidi" w:cstheme="majorBidi"/>
          <w:sz w:val="24"/>
          <w:szCs w:val="24"/>
          <w:lang w:bidi="fa-IR"/>
        </w:rPr>
        <w:t>The logistic regression model is used for prediction by fitting the training data to the parameterized logistic regression function.</w:t>
      </w:r>
      <w:r w:rsidR="00827E79">
        <w:rPr>
          <w:rFonts w:asciiTheme="majorBidi" w:hAnsiTheme="majorBidi" w:cstheme="majorBidi"/>
          <w:sz w:val="24"/>
          <w:szCs w:val="24"/>
          <w:lang w:bidi="fa-IR"/>
        </w:rPr>
        <w:t xml:space="preserve"> </w:t>
      </w:r>
      <w:r w:rsidRPr="002A74AE">
        <w:rPr>
          <w:rFonts w:asciiTheme="majorBidi" w:hAnsiTheme="majorBidi" w:cstheme="majorBidi"/>
          <w:sz w:val="24"/>
          <w:szCs w:val="24"/>
          <w:lang w:bidi="fa-IR"/>
        </w:rPr>
        <w:t>At test (prediction) stage, the optimal parameters are used to compute the most likely class for each example based on the feature (parameter) values</w:t>
      </w:r>
      <w:r w:rsidR="007025BA">
        <w:rPr>
          <w:rFonts w:asciiTheme="majorBidi" w:hAnsiTheme="majorBidi" w:cstheme="majorBidi"/>
          <w:sz w:val="24"/>
          <w:szCs w:val="24"/>
          <w:lang w:bidi="fa-IR"/>
        </w:rPr>
        <w:t>.</w:t>
      </w:r>
    </w:p>
    <w:p w:rsidR="007025BA" w:rsidRDefault="007025BA" w:rsidP="007025BA">
      <w:pPr>
        <w:spacing w:line="360" w:lineRule="auto"/>
        <w:jc w:val="both"/>
        <w:rPr>
          <w:rFonts w:asciiTheme="majorBidi" w:hAnsiTheme="majorBidi" w:cstheme="majorBidi"/>
          <w:b/>
          <w:bCs/>
          <w:sz w:val="24"/>
          <w:szCs w:val="24"/>
        </w:rPr>
      </w:pPr>
    </w:p>
    <w:p w:rsidR="007025BA" w:rsidRDefault="007025BA" w:rsidP="007025BA">
      <w:pPr>
        <w:spacing w:line="360" w:lineRule="auto"/>
        <w:jc w:val="both"/>
        <w:rPr>
          <w:rFonts w:asciiTheme="majorBidi" w:hAnsiTheme="majorBidi" w:cstheme="majorBidi"/>
          <w:b/>
          <w:bCs/>
          <w:sz w:val="24"/>
          <w:szCs w:val="24"/>
        </w:rPr>
      </w:pPr>
      <w:r w:rsidRPr="007025BA">
        <w:rPr>
          <w:rFonts w:asciiTheme="majorBidi" w:hAnsiTheme="majorBidi" w:cstheme="majorBidi"/>
          <w:b/>
          <w:bCs/>
          <w:sz w:val="24"/>
          <w:szCs w:val="24"/>
        </w:rPr>
        <w:t>Gaussian Naive Bayes (GNB)</w:t>
      </w:r>
    </w:p>
    <w:p w:rsidR="006E081D" w:rsidRPr="007025BA" w:rsidRDefault="007025BA" w:rsidP="007025BA">
      <w:pPr>
        <w:spacing w:line="360" w:lineRule="auto"/>
        <w:jc w:val="both"/>
        <w:rPr>
          <w:lang w:bidi="fa-IR"/>
        </w:rPr>
      </w:pPr>
      <w:r w:rsidRPr="007025BA">
        <w:rPr>
          <w:rStyle w:val="tlid-translation"/>
          <w:rFonts w:asciiTheme="majorBidi" w:hAnsiTheme="majorBidi" w:cstheme="majorBidi"/>
          <w:sz w:val="24"/>
          <w:szCs w:val="24"/>
          <w:lang w:bidi="fa-IR"/>
        </w:rPr>
        <w:t>Naive Bayes methods are a set of supervised learning algorithms based on applying Bayes’ theorem with the “naive” assumption of conditional independence between every pair of features given the value of the class variable. Bayes’ theorem states the following relationship, given class variable y and dependent feature vector X1 through Xn</w:t>
      </w:r>
      <w:r>
        <w:rPr>
          <w:rStyle w:val="tlid-translation"/>
          <w:lang w:bidi="fa-IR"/>
        </w:rPr>
        <w:t>.</w:t>
      </w:r>
    </w:p>
    <w:p w:rsidR="006E081D" w:rsidRPr="00DF17B1" w:rsidRDefault="006E081D" w:rsidP="006E081D">
      <w:pPr>
        <w:spacing w:line="360" w:lineRule="auto"/>
        <w:jc w:val="both"/>
        <w:rPr>
          <w:rFonts w:asciiTheme="majorBidi" w:hAnsiTheme="majorBidi" w:cstheme="majorBidi"/>
          <w:b/>
          <w:bCs/>
          <w:sz w:val="24"/>
          <w:szCs w:val="24"/>
        </w:rPr>
      </w:pPr>
      <w:r w:rsidRPr="00DF17B1">
        <w:rPr>
          <w:rFonts w:asciiTheme="majorBidi" w:hAnsiTheme="majorBidi" w:cstheme="majorBidi"/>
          <w:b/>
          <w:bCs/>
          <w:sz w:val="24"/>
          <w:szCs w:val="24"/>
        </w:rPr>
        <w:lastRenderedPageBreak/>
        <w:t>Support Vector Machine (SVM)</w:t>
      </w:r>
      <w:bookmarkStart w:id="0" w:name="_GoBack"/>
      <w:bookmarkEnd w:id="0"/>
    </w:p>
    <w:p w:rsidR="006E081D" w:rsidRPr="00DF17B1" w:rsidRDefault="006E081D" w:rsidP="006E081D">
      <w:pPr>
        <w:spacing w:line="360" w:lineRule="auto"/>
        <w:jc w:val="both"/>
        <w:rPr>
          <w:rStyle w:val="tlid-translation"/>
          <w:rFonts w:asciiTheme="majorBidi" w:hAnsiTheme="majorBidi" w:cstheme="majorBidi"/>
          <w:sz w:val="24"/>
          <w:szCs w:val="24"/>
          <w:lang w:bidi="fa-IR"/>
        </w:rPr>
      </w:pPr>
      <w:r w:rsidRPr="00DF17B1">
        <w:rPr>
          <w:rFonts w:asciiTheme="majorBidi" w:hAnsiTheme="majorBidi" w:cstheme="majorBidi"/>
          <w:sz w:val="24"/>
          <w:szCs w:val="24"/>
        </w:rPr>
        <w:t xml:space="preserve"> </w:t>
      </w:r>
      <w:r w:rsidRPr="00DF17B1">
        <w:rPr>
          <w:rStyle w:val="tlid-translation"/>
          <w:rFonts w:asciiTheme="majorBidi" w:hAnsiTheme="majorBidi" w:cstheme="majorBidi"/>
          <w:sz w:val="24"/>
          <w:szCs w:val="24"/>
          <w:lang w:bidi="fa-IR"/>
        </w:rPr>
        <w:t>Before introducing the kernel combination method, we first briefly review the standard single-kernel SVM algorithm. The main idea of SVM is summarized as follows. First, the linearly no separable samples are mapped from their original space to a higher or even infinite dimensional feature space, where they are more likely to be linearly separable than in the original lower-dimensional space, through a kernel-induced implicit mapping function. Then, a maximum margin hyper plane is sought in the higher dimensional space</w:t>
      </w:r>
    </w:p>
    <w:p w:rsidR="00DF17B1" w:rsidRPr="00DF17B1" w:rsidRDefault="00DF17B1" w:rsidP="00DF17B1">
      <w:pPr>
        <w:autoSpaceDE w:val="0"/>
        <w:autoSpaceDN w:val="0"/>
        <w:adjustRightInd w:val="0"/>
        <w:spacing w:after="0" w:line="360" w:lineRule="auto"/>
        <w:jc w:val="both"/>
        <w:rPr>
          <w:rFonts w:asciiTheme="majorBidi" w:hAnsiTheme="majorBidi" w:cstheme="majorBidi"/>
          <w:sz w:val="24"/>
          <w:szCs w:val="24"/>
        </w:rPr>
      </w:pPr>
    </w:p>
    <w:p w:rsidR="00DF17B1" w:rsidRPr="00DF17B1" w:rsidRDefault="00DF17B1" w:rsidP="00DF17B1">
      <w:pPr>
        <w:spacing w:line="360" w:lineRule="auto"/>
        <w:jc w:val="both"/>
        <w:rPr>
          <w:rFonts w:asciiTheme="majorBidi" w:hAnsiTheme="majorBidi" w:cstheme="majorBidi"/>
          <w:b/>
          <w:bCs/>
          <w:sz w:val="24"/>
          <w:szCs w:val="24"/>
        </w:rPr>
      </w:pPr>
      <w:r w:rsidRPr="00DF17B1">
        <w:rPr>
          <w:rFonts w:asciiTheme="majorBidi" w:hAnsiTheme="majorBidi" w:cstheme="majorBidi"/>
          <w:b/>
          <w:bCs/>
          <w:sz w:val="24"/>
          <w:szCs w:val="24"/>
        </w:rPr>
        <w:t xml:space="preserve"> Validation</w:t>
      </w:r>
    </w:p>
    <w:p w:rsidR="00DF17B1" w:rsidRPr="00DF17B1" w:rsidRDefault="00DF17B1" w:rsidP="00DF17B1">
      <w:pPr>
        <w:spacing w:line="360" w:lineRule="auto"/>
        <w:jc w:val="both"/>
        <w:rPr>
          <w:rFonts w:asciiTheme="majorBidi" w:hAnsiTheme="majorBidi" w:cstheme="majorBidi"/>
          <w:sz w:val="24"/>
          <w:szCs w:val="24"/>
          <w:lang w:bidi="fa-IR"/>
        </w:rPr>
      </w:pPr>
      <w:r w:rsidRPr="00DF17B1">
        <w:rPr>
          <w:rFonts w:asciiTheme="majorBidi" w:hAnsiTheme="majorBidi" w:cstheme="majorBidi"/>
          <w:sz w:val="24"/>
          <w:szCs w:val="24"/>
          <w:lang w:bidi="fa-IR"/>
        </w:rPr>
        <w:t>We evaluate the classifier using leave-one-out cross validation, in which at every iteration one data point is held out as a test point, and all remaining points are used for feature selection and classifier training.</w:t>
      </w:r>
    </w:p>
    <w:p w:rsidR="00DF17B1" w:rsidRPr="00DF17B1" w:rsidRDefault="00DF17B1" w:rsidP="002A74AE">
      <w:pPr>
        <w:spacing w:line="360" w:lineRule="auto"/>
        <w:jc w:val="both"/>
        <w:rPr>
          <w:rFonts w:asciiTheme="majorBidi" w:hAnsiTheme="majorBidi" w:cstheme="majorBidi"/>
          <w:sz w:val="24"/>
          <w:szCs w:val="24"/>
          <w:lang w:bidi="fa-IR"/>
        </w:rPr>
      </w:pPr>
      <w:r w:rsidRPr="00DF17B1">
        <w:rPr>
          <w:rFonts w:asciiTheme="majorBidi" w:hAnsiTheme="majorBidi" w:cstheme="majorBidi"/>
          <w:sz w:val="24"/>
          <w:szCs w:val="24"/>
          <w:lang w:bidi="fa-IR"/>
        </w:rPr>
        <w:t>Accuracy: The fraction of correctly classified subjects out of all the subjects in the test set</w:t>
      </w:r>
      <w:r w:rsidRPr="00DF17B1">
        <w:rPr>
          <w:rFonts w:asciiTheme="majorBidi" w:hAnsiTheme="majorBidi" w:cstheme="majorBidi"/>
          <w:sz w:val="24"/>
          <w:szCs w:val="24"/>
          <w:rtl/>
          <w:lang w:bidi="fa-IR"/>
        </w:rPr>
        <w:t>.</w:t>
      </w:r>
    </w:p>
    <w:p w:rsidR="00DF17B1" w:rsidRPr="00DF17B1" w:rsidRDefault="00DF17B1" w:rsidP="00DF17B1">
      <w:pPr>
        <w:spacing w:line="360" w:lineRule="auto"/>
        <w:jc w:val="both"/>
      </w:pPr>
      <w:r w:rsidRPr="00DF17B1">
        <w:rPr>
          <w:rFonts w:asciiTheme="majorBidi" w:hAnsiTheme="majorBidi" w:cstheme="majorBidi"/>
          <w:sz w:val="24"/>
          <w:szCs w:val="24"/>
          <w:lang w:bidi="fa-IR"/>
        </w:rPr>
        <w:t xml:space="preserve">Sensitivity: The ratio of correctly classified impaired </w:t>
      </w:r>
      <w:r w:rsidR="002A74AE" w:rsidRPr="00DF17B1">
        <w:rPr>
          <w:rFonts w:asciiTheme="majorBidi" w:hAnsiTheme="majorBidi" w:cstheme="majorBidi"/>
          <w:sz w:val="24"/>
          <w:szCs w:val="24"/>
          <w:lang w:bidi="fa-IR"/>
        </w:rPr>
        <w:t>subject’s</w:t>
      </w:r>
      <w:r w:rsidRPr="00DF17B1">
        <w:rPr>
          <w:rFonts w:asciiTheme="majorBidi" w:hAnsiTheme="majorBidi" w:cstheme="majorBidi"/>
          <w:sz w:val="24"/>
          <w:szCs w:val="24"/>
          <w:lang w:bidi="fa-IR"/>
        </w:rPr>
        <w:t xml:space="preserve"> to</w:t>
      </w:r>
      <w:r w:rsidR="002A74AE">
        <w:rPr>
          <w:rFonts w:asciiTheme="majorBidi" w:hAnsiTheme="majorBidi" w:cstheme="majorBidi"/>
          <w:sz w:val="24"/>
          <w:szCs w:val="24"/>
          <w:lang w:bidi="fa-IR"/>
        </w:rPr>
        <w:t xml:space="preserve"> </w:t>
      </w:r>
      <w:r w:rsidRPr="00DF17B1">
        <w:rPr>
          <w:rFonts w:asciiTheme="majorBidi" w:hAnsiTheme="majorBidi" w:cstheme="majorBidi"/>
          <w:sz w:val="24"/>
          <w:szCs w:val="24"/>
          <w:lang w:bidi="fa-IR"/>
        </w:rPr>
        <w:t>the total number of impaired subjects in the test set</w:t>
      </w:r>
      <w:r w:rsidRPr="00DF17B1">
        <w:rPr>
          <w:rtl/>
        </w:rPr>
        <w:t>.</w:t>
      </w:r>
    </w:p>
    <w:p w:rsidR="00DF17B1" w:rsidRPr="00DF17B1" w:rsidRDefault="00DF17B1" w:rsidP="00DF17B1">
      <w:pPr>
        <w:spacing w:line="360" w:lineRule="auto"/>
        <w:jc w:val="both"/>
      </w:pPr>
      <w:r w:rsidRPr="00DF17B1">
        <w:rPr>
          <w:rFonts w:asciiTheme="majorBidi" w:hAnsiTheme="majorBidi" w:cstheme="majorBidi"/>
          <w:sz w:val="24"/>
          <w:szCs w:val="24"/>
          <w:lang w:bidi="fa-IR"/>
        </w:rPr>
        <w:t>Specificity: The ratio of correctly classified normal control subjects to the total number of the control subjects in the test set</w:t>
      </w:r>
      <w:r w:rsidRPr="00DF17B1">
        <w:rPr>
          <w:rtl/>
        </w:rPr>
        <w:t>.</w:t>
      </w:r>
    </w:p>
    <w:p w:rsidR="00DF17B1" w:rsidRPr="00DF17B1" w:rsidRDefault="00DF17B1" w:rsidP="006E081D">
      <w:pPr>
        <w:spacing w:line="360" w:lineRule="auto"/>
        <w:jc w:val="both"/>
        <w:rPr>
          <w:rFonts w:asciiTheme="majorBidi" w:hAnsiTheme="majorBidi" w:cstheme="majorBidi"/>
          <w:sz w:val="24"/>
          <w:szCs w:val="24"/>
          <w:lang w:bidi="fa-IR"/>
        </w:rPr>
      </w:pPr>
      <w:r w:rsidRPr="00DF17B1">
        <w:rPr>
          <w:rFonts w:asciiTheme="majorBidi" w:hAnsiTheme="majorBidi" w:cstheme="majorBidi"/>
          <w:sz w:val="24"/>
          <w:szCs w:val="24"/>
          <w:lang w:bidi="fa-IR"/>
        </w:rPr>
        <w:t>Area under the ROC curve (AUC): The area under the Receiver Operating Characteristic (ROC) curve, which is a common</w:t>
      </w:r>
    </w:p>
    <w:p w:rsidR="00DF17B1" w:rsidRPr="00DF17B1" w:rsidRDefault="00DF17B1" w:rsidP="00DF17B1">
      <w:pPr>
        <w:spacing w:line="360" w:lineRule="auto"/>
        <w:jc w:val="both"/>
        <w:rPr>
          <w:rFonts w:asciiTheme="majorBidi" w:hAnsiTheme="majorBidi" w:cstheme="majorBidi"/>
          <w:color w:val="00B0F0"/>
          <w:sz w:val="24"/>
          <w:szCs w:val="24"/>
        </w:rPr>
      </w:pPr>
    </w:p>
    <w:sectPr w:rsidR="00DF17B1" w:rsidRPr="00DF17B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495" w:rsidRDefault="007B3495" w:rsidP="00920015">
      <w:pPr>
        <w:spacing w:after="0" w:line="240" w:lineRule="auto"/>
      </w:pPr>
      <w:r>
        <w:separator/>
      </w:r>
    </w:p>
  </w:endnote>
  <w:endnote w:type="continuationSeparator" w:id="0">
    <w:p w:rsidR="007B3495" w:rsidRDefault="007B3495" w:rsidP="00920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7612083"/>
      <w:docPartObj>
        <w:docPartGallery w:val="Page Numbers (Bottom of Page)"/>
        <w:docPartUnique/>
      </w:docPartObj>
    </w:sdtPr>
    <w:sdtEndPr>
      <w:rPr>
        <w:noProof/>
      </w:rPr>
    </w:sdtEndPr>
    <w:sdtContent>
      <w:p w:rsidR="00920015" w:rsidRDefault="00920015">
        <w:pPr>
          <w:pStyle w:val="Footer"/>
          <w:jc w:val="center"/>
        </w:pPr>
        <w:r>
          <w:fldChar w:fldCharType="begin"/>
        </w:r>
        <w:r>
          <w:instrText xml:space="preserve"> PAGE   \* MERGEFORMAT </w:instrText>
        </w:r>
        <w:r>
          <w:fldChar w:fldCharType="separate"/>
        </w:r>
        <w:r w:rsidR="007025BA">
          <w:rPr>
            <w:noProof/>
          </w:rPr>
          <w:t>1</w:t>
        </w:r>
        <w:r>
          <w:rPr>
            <w:noProof/>
          </w:rPr>
          <w:fldChar w:fldCharType="end"/>
        </w:r>
      </w:p>
    </w:sdtContent>
  </w:sdt>
  <w:p w:rsidR="00920015" w:rsidRDefault="009200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495" w:rsidRDefault="007B3495" w:rsidP="00920015">
      <w:pPr>
        <w:spacing w:after="0" w:line="240" w:lineRule="auto"/>
      </w:pPr>
      <w:r>
        <w:separator/>
      </w:r>
    </w:p>
  </w:footnote>
  <w:footnote w:type="continuationSeparator" w:id="0">
    <w:p w:rsidR="007B3495" w:rsidRDefault="007B3495" w:rsidP="009200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80085"/>
    <w:multiLevelType w:val="hybridMultilevel"/>
    <w:tmpl w:val="32206EA2"/>
    <w:lvl w:ilvl="0" w:tplc="94365D56">
      <w:start w:val="1"/>
      <w:numFmt w:val="bullet"/>
      <w:lvlText w:val=""/>
      <w:lvlJc w:val="left"/>
      <w:pPr>
        <w:tabs>
          <w:tab w:val="num" w:pos="720"/>
        </w:tabs>
        <w:ind w:left="720" w:hanging="360"/>
      </w:pPr>
      <w:rPr>
        <w:rFonts w:ascii="Wingdings 3" w:hAnsi="Wingdings 3" w:hint="default"/>
      </w:rPr>
    </w:lvl>
    <w:lvl w:ilvl="1" w:tplc="1EBA0C9C" w:tentative="1">
      <w:start w:val="1"/>
      <w:numFmt w:val="bullet"/>
      <w:lvlText w:val=""/>
      <w:lvlJc w:val="left"/>
      <w:pPr>
        <w:tabs>
          <w:tab w:val="num" w:pos="1440"/>
        </w:tabs>
        <w:ind w:left="1440" w:hanging="360"/>
      </w:pPr>
      <w:rPr>
        <w:rFonts w:ascii="Wingdings 3" w:hAnsi="Wingdings 3" w:hint="default"/>
      </w:rPr>
    </w:lvl>
    <w:lvl w:ilvl="2" w:tplc="40903314" w:tentative="1">
      <w:start w:val="1"/>
      <w:numFmt w:val="bullet"/>
      <w:lvlText w:val=""/>
      <w:lvlJc w:val="left"/>
      <w:pPr>
        <w:tabs>
          <w:tab w:val="num" w:pos="2160"/>
        </w:tabs>
        <w:ind w:left="2160" w:hanging="360"/>
      </w:pPr>
      <w:rPr>
        <w:rFonts w:ascii="Wingdings 3" w:hAnsi="Wingdings 3" w:hint="default"/>
      </w:rPr>
    </w:lvl>
    <w:lvl w:ilvl="3" w:tplc="F30A45CA" w:tentative="1">
      <w:start w:val="1"/>
      <w:numFmt w:val="bullet"/>
      <w:lvlText w:val=""/>
      <w:lvlJc w:val="left"/>
      <w:pPr>
        <w:tabs>
          <w:tab w:val="num" w:pos="2880"/>
        </w:tabs>
        <w:ind w:left="2880" w:hanging="360"/>
      </w:pPr>
      <w:rPr>
        <w:rFonts w:ascii="Wingdings 3" w:hAnsi="Wingdings 3" w:hint="default"/>
      </w:rPr>
    </w:lvl>
    <w:lvl w:ilvl="4" w:tplc="D5AE0EC8" w:tentative="1">
      <w:start w:val="1"/>
      <w:numFmt w:val="bullet"/>
      <w:lvlText w:val=""/>
      <w:lvlJc w:val="left"/>
      <w:pPr>
        <w:tabs>
          <w:tab w:val="num" w:pos="3600"/>
        </w:tabs>
        <w:ind w:left="3600" w:hanging="360"/>
      </w:pPr>
      <w:rPr>
        <w:rFonts w:ascii="Wingdings 3" w:hAnsi="Wingdings 3" w:hint="default"/>
      </w:rPr>
    </w:lvl>
    <w:lvl w:ilvl="5" w:tplc="6B50645A" w:tentative="1">
      <w:start w:val="1"/>
      <w:numFmt w:val="bullet"/>
      <w:lvlText w:val=""/>
      <w:lvlJc w:val="left"/>
      <w:pPr>
        <w:tabs>
          <w:tab w:val="num" w:pos="4320"/>
        </w:tabs>
        <w:ind w:left="4320" w:hanging="360"/>
      </w:pPr>
      <w:rPr>
        <w:rFonts w:ascii="Wingdings 3" w:hAnsi="Wingdings 3" w:hint="default"/>
      </w:rPr>
    </w:lvl>
    <w:lvl w:ilvl="6" w:tplc="2B664032" w:tentative="1">
      <w:start w:val="1"/>
      <w:numFmt w:val="bullet"/>
      <w:lvlText w:val=""/>
      <w:lvlJc w:val="left"/>
      <w:pPr>
        <w:tabs>
          <w:tab w:val="num" w:pos="5040"/>
        </w:tabs>
        <w:ind w:left="5040" w:hanging="360"/>
      </w:pPr>
      <w:rPr>
        <w:rFonts w:ascii="Wingdings 3" w:hAnsi="Wingdings 3" w:hint="default"/>
      </w:rPr>
    </w:lvl>
    <w:lvl w:ilvl="7" w:tplc="32543DF8" w:tentative="1">
      <w:start w:val="1"/>
      <w:numFmt w:val="bullet"/>
      <w:lvlText w:val=""/>
      <w:lvlJc w:val="left"/>
      <w:pPr>
        <w:tabs>
          <w:tab w:val="num" w:pos="5760"/>
        </w:tabs>
        <w:ind w:left="5760" w:hanging="360"/>
      </w:pPr>
      <w:rPr>
        <w:rFonts w:ascii="Wingdings 3" w:hAnsi="Wingdings 3" w:hint="default"/>
      </w:rPr>
    </w:lvl>
    <w:lvl w:ilvl="8" w:tplc="BEF68D8A"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84B"/>
    <w:rsid w:val="00070EDE"/>
    <w:rsid w:val="001B084B"/>
    <w:rsid w:val="002A74AE"/>
    <w:rsid w:val="002E475C"/>
    <w:rsid w:val="0035797C"/>
    <w:rsid w:val="006E081D"/>
    <w:rsid w:val="007025BA"/>
    <w:rsid w:val="007B3495"/>
    <w:rsid w:val="00827E79"/>
    <w:rsid w:val="00905F09"/>
    <w:rsid w:val="00920015"/>
    <w:rsid w:val="00DF17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C5AB6-EB7B-46FD-8EB6-89B50082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84B"/>
  </w:style>
  <w:style w:type="paragraph" w:styleId="Heading1">
    <w:name w:val="heading 1"/>
    <w:basedOn w:val="Normal"/>
    <w:next w:val="Normal"/>
    <w:link w:val="Heading1Char"/>
    <w:uiPriority w:val="9"/>
    <w:qFormat/>
    <w:rsid w:val="001B08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025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1B084B"/>
  </w:style>
  <w:style w:type="character" w:customStyle="1" w:styleId="Heading1Char">
    <w:name w:val="Heading 1 Char"/>
    <w:basedOn w:val="DefaultParagraphFont"/>
    <w:link w:val="Heading1"/>
    <w:uiPriority w:val="9"/>
    <w:rsid w:val="001B084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B0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B084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20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015"/>
  </w:style>
  <w:style w:type="paragraph" w:styleId="Footer">
    <w:name w:val="footer"/>
    <w:basedOn w:val="Normal"/>
    <w:link w:val="FooterChar"/>
    <w:uiPriority w:val="99"/>
    <w:unhideWhenUsed/>
    <w:rsid w:val="00920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015"/>
  </w:style>
  <w:style w:type="character" w:customStyle="1" w:styleId="Heading3Char">
    <w:name w:val="Heading 3 Char"/>
    <w:basedOn w:val="DefaultParagraphFont"/>
    <w:link w:val="Heading3"/>
    <w:uiPriority w:val="9"/>
    <w:semiHidden/>
    <w:rsid w:val="007025B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90204">
      <w:bodyDiv w:val="1"/>
      <w:marLeft w:val="0"/>
      <w:marRight w:val="0"/>
      <w:marTop w:val="0"/>
      <w:marBottom w:val="0"/>
      <w:divBdr>
        <w:top w:val="none" w:sz="0" w:space="0" w:color="auto"/>
        <w:left w:val="none" w:sz="0" w:space="0" w:color="auto"/>
        <w:bottom w:val="none" w:sz="0" w:space="0" w:color="auto"/>
        <w:right w:val="none" w:sz="0" w:space="0" w:color="auto"/>
      </w:divBdr>
    </w:div>
    <w:div w:id="1106458210">
      <w:bodyDiv w:val="1"/>
      <w:marLeft w:val="0"/>
      <w:marRight w:val="0"/>
      <w:marTop w:val="0"/>
      <w:marBottom w:val="0"/>
      <w:divBdr>
        <w:top w:val="none" w:sz="0" w:space="0" w:color="auto"/>
        <w:left w:val="none" w:sz="0" w:space="0" w:color="auto"/>
        <w:bottom w:val="none" w:sz="0" w:space="0" w:color="auto"/>
        <w:right w:val="none" w:sz="0" w:space="0" w:color="auto"/>
      </w:divBdr>
    </w:div>
    <w:div w:id="1760517543">
      <w:bodyDiv w:val="1"/>
      <w:marLeft w:val="0"/>
      <w:marRight w:val="0"/>
      <w:marTop w:val="0"/>
      <w:marBottom w:val="0"/>
      <w:divBdr>
        <w:top w:val="none" w:sz="0" w:space="0" w:color="auto"/>
        <w:left w:val="none" w:sz="0" w:space="0" w:color="auto"/>
        <w:bottom w:val="none" w:sz="0" w:space="0" w:color="auto"/>
        <w:right w:val="none" w:sz="0" w:space="0" w:color="auto"/>
      </w:divBdr>
      <w:divsChild>
        <w:div w:id="357317769">
          <w:marLeft w:val="547"/>
          <w:marRight w:val="0"/>
          <w:marTop w:val="200"/>
          <w:marBottom w:val="0"/>
          <w:divBdr>
            <w:top w:val="none" w:sz="0" w:space="0" w:color="auto"/>
            <w:left w:val="none" w:sz="0" w:space="0" w:color="auto"/>
            <w:bottom w:val="none" w:sz="0" w:space="0" w:color="auto"/>
            <w:right w:val="none" w:sz="0" w:space="0" w:color="auto"/>
          </w:divBdr>
        </w:div>
        <w:div w:id="1821076650">
          <w:marLeft w:val="547"/>
          <w:marRight w:val="0"/>
          <w:marTop w:val="200"/>
          <w:marBottom w:val="0"/>
          <w:divBdr>
            <w:top w:val="none" w:sz="0" w:space="0" w:color="auto"/>
            <w:left w:val="none" w:sz="0" w:space="0" w:color="auto"/>
            <w:bottom w:val="none" w:sz="0" w:space="0" w:color="auto"/>
            <w:right w:val="none" w:sz="0" w:space="0" w:color="auto"/>
          </w:divBdr>
        </w:div>
        <w:div w:id="2050563934">
          <w:marLeft w:val="547"/>
          <w:marRight w:val="0"/>
          <w:marTop w:val="200"/>
          <w:marBottom w:val="0"/>
          <w:divBdr>
            <w:top w:val="none" w:sz="0" w:space="0" w:color="auto"/>
            <w:left w:val="none" w:sz="0" w:space="0" w:color="auto"/>
            <w:bottom w:val="none" w:sz="0" w:space="0" w:color="auto"/>
            <w:right w:val="none" w:sz="0" w:space="0" w:color="auto"/>
          </w:divBdr>
        </w:div>
        <w:div w:id="1770659781">
          <w:marLeft w:val="547"/>
          <w:marRight w:val="0"/>
          <w:marTop w:val="200"/>
          <w:marBottom w:val="0"/>
          <w:divBdr>
            <w:top w:val="none" w:sz="0" w:space="0" w:color="auto"/>
            <w:left w:val="none" w:sz="0" w:space="0" w:color="auto"/>
            <w:bottom w:val="none" w:sz="0" w:space="0" w:color="auto"/>
            <w:right w:val="none" w:sz="0" w:space="0" w:color="auto"/>
          </w:divBdr>
        </w:div>
      </w:divsChild>
    </w:div>
    <w:div w:id="1855682025">
      <w:bodyDiv w:val="1"/>
      <w:marLeft w:val="0"/>
      <w:marRight w:val="0"/>
      <w:marTop w:val="0"/>
      <w:marBottom w:val="0"/>
      <w:divBdr>
        <w:top w:val="none" w:sz="0" w:space="0" w:color="auto"/>
        <w:left w:val="none" w:sz="0" w:space="0" w:color="auto"/>
        <w:bottom w:val="none" w:sz="0" w:space="0" w:color="auto"/>
        <w:right w:val="none" w:sz="0" w:space="0" w:color="auto"/>
      </w:divBdr>
    </w:div>
    <w:div w:id="187611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5</cp:revision>
  <dcterms:created xsi:type="dcterms:W3CDTF">2020-08-18T16:01:00Z</dcterms:created>
  <dcterms:modified xsi:type="dcterms:W3CDTF">2020-08-19T04:37:00Z</dcterms:modified>
</cp:coreProperties>
</file>