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United Arab Emirates and </w:t>
      </w:r>
      <w:r>
        <w:rPr>
          <w:b/>
        </w:rPr>
        <w:t>SUD-CHEMIE INDIA PVT. LTD , GUJARAT, INDIA</w:t>
      </w:r>
      <w:r>
        <w:t xml:space="preserve"> Represented by: </w:t>
      </w:r>
      <w:r>
        <w:rPr>
          <w:b/>
        </w:rPr>
        <w:t>A T S HEAVY EQUIPMENT AND MACHINERY SPARE PARTS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 GUJARAT, INDIA</w:t>
      </w:r>
      <w: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u w:val="single"/>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 and complete consideration therefore, the sum of </w:t>
      </w:r>
      <w:r>
        <w:rPr>
          <w:b/>
        </w:rPr>
        <w:t>AED 55000.0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 xml:space="preserve">General.  </w:t>
      </w:r>
      <w:r>
        <w:t xml:space="preserve">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