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BUZWAIR GENERAL TRADING LLC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BUZWAIR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BUZWAIR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Rtk GPS Receiver Surveying Instrument G992</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15</w:t>
            </w:r>
          </w:p>
        </w:tc>
        <w:tc>
          <w:tcPr>
            <w:tcW w:type="dxa" w:w="1504"/>
          </w:tcPr>
          <w:p>
            <w:pPr>
              <w:jc w:val="center"/>
            </w:pPr>
            <w:r>
              <w:rPr>
                <w:rFonts w:ascii="Arial Narrow" w:hAnsi="Arial Narrow"/>
                <w:color w:val="000000"/>
                <w:sz w:val="20"/>
              </w:rPr>
              <w:t>AED 12,250.00</w:t>
            </w:r>
          </w:p>
        </w:tc>
        <w:tc>
          <w:tcPr>
            <w:tcW w:type="dxa" w:w="1504"/>
          </w:tcPr>
          <w:p>
            <w:pPr>
              <w:jc w:val="center"/>
            </w:pPr>
            <w:r>
              <w:rPr>
                <w:rFonts w:ascii="Arial Narrow" w:hAnsi="Arial Narrow"/>
                <w:color w:val="000000"/>
                <w:sz w:val="20"/>
              </w:rPr>
              <w:t>AED 183,750.00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183,750.00</w:t>
      </w:r>
      <w:r>
        <w:t xml:space="preserve"> (One Hundred Eighty Three Thousand Seven Hundred Fifty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BUZWAIR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