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Forged Steel Sw Industrial Globe Valve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w:t>
            </w:r>
          </w:p>
        </w:tc>
        <w:tc>
          <w:tcPr>
            <w:tcW w:type="dxa" w:w="1504"/>
          </w:tcPr>
          <w:p>
            <w:pPr>
              <w:jc w:val="center"/>
            </w:pPr>
            <w:r>
              <w:rPr>
                <w:rFonts w:ascii="Arial Narrow" w:hAnsi="Arial Narrow"/>
                <w:color w:val="000000"/>
                <w:sz w:val="20"/>
              </w:rPr>
              <w:t>AED 87,500.00</w:t>
            </w:r>
          </w:p>
        </w:tc>
        <w:tc>
          <w:tcPr>
            <w:tcW w:type="dxa" w:w="1504"/>
          </w:tcPr>
          <w:p>
            <w:pPr>
              <w:jc w:val="center"/>
            </w:pPr>
            <w:r>
              <w:rPr>
                <w:rFonts w:ascii="Arial Narrow" w:hAnsi="Arial Narrow"/>
                <w:color w:val="000000"/>
                <w:sz w:val="20"/>
              </w:rPr>
              <w:t>AED 350,000.00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350,000.00</w:t>
      </w:r>
      <w:r>
        <w:t xml:space="preserve"> (Three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