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CE Approved 70HP Farm Tractor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64</w:t>
            </w:r>
          </w:p>
        </w:tc>
        <w:tc>
          <w:tcPr>
            <w:tcW w:type="dxa" w:w="1504"/>
          </w:tcPr>
          <w:p>
            <w:pPr>
              <w:jc w:val="center"/>
            </w:pPr>
            <w:r>
              <w:rPr>
                <w:rFonts w:ascii="Arial Narrow" w:hAnsi="Arial Narrow"/>
                <w:color w:val="000000"/>
                <w:sz w:val="20"/>
              </w:rPr>
              <w:t>AED 7,031.25</w:t>
            </w:r>
          </w:p>
        </w:tc>
        <w:tc>
          <w:tcPr>
            <w:tcW w:type="dxa" w:w="1504"/>
          </w:tcPr>
          <w:p>
            <w:pPr>
              <w:jc w:val="center"/>
            </w:pPr>
            <w:r>
              <w:rPr>
                <w:rFonts w:ascii="Arial Narrow" w:hAnsi="Arial Narrow"/>
                <w:color w:val="000000"/>
                <w:sz w:val="20"/>
              </w:rPr>
              <w:t>AED 450,000.00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450,000.00</w:t>
      </w:r>
      <w:r>
        <w:t xml:space="preserve"> (Four Hundred Fifty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