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sz w:val="32"/>
        </w:rPr>
        <w:t>HAMET Aufgaben -&gt; Kompetenzen</w:t>
      </w:r>
    </w:p>
    <w:p>
      <w:pPr>
        <w:spacing w:after="160"/>
        <w:jc w:val="left"/>
      </w:pPr>
      <w:r>
        <w:rPr>
          <w:rFonts w:ascii="Calibri" w:hAnsi="Calibri"/>
          <w:sz w:val="20"/>
        </w:rPr>
        <w:t>Ganzzahlige Verteilung pro Aufgabe, jeweils auf 100 % normiert.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45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Nr.</w:t>
            </w:r>
          </w:p>
        </w:tc>
        <w:tc>
          <w:tcPr>
            <w:tcW w:type="dxa" w:w="1361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Uebung</w:t>
            </w:r>
          </w:p>
        </w:tc>
        <w:tc>
          <w:tcPr>
            <w:tcW w:type="dxa" w:w="79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Feinmotorik</w:t>
            </w:r>
          </w:p>
        </w:tc>
        <w:tc>
          <w:tcPr>
            <w:tcW w:type="dxa" w:w="765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Grobmotorik</w:t>
            </w:r>
          </w:p>
        </w:tc>
        <w:tc>
          <w:tcPr>
            <w:tcW w:type="dxa" w:w="102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Wahrnehmung /</w:t>
              <w:br/>
              <w:t>Symmetrie</w:t>
            </w:r>
          </w:p>
        </w:tc>
        <w:tc>
          <w:tcPr>
            <w:tcW w:type="dxa" w:w="102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Analyse /</w:t>
              <w:br/>
              <w:t>Problemloesen</w:t>
            </w:r>
          </w:p>
        </w:tc>
        <w:tc>
          <w:tcPr>
            <w:tcW w:type="dxa" w:w="90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Arbeitsplanung</w:t>
            </w:r>
          </w:p>
        </w:tc>
        <w:tc>
          <w:tcPr>
            <w:tcW w:type="dxa" w:w="82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Motivation</w:t>
            </w:r>
          </w:p>
        </w:tc>
        <w:tc>
          <w:tcPr>
            <w:tcW w:type="dxa" w:w="935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Durchhalte-</w:t>
              <w:br/>
              <w:t>vermoegen</w:t>
            </w:r>
          </w:p>
        </w:tc>
        <w:tc>
          <w:tcPr>
            <w:tcW w:type="dxa" w:w="96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Sorgfalt /</w:t>
              <w:br/>
              <w:t>Genauigkeit</w:t>
            </w:r>
          </w:p>
        </w:tc>
        <w:tc>
          <w:tcPr>
            <w:tcW w:type="dxa" w:w="879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Kommunikation</w:t>
            </w:r>
          </w:p>
        </w:tc>
        <w:tc>
          <w:tcPr>
            <w:tcW w:type="dxa" w:w="879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Teamfaehigkeit</w:t>
            </w:r>
          </w:p>
        </w:tc>
        <w:tc>
          <w:tcPr>
            <w:tcW w:type="dxa" w:w="879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Umgangsformen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Auto schneiden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Linien ziehen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Figuren ergaenzen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Robina Hood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Fahrradtour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Spaghetti-Gericht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Stern ausmalen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Pfeile verschieben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Zimmer messen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Fisch formen / raspeln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Drahttreppe biegen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Sturmfreie Bude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31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Hammerwerk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25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Turmbau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</w:t>
            </w:r>
          </w:p>
        </w:tc>
      </w:tr>
      <w:tr>
        <w:tc>
          <w:tcPr>
            <w:tcW w:type="dxa" w:w="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1.000-EUR-Gewinn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37</w:t>
            </w:r>
          </w:p>
        </w:tc>
      </w:tr>
    </w:tbl>
    <w:sectPr w:rsidR="00FC693F" w:rsidRPr="0006063C" w:rsidSect="00034616">
      <w:pgSz w:w="12240" w:h="15840"/>
      <w:pgMar w:top="1020" w:right="737" w:bottom="90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