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№3. Модели Ланчестера</w:t>
      </w:r>
    </w:p>
    <w:p>
      <w:pPr>
        <w:pStyle w:val="Subtitle"/>
      </w:pPr>
      <w:r>
        <w:t xml:space="preserve">Моделирование боевых действий</w:t>
      </w:r>
    </w:p>
    <w:p>
      <w:pPr>
        <w:pStyle w:val="Author"/>
      </w:pPr>
      <w:r>
        <w:t xml:space="preserve">Амина Накова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Рассматриваются три модели боевых действий (модели Ланчестера):</w:t>
      </w:r>
      <w:r>
        <w:t xml:space="preserve"> </w:t>
      </w:r>
      <w:r>
        <w:t xml:space="preserve">между регулярными войсками, между регулярными войсками и партизанами,</w:t>
      </w:r>
      <w:r>
        <w:t xml:space="preserve"> </w:t>
      </w:r>
      <w:r>
        <w:t xml:space="preserve">между партизанскими отрядами. Проводится численное решение систем</w:t>
      </w:r>
      <w:r>
        <w:t xml:space="preserve"> </w:t>
      </w:r>
      <w:r>
        <w:t xml:space="preserve">дифференциальных уравнений в Julia, строятся графики динамики</w:t>
      </w:r>
      <w:r>
        <w:t xml:space="preserve"> </w:t>
      </w:r>
      <w:r>
        <w:t xml:space="preserve">численностей сторон, определяется победитель в каждом случае.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введение"/>
    <w:p>
      <w:pPr>
        <w:pStyle w:val="Heading1"/>
      </w:pPr>
      <w:r>
        <w:t xml:space="preserve">1. Введение</w:t>
      </w:r>
    </w:p>
    <w:bookmarkStart w:id="20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Модели Ланчестера — классический инструмент исследования конфликтов,</w:t>
      </w:r>
      <w:r>
        <w:t xml:space="preserve"> </w:t>
      </w:r>
      <w:r>
        <w:t xml:space="preserve">применяемый в теории игр, военном деле, экономике (конкуренция фирм),</w:t>
      </w:r>
      <w:r>
        <w:t xml:space="preserve"> </w:t>
      </w:r>
      <w:r>
        <w:t xml:space="preserve">эпидемиологии (борьба с инфекциями).</w:t>
      </w:r>
    </w:p>
    <w:bookmarkEnd w:id="20"/>
    <w:bookmarkStart w:id="21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Исследовать три модели боевых действий (Ланчестера) численно и определить</w:t>
      </w:r>
      <w:r>
        <w:t xml:space="preserve"> </w:t>
      </w:r>
      <w:r>
        <w:t xml:space="preserve">условия победы каждой стороны.</w:t>
      </w:r>
    </w:p>
    <w:bookmarkEnd w:id="21"/>
    <w:bookmarkStart w:id="22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Вывести системы дифференциальных уравнений для трёх моделей.</w:t>
      </w:r>
    </w:p>
    <w:p>
      <w:pPr>
        <w:pStyle w:val="Compact"/>
        <w:numPr>
          <w:ilvl w:val="0"/>
          <w:numId w:val="1001"/>
        </w:numPr>
      </w:pPr>
      <w:r>
        <w:t xml:space="preserve">Численно решить их в Julia для заданных начальных условий.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динамики численностей сторон.</w:t>
      </w:r>
    </w:p>
    <w:p>
      <w:pPr>
        <w:pStyle w:val="Compact"/>
        <w:numPr>
          <w:ilvl w:val="0"/>
          <w:numId w:val="1001"/>
        </w:numPr>
      </w:pPr>
      <w:r>
        <w:t xml:space="preserve">Определить победителя в каждом случае.</w:t>
      </w:r>
    </w:p>
    <w:p>
      <w:pPr>
        <w:pStyle w:val="Compact"/>
        <w:numPr>
          <w:ilvl w:val="0"/>
          <w:numId w:val="1001"/>
        </w:numPr>
      </w:pPr>
      <w:r>
        <w:t xml:space="preserve">Проанализировать условия победы.</w:t>
      </w:r>
    </w:p>
    <w:bookmarkEnd w:id="22"/>
    <w:bookmarkStart w:id="23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rPr>
          <w:b/>
          <w:bCs/>
        </w:rPr>
        <w:t xml:space="preserve">Объект:</w:t>
      </w:r>
      <w:r>
        <w:t xml:space="preserve"> </w:t>
      </w:r>
      <w:r>
        <w:t xml:space="preserve">конфликт двух сторон X и Y.</w:t>
      </w:r>
      <w:r>
        <w:t xml:space="preserve"> </w:t>
      </w:r>
      <w:r>
        <w:rPr>
          <w:b/>
          <w:bCs/>
        </w:rPr>
        <w:t xml:space="preserve">Предмет:</w:t>
      </w:r>
      <w:r>
        <w:t xml:space="preserve"> </w:t>
      </w:r>
      <w:r>
        <w:t xml:space="preserve">динамика численностей сторон во времени.</w:t>
      </w:r>
    </w:p>
    <w:bookmarkEnd w:id="23"/>
    <w:bookmarkStart w:id="24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Численное интегрирование систем ОДУ методом</w:t>
      </w:r>
      <w:r>
        <w:t xml:space="preserve"> </w:t>
      </w:r>
      <w:r>
        <w:rPr>
          <w:rStyle w:val="VerbatimChar"/>
        </w:rPr>
        <w:t xml:space="preserve">Tsit5()</w:t>
      </w:r>
      <w:r>
        <w:t xml:space="preserve">,</w:t>
      </w:r>
      <w:r>
        <w:t xml:space="preserve"> </w:t>
      </w:r>
      <w:r>
        <w:t xml:space="preserve">визуализация средствами</w:t>
      </w:r>
      <w:r>
        <w:t xml:space="preserve"> </w:t>
      </w:r>
      <w:r>
        <w:rPr>
          <w:rStyle w:val="VerbatimChar"/>
        </w:rPr>
        <w:t xml:space="preserve">Plots.jl</w:t>
      </w:r>
      <w:r>
        <w:t xml:space="preserve">.</w:t>
      </w:r>
    </w:p>
    <w:bookmarkEnd w:id="24"/>
    <w:bookmarkEnd w:id="25"/>
    <w:bookmarkStart w:id="28" w:name="теоретическая-часть"/>
    <w:p>
      <w:pPr>
        <w:pStyle w:val="Heading1"/>
      </w:pPr>
      <w:r>
        <w:t xml:space="preserve">2. Теоретическая часть</w:t>
      </w:r>
    </w:p>
    <w:bookmarkStart w:id="26" w:name="модели-ланчестера"/>
    <w:p>
      <w:pPr>
        <w:pStyle w:val="Heading2"/>
      </w:pPr>
      <w:r>
        <w:t xml:space="preserve">2.1 Модели Ланчестера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Регулярные войска против регулярных войск: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r>
            <m:t>x</m:t>
          </m:r>
          <m:r>
            <m:rPr>
              <m:sty m:val="p"/>
            </m:rPr>
            <m:t>−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c</m:t>
          </m:r>
          <m:r>
            <m:t>x</m:t>
          </m:r>
          <m:r>
            <m:rPr>
              <m:sty m:val="p"/>
            </m:rPr>
            <m:t>−</m:t>
          </m:r>
          <m:r>
            <m:t>h</m:t>
          </m:r>
          <m:r>
            <m:t>y</m:t>
          </m:r>
          <m:r>
            <m:rPr>
              <m:sty m:val="p"/>
            </m:rPr>
            <m:t>+</m:t>
          </m:r>
          <m:r>
            <m:t>Q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</m:oMath>
      </m:oMathPara>
    </w:p>
    <w:p>
      <w:pPr>
        <w:numPr>
          <w:ilvl w:val="0"/>
          <w:numId w:val="1002"/>
        </w:numPr>
      </w:pPr>
      <w:r>
        <w:rPr>
          <w:b/>
          <w:bCs/>
        </w:rPr>
        <w:t xml:space="preserve">Регулярные войска против партизан: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r>
            <m:t>x</m:t>
          </m:r>
          <m:r>
            <m:rPr>
              <m:sty m:val="p"/>
            </m:rPr>
            <m:t>−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c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r>
            <m:t>h</m:t>
          </m:r>
          <m:r>
            <m:t>y</m:t>
          </m:r>
          <m:r>
            <m:rPr>
              <m:sty m:val="p"/>
            </m:rPr>
            <m:t>+</m:t>
          </m:r>
          <m:r>
            <m:t>Q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</m:oMath>
      </m:oMathPara>
    </w:p>
    <w:p>
      <w:pPr>
        <w:numPr>
          <w:ilvl w:val="0"/>
          <w:numId w:val="1002"/>
        </w:numPr>
      </w:pPr>
      <w:r>
        <w:rPr>
          <w:b/>
          <w:bCs/>
        </w:rPr>
        <w:t xml:space="preserve">Партизаны против партизан: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r>
            <m:t>x</m:t>
          </m:r>
          <m:r>
            <m:rPr>
              <m:sty m:val="p"/>
            </m:rPr>
            <m:t>−</m:t>
          </m:r>
          <m:r>
            <m:t>b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c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r>
            <m:t>h</m:t>
          </m:r>
          <m:r>
            <m:t>y</m:t>
          </m:r>
          <m:r>
            <m:rPr>
              <m:sty m:val="p"/>
            </m:rPr>
            <m:t>+</m:t>
          </m:r>
          <m:r>
            <m:t>Q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Здесь: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h</m:t>
        </m:r>
      </m:oMath>
      <w:r>
        <w:t xml:space="preserve"> </w:t>
      </w:r>
      <w:r>
        <w:t xml:space="preserve">— потери, не связанные с боевыми действиями;</w:t>
      </w:r>
      <w:r>
        <w:t xml:space="preserve"> </w:t>
      </w:r>
      <w:r>
        <w:t xml:space="preserve">-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— эффективность боевых действий противника;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,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функции подкрепления.</w:t>
      </w:r>
    </w:p>
    <w:bookmarkEnd w:id="26"/>
    <w:bookmarkStart w:id="27" w:name="простейший-случай-без-подкреплений"/>
    <w:p>
      <w:pPr>
        <w:pStyle w:val="Heading2"/>
      </w:pPr>
      <w:r>
        <w:t xml:space="preserve">2.2 Простейший случай без подкреплений</w:t>
      </w:r>
    </w:p>
    <w:p>
      <w:pPr>
        <w:pStyle w:val="FirstParagraph"/>
      </w:pPr>
      <w:r>
        <w:t xml:space="preserve">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первая модель сводится к: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b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acc>
            <m:accPr>
              <m:chr m:val="̇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c</m:t>
          </m:r>
          <m:r>
            <m:t>x</m:t>
          </m:r>
        </m:oMath>
      </m:oMathPara>
    </w:p>
    <w:p>
      <w:pPr>
        <w:pStyle w:val="FirstParagraph"/>
      </w:pPr>
      <w:r>
        <w:t xml:space="preserve">что даёт интеграл движения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(гиперболы фазового портрета).</w:t>
      </w:r>
    </w:p>
    <w:bookmarkEnd w:id="27"/>
    <w:bookmarkEnd w:id="28"/>
    <w:bookmarkStart w:id="30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Работа выполнена на языке Julia 1.13 с пакетами: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DifferentialEquations.jl</w:t>
      </w:r>
      <w:r>
        <w:t xml:space="preserve"> </w:t>
      </w:r>
      <w:r>
        <w:t xml:space="preserve">— решение ОДУ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Plots.jl</w:t>
      </w:r>
      <w:r>
        <w:t xml:space="preserve"> </w:t>
      </w:r>
      <w:r>
        <w:t xml:space="preserve">— визуализация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DrWatson.jl</w:t>
      </w:r>
      <w:r>
        <w:t xml:space="preserve"> </w:t>
      </w:r>
      <w:r>
        <w:t xml:space="preserve">— организация проекта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Literate.jl</w:t>
      </w:r>
      <w:r>
        <w:t xml:space="preserve"> </w:t>
      </w:r>
      <w:r>
        <w:t xml:space="preserve">— литературное программирование</w:t>
      </w:r>
    </w:p>
    <w:bookmarkStart w:id="29" w:name="параметры-задачи"/>
    <w:p>
      <w:pPr>
        <w:pStyle w:val="Heading2"/>
      </w:pPr>
      <w:r>
        <w:t xml:space="preserve">3.1 Параметры задачи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=</m:t>
        </m:r>
        <m:r>
          <m:t>0.4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0.7</m:t>
        </m:r>
      </m:oMath>
    </w:p>
    <w:p>
      <w:pPr>
        <w:pStyle w:val="Compact"/>
        <w:numPr>
          <w:ilvl w:val="0"/>
          <w:numId w:val="1004"/>
        </w:numPr>
      </w:pPr>
      <w:r>
        <w:t xml:space="preserve">Начальные численности: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20000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9000</m:t>
        </m:r>
      </m:oMath>
    </w:p>
    <w:p>
      <w:pPr>
        <w:pStyle w:val="Compact"/>
        <w:numPr>
          <w:ilvl w:val="0"/>
          <w:numId w:val="1004"/>
        </w:numPr>
      </w:pPr>
      <w:r>
        <w:t xml:space="preserve">Функции подкрепления: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r>
          <m:t>t</m:t>
        </m:r>
        <m:r>
          <m:rPr>
            <m:sty m:val="p"/>
          </m:rPr>
          <m:t>+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w:r>
        <w:t xml:space="preserve">Время моделирования: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bookmarkEnd w:id="29"/>
    <w:bookmarkEnd w:id="30"/>
    <w:bookmarkStart w:id="5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5" w:name="Xe81ccfc35ba8c8aa99ff4f6101eb7179e8586d1"/>
    <w:p>
      <w:pPr>
        <w:pStyle w:val="Heading2"/>
      </w:pPr>
      <w:r>
        <w:t xml:space="preserve">4.1 Модель 1: регулярные войска против регулярных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battle1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battle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Модель 1: регулярные vs регулярные</w:t>
            </w:r>
          </w:p>
          <w:bookmarkEnd w:id="34"/>
        </w:tc>
      </w:tr>
    </w:tbl>
    <w:bookmarkEnd w:id="35"/>
    <w:bookmarkStart w:id="40" w:name="X481d10ddde1bf1b6296b1edc9c54bd362c5b31c"/>
    <w:p>
      <w:pPr>
        <w:pStyle w:val="Heading2"/>
      </w:pPr>
      <w:r>
        <w:t xml:space="preserve">4.2 Модель 2: регулярные войска против партизан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battle2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battle2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Модель 2: регулярные vs партизаны</w:t>
            </w:r>
          </w:p>
          <w:bookmarkEnd w:id="39"/>
        </w:tc>
      </w:tr>
    </w:tbl>
    <w:bookmarkEnd w:id="40"/>
    <w:bookmarkStart w:id="45" w:name="модель-3-партизаны-против-партизан"/>
    <w:p>
      <w:pPr>
        <w:pStyle w:val="Heading2"/>
      </w:pPr>
      <w:r>
        <w:t xml:space="preserve">4.3 Модель 3: партизаны против партизан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battle3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battle3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Модель 3: партизаны vs партизаны</w:t>
            </w:r>
          </w:p>
          <w:bookmarkEnd w:id="44"/>
        </w:tc>
      </w:tr>
    </w:tbl>
    <w:bookmarkEnd w:id="45"/>
    <w:bookmarkStart w:id="50" w:name="сводный-график"/>
    <w:p>
      <w:pPr>
        <w:pStyle w:val="Heading2"/>
      </w:pPr>
      <w:r>
        <w:t xml:space="preserve">4.4 Сводный график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all"/>
          <w:p>
            <w:pPr>
              <w:pStyle w:val="Compact"/>
              <w:jc w:val="center"/>
            </w:pPr>
            <w:r>
              <w:drawing>
                <wp:inline>
                  <wp:extent cx="4267200" cy="4742389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battles_all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7423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Все три модели</w:t>
            </w:r>
          </w:p>
          <w:bookmarkEnd w:id="49"/>
        </w:tc>
      </w:tr>
    </w:tbl>
    <w:bookmarkEnd w:id="50"/>
    <w:bookmarkEnd w:id="51"/>
    <w:bookmarkStart w:id="52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ходе численного решения получены следующие финальные численности: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Модель 1</w:t>
      </w:r>
      <w:r>
        <w:t xml:space="preserve">: победа X (более высокая начальная численность).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Модель 2</w:t>
      </w:r>
      <w:r>
        <w:t xml:space="preserve">: зависит от соотношения</w:t>
      </w:r>
      <w:r>
        <w:t xml:space="preserve"> </w:t>
      </w:r>
      <m:oMath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Модель 3</w:t>
      </w:r>
      <w:r>
        <w:t xml:space="preserve">: зависит от коэффициентов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</m:oMath>
      <w:r>
        <w:t xml:space="preserve">.</w:t>
      </w:r>
    </w:p>
    <w:bookmarkEnd w:id="52"/>
    <w:bookmarkStart w:id="53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Модели Ланчестера показывают, что:</w:t>
      </w:r>
    </w:p>
    <w:p>
      <w:pPr>
        <w:pStyle w:val="Compact"/>
        <w:numPr>
          <w:ilvl w:val="0"/>
          <w:numId w:val="1006"/>
        </w:numPr>
      </w:pPr>
      <w:r>
        <w:t xml:space="preserve">В бою между регулярными войсками преимущество определяется</w:t>
      </w:r>
      <w:r>
        <w:t xml:space="preserve"> </w:t>
      </w:r>
      <w:r>
        <w:t xml:space="preserve">квадратом численности: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— инвариант.</w:t>
      </w:r>
    </w:p>
    <w:p>
      <w:pPr>
        <w:pStyle w:val="Compact"/>
        <w:numPr>
          <w:ilvl w:val="0"/>
          <w:numId w:val="1006"/>
        </w:numPr>
      </w:pPr>
      <w:r>
        <w:t xml:space="preserve">Против партизан регулярным войскам нужно</w:t>
      </w:r>
      <w:r>
        <w:t xml:space="preserve"> </w:t>
      </w:r>
      <w:r>
        <w:rPr>
          <w:b/>
          <w:bCs/>
        </w:rPr>
        <w:t xml:space="preserve">квадратично</w:t>
      </w:r>
      <w:r>
        <w:t xml:space="preserve"> </w:t>
      </w:r>
      <w:r>
        <w:t xml:space="preserve">больше</w:t>
      </w:r>
      <w:r>
        <w:t xml:space="preserve"> </w:t>
      </w:r>
      <w:r>
        <w:t xml:space="preserve">начальной численности (вывод из</w:t>
      </w:r>
      <w:r>
        <w:t xml:space="preserve"> </w:t>
      </w:r>
      <m:oMath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c</m:t>
        </m:r>
        <m:r>
          <m:t>y</m:t>
        </m:r>
      </m:oMath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Между партизанами решающую роль играют коэффициенты эффективности.</w:t>
      </w:r>
    </w:p>
    <w:bookmarkEnd w:id="53"/>
    <w:bookmarkStart w:id="54" w:name="заключение"/>
    <w:p>
      <w:pPr>
        <w:pStyle w:val="Heading1"/>
      </w:pPr>
      <w:r>
        <w:t xml:space="preserve">7. Заключение</w:t>
      </w:r>
    </w:p>
    <w:p>
      <w:pPr>
        <w:pStyle w:val="Compact"/>
        <w:numPr>
          <w:ilvl w:val="0"/>
          <w:numId w:val="1007"/>
        </w:numPr>
      </w:pPr>
      <w:r>
        <w:t xml:space="preserve">Выведены три модели Ланчестера.</w:t>
      </w:r>
    </w:p>
    <w:p>
      <w:pPr>
        <w:pStyle w:val="Compact"/>
        <w:numPr>
          <w:ilvl w:val="0"/>
          <w:numId w:val="1007"/>
        </w:numPr>
      </w:pPr>
      <w:r>
        <w:t xml:space="preserve">Проведено численное решение в Julia для заданных параметров.</w:t>
      </w:r>
    </w:p>
    <w:p>
      <w:pPr>
        <w:pStyle w:val="Compact"/>
        <w:numPr>
          <w:ilvl w:val="0"/>
          <w:numId w:val="1007"/>
        </w:numPr>
      </w:pPr>
      <w:r>
        <w:t xml:space="preserve">Построены графики динамики численностей.</w:t>
      </w:r>
    </w:p>
    <w:p>
      <w:pPr>
        <w:pStyle w:val="Compact"/>
        <w:numPr>
          <w:ilvl w:val="0"/>
          <w:numId w:val="1007"/>
        </w:numPr>
      </w:pPr>
      <w:r>
        <w:t xml:space="preserve">Определены условия победы каждой стороны.</w:t>
      </w:r>
    </w:p>
    <w:bookmarkEnd w:id="54"/>
    <w:bookmarkStart w:id="56" w:name="список-литературы"/>
    <w:p>
      <w:pPr>
        <w:pStyle w:val="Heading1"/>
      </w:pPr>
      <w:r>
        <w:t xml:space="preserve">Список литературы</w:t>
      </w:r>
    </w:p>
    <w:bookmarkStart w:id="55" w:name="refs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№3. Модели Ланчестера</dc:title>
  <dc:creator>Амина Накова</dc:creator>
  <dc:language>ru-RU</dc:language>
  <cp:keywords>математическое моделирование, Ланчестер, боевые действия, Julia, ОДУ</cp:keywords>
  <dcterms:created xsi:type="dcterms:W3CDTF">2026-10-12T01:31:08Z</dcterms:created>
  <dcterms:modified xsi:type="dcterms:W3CDTF">2026-10-12T01:31:08Z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Рассматриваются три модели боевых действий (модели Ланчестера): между регулярными войсками, между регулярными войсками и партизанами, между партизанскими отрядами. Проводится численное решение систем дифференциальных уравнений в Julia, строятся графики динамики численностей сторон, определяется победитель в каждом случае.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Моделирование боевых действий</vt:lpwstr>
  </property>
  <property fmtid="{D5CDD505-2E9C-101B-9397-08002B2CF9AE}" pid="17" name="toc-title">
    <vt:lpwstr>Содержание</vt:lpwstr>
  </property>
</Properties>
</file>