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№8. Модель конкуренции двух фирм</w:t>
      </w:r>
    </w:p>
    <w:p>
      <w:pPr>
        <w:pStyle w:val="Subtitle"/>
      </w:pPr>
      <w:r>
        <w:t xml:space="preserve">Вариант 38</w:t>
      </w:r>
    </w:p>
    <w:p>
      <w:pPr>
        <w:pStyle w:val="Author"/>
      </w:pPr>
      <w:r>
        <w:t xml:space="preserve">Амина Накова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Исследуется модель конкуренции двух фирм, производящих взаимозаменяемые</w:t>
      </w:r>
      <w:r>
        <w:t xml:space="preserve"> </w:t>
      </w:r>
      <w:r>
        <w:t xml:space="preserve">товары в одной рыночной нише. Рассматриваются два случая: без учёта</w:t>
      </w:r>
      <w:r>
        <w:t xml:space="preserve"> </w:t>
      </w:r>
      <w:r>
        <w:t xml:space="preserve">социально-психологического фактора и с его учётом.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Модели конкуренции двух фирм — классический раздел математической</w:t>
      </w:r>
      <w:r>
        <w:t xml:space="preserve"> </w:t>
      </w:r>
      <w:r>
        <w:t xml:space="preserve">экономики. Они применяются для анализа рыночных стратегий и устойчивости</w:t>
      </w:r>
      <w:r>
        <w:t xml:space="preserve"> </w:t>
      </w:r>
      <w:r>
        <w:t xml:space="preserve">предприятий.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Построить графики изменения оборотных средств двух конкурирующих фирм</w:t>
      </w:r>
      <w:r>
        <w:t xml:space="preserve"> </w:t>
      </w:r>
      <w:r>
        <w:t xml:space="preserve">для двух случаев: без социально-психологического фактора и с ним.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Записать систему уравнений динамики оборотных средств двух фирм.</w:t>
      </w:r>
    </w:p>
    <w:p>
      <w:pPr>
        <w:pStyle w:val="Compact"/>
        <w:numPr>
          <w:ilvl w:val="0"/>
          <w:numId w:val="1001"/>
        </w:numPr>
      </w:pPr>
      <w:r>
        <w:t xml:space="preserve">Решить её численно для двух случаев.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M₁(θ), M₂(θ).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результаты.</w:t>
      </w:r>
    </w:p>
    <w:bookmarkEnd w:id="22"/>
    <w:bookmarkStart w:id="23" w:name="методы-исследования"/>
    <w:p>
      <w:pPr>
        <w:pStyle w:val="Heading2"/>
      </w:pPr>
      <w:r>
        <w:t xml:space="preserve">1.4 Методы исследования</w:t>
      </w:r>
    </w:p>
    <w:p>
      <w:pPr>
        <w:pStyle w:val="FirstParagraph"/>
      </w:pPr>
      <w:r>
        <w:t xml:space="preserve">Численное интегрирование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, визуализация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23"/>
    <w:bookmarkEnd w:id="24"/>
    <w:bookmarkStart w:id="28" w:name="теоретическая-часть"/>
    <w:p>
      <w:pPr>
        <w:pStyle w:val="Heading1"/>
      </w:pPr>
      <w:r>
        <w:t xml:space="preserve">2. Теоретическая часть</w:t>
      </w:r>
    </w:p>
    <w:bookmarkStart w:id="25" w:name="модель-одной-фирмы"/>
    <w:p>
      <w:pPr>
        <w:pStyle w:val="Heading2"/>
      </w:pPr>
      <w:r>
        <w:t xml:space="preserve">2.1 Модель одной фирмы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t>p</m:t>
          </m:r>
          <m:r>
            <m:rPr>
              <m:sty m:val="p"/>
            </m:rPr>
            <m:t>−</m:t>
          </m:r>
          <m:r>
            <m:t>κ</m:t>
          </m:r>
        </m:oMath>
      </m:oMathPara>
    </w:p>
    <w:bookmarkEnd w:id="25"/>
    <w:bookmarkStart w:id="26" w:name="X65879b114fdd7da311d81236fba3e2f4057a82c"/>
    <w:p>
      <w:pPr>
        <w:pStyle w:val="Heading2"/>
      </w:pPr>
      <w:r>
        <w:t xml:space="preserve">2.2 Случай 1: без социально-психологического фактора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bookmarkEnd w:id="26"/>
    <w:bookmarkStart w:id="27" w:name="X63ea049d962f44142ff8858c271110219a66d70"/>
    <w:p>
      <w:pPr>
        <w:pStyle w:val="Heading2"/>
      </w:pPr>
      <w:r>
        <w:t xml:space="preserve">2.3 Случай 2: с социально-психологическим фактором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0.00083</m:t>
              </m:r>
            </m:e>
          </m:d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bookmarkEnd w:id="27"/>
    <w:bookmarkEnd w:id="28"/>
    <w:bookmarkStart w:id="30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на языке Julia 1.13 с пакетами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</w:t>
      </w:r>
    </w:p>
    <w:bookmarkStart w:id="29" w:name="параметры-варианта-38"/>
    <w:p>
      <w:pPr>
        <w:pStyle w:val="Heading2"/>
      </w:pPr>
      <w:r>
        <w:t xml:space="preserve">3.1 Параметры варианта 38</w:t>
      </w:r>
    </w:p>
    <w:p>
      <w:pPr>
        <w:pStyle w:val="Compact"/>
        <w:numPr>
          <w:ilvl w:val="0"/>
          <w:numId w:val="1002"/>
        </w:numPr>
      </w:pPr>
      <m:oMath>
        <m:sSubSup>
          <m:e>
            <m:r>
              <m:t>M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3.9</m:t>
        </m:r>
      </m:oMath>
      <w:r>
        <w:t xml:space="preserve">,</w:t>
      </w:r>
      <w:r>
        <w:t xml:space="preserve"> </w:t>
      </w:r>
      <m:oMath>
        <m:sSubSup>
          <m:e>
            <m:r>
              <m:t>M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2.9</m:t>
        </m:r>
      </m:oMath>
    </w:p>
    <w:p>
      <w:pPr>
        <w:pStyle w:val="Compact"/>
        <w:numPr>
          <w:ilvl w:val="0"/>
          <w:numId w:val="1002"/>
        </w:numPr>
      </w:pP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39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2"/>
        </w:numPr>
      </w:pP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29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</w:p>
    <w:p>
      <w:pPr>
        <w:pStyle w:val="Compact"/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6.9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15.9</m:t>
        </m:r>
      </m:oMath>
    </w:p>
    <w:bookmarkEnd w:id="29"/>
    <w:bookmarkEnd w:id="30"/>
    <w:bookmarkStart w:id="4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случай-1"/>
    <w:p>
      <w:pPr>
        <w:pStyle w:val="Heading2"/>
      </w:pPr>
      <w:r>
        <w:t xml:space="preserve">4.1 Случай 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ase1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case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Случай 1</w:t>
            </w:r>
          </w:p>
          <w:bookmarkEnd w:id="34"/>
        </w:tc>
      </w:tr>
    </w:tbl>
    <w:p>
      <w:pPr>
        <w:pStyle w:val="BodyText"/>
      </w:pPr>
      <w:r>
        <w:t xml:space="preserve">Обе фирмы достигают своих максимальных значений и стабильно работают</w:t>
      </w:r>
      <w:r>
        <w:t xml:space="preserve"> </w:t>
      </w:r>
      <w:r>
        <w:t xml:space="preserve">на рынке.</w:t>
      </w:r>
    </w:p>
    <w:bookmarkEnd w:id="35"/>
    <w:bookmarkStart w:id="40" w:name="случай-2"/>
    <w:p>
      <w:pPr>
        <w:pStyle w:val="Heading2"/>
      </w:pPr>
      <w:r>
        <w:t xml:space="preserve">4.2 Случай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case2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case2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Случай 2</w:t>
            </w:r>
          </w:p>
          <w:bookmarkEnd w:id="39"/>
        </w:tc>
      </w:tr>
    </w:tbl>
    <w:p>
      <w:pPr>
        <w:pStyle w:val="BodyText"/>
      </w:pPr>
      <w:r>
        <w:t xml:space="preserve">Фирма 1 после начального роста теряет оборотные средства и банкротится.</w:t>
      </w:r>
      <w:r>
        <w:t xml:space="preserve"> </w:t>
      </w:r>
      <w:r>
        <w:t xml:space="preserve">Фирма 2 сохраняет устойчивое положение.</w:t>
      </w:r>
    </w:p>
    <w:bookmarkEnd w:id="40"/>
    <w:bookmarkStart w:id="45" w:name="сводный-график"/>
    <w:p>
      <w:pPr>
        <w:pStyle w:val="Heading2"/>
      </w:pPr>
      <w:r>
        <w:t xml:space="preserve">4.3 Сводный график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all"/>
          <w:p>
            <w:pPr>
              <w:pStyle w:val="Compact"/>
              <w:jc w:val="center"/>
            </w:pPr>
            <w:r>
              <w:drawing>
                <wp:inline>
                  <wp:extent cx="4800600" cy="4267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cases_all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Сводный график</w:t>
            </w:r>
          </w:p>
          <w:bookmarkEnd w:id="44"/>
        </w:tc>
      </w:tr>
    </w:tbl>
    <w:bookmarkEnd w:id="45"/>
    <w:bookmarkEnd w:id="46"/>
    <w:bookmarkStart w:id="47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3"/>
        </w:numPr>
      </w:pPr>
      <w:r>
        <w:t xml:space="preserve">Случай 1: обе фирмы устойчивы.</w:t>
      </w:r>
    </w:p>
    <w:p>
      <w:pPr>
        <w:pStyle w:val="Compact"/>
        <w:numPr>
          <w:ilvl w:val="0"/>
          <w:numId w:val="1003"/>
        </w:numPr>
      </w:pPr>
      <w:r>
        <w:t xml:space="preserve">Случай 2: фирма 1 банкротится, фирма 2 занимает рынок.</w:t>
      </w:r>
    </w:p>
    <w:p>
      <w:pPr>
        <w:pStyle w:val="Compact"/>
        <w:numPr>
          <w:ilvl w:val="0"/>
          <w:numId w:val="1003"/>
        </w:numPr>
      </w:pPr>
      <w:r>
        <w:t xml:space="preserve">Социально-психологический фактор усиливает конкурентное преимущество.</w:t>
      </w:r>
    </w:p>
    <w:bookmarkEnd w:id="47"/>
    <w:bookmarkStart w:id="48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При учёте социально-психологического фактора взаимодействие фирм</w:t>
      </w:r>
      <w:r>
        <w:t xml:space="preserve"> </w:t>
      </w:r>
      <w:r>
        <w:t xml:space="preserve">усиливается, что может приводить к вытеснению одной из них с рынка.</w:t>
      </w:r>
    </w:p>
    <w:bookmarkEnd w:id="48"/>
    <w:bookmarkStart w:id="49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4"/>
        </w:numPr>
      </w:pPr>
      <w:r>
        <w:t xml:space="preserve">Решены две модели конкуренции фирм.</w:t>
      </w:r>
    </w:p>
    <w:p>
      <w:pPr>
        <w:pStyle w:val="Compact"/>
        <w:numPr>
          <w:ilvl w:val="0"/>
          <w:numId w:val="1004"/>
        </w:numPr>
      </w:pPr>
      <w:r>
        <w:t xml:space="preserve">Построены графики M₁(θ), M₂(θ).</w:t>
      </w:r>
    </w:p>
    <w:p>
      <w:pPr>
        <w:pStyle w:val="Compact"/>
        <w:numPr>
          <w:ilvl w:val="0"/>
          <w:numId w:val="1004"/>
        </w:numPr>
      </w:pPr>
      <w:r>
        <w:t xml:space="preserve">Проанализировано поведение системы.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№8. Модель конкуренции двух фирм</dc:title>
  <dc:creator>Амина Накова</dc:creator>
  <dc:language>ru-RU</dc:language>
  <cp:keywords>математическое моделирование, конкуренция, оборотные средства, Julia</cp:keywords>
  <dcterms:created xsi:type="dcterms:W3CDTF">2026-10-12T13:08:14Z</dcterms:created>
  <dcterms:modified xsi:type="dcterms:W3CDTF">2026-10-12T13:08:14Z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Исследуется модель конкуренции двух фирм, производящих взаимозаменяемые товары в одной рыночной нише. Рассматриваются два случая: без учёта социально-психологического фактора и с его учётом.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Вариант 38</vt:lpwstr>
  </property>
  <property fmtid="{D5CDD505-2E9C-101B-9397-08002B2CF9AE}" pid="17" name="toc-title">
    <vt:lpwstr>Содержание</vt:lpwstr>
  </property>
</Properties>
</file>