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№3. Модели Ланчестера</w:t>
      </w:r>
    </w:p>
    <w:p>
      <w:pPr>
        <w:pStyle w:val="Subtitle"/>
      </w:pPr>
      <w:r>
        <w:t xml:space="preserve">Вариант 38</w:t>
      </w:r>
    </w:p>
    <w:p>
      <w:pPr>
        <w:pStyle w:val="Author"/>
      </w:pPr>
      <w:r>
        <w:t xml:space="preserve">Амина Накова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Рассматриваются модели боевых действий (Ланчестера) для варианта 38:</w:t>
      </w:r>
      <w:r>
        <w:t xml:space="preserve"> </w:t>
      </w:r>
      <w:r>
        <w:t xml:space="preserve">страна X имеет армию 882 000 человек, страна Y — 747 000 человек.</w:t>
      </w:r>
      <w:r>
        <w:t xml:space="preserve"> </w:t>
      </w:r>
      <w:r>
        <w:t xml:space="preserve">Решаются две модели: между регулярными войсками и между регулярными</w:t>
      </w:r>
      <w:r>
        <w:t xml:space="preserve"> </w:t>
      </w:r>
      <w:r>
        <w:t xml:space="preserve">войсками и партизанами.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введение"/>
    <w:p>
      <w:pPr>
        <w:pStyle w:val="Heading1"/>
      </w:pPr>
      <w:r>
        <w:t xml:space="preserve">1. Введение</w:t>
      </w:r>
    </w:p>
    <w:bookmarkStart w:id="20" w:name="актуальность"/>
    <w:p>
      <w:pPr>
        <w:pStyle w:val="Heading2"/>
      </w:pPr>
      <w:r>
        <w:t xml:space="preserve">1.1 Актуальность</w:t>
      </w:r>
    </w:p>
    <w:p>
      <w:pPr>
        <w:pStyle w:val="FirstParagraph"/>
      </w:pPr>
      <w:r>
        <w:t xml:space="preserve">Модели Ланчестера — классический инструмент исследования конфликтов,</w:t>
      </w:r>
      <w:r>
        <w:t xml:space="preserve"> </w:t>
      </w:r>
      <w:r>
        <w:t xml:space="preserve">применяемый в теории игр, военном деле, экономике.</w:t>
      </w:r>
    </w:p>
    <w:bookmarkEnd w:id="20"/>
    <w:bookmarkStart w:id="21" w:name="цель-работы"/>
    <w:p>
      <w:pPr>
        <w:pStyle w:val="Heading2"/>
      </w:pPr>
      <w:r>
        <w:t xml:space="preserve">1.2 Цель работы</w:t>
      </w:r>
    </w:p>
    <w:p>
      <w:pPr>
        <w:pStyle w:val="FirstParagraph"/>
      </w:pPr>
      <w:r>
        <w:t xml:space="preserve">Исследовать численно модели боевых действий для заданных начальных</w:t>
      </w:r>
      <w:r>
        <w:t xml:space="preserve"> </w:t>
      </w:r>
      <w:r>
        <w:t xml:space="preserve">численностей сторон и параметров (вариант 38).</w:t>
      </w:r>
    </w:p>
    <w:bookmarkEnd w:id="21"/>
    <w:bookmarkStart w:id="22" w:name="задачи"/>
    <w:p>
      <w:pPr>
        <w:pStyle w:val="Heading2"/>
      </w:pPr>
      <w:r>
        <w:t xml:space="preserve">1.3 Задачи</w:t>
      </w:r>
    </w:p>
    <w:p>
      <w:pPr>
        <w:pStyle w:val="Compact"/>
        <w:numPr>
          <w:ilvl w:val="0"/>
          <w:numId w:val="1001"/>
        </w:numPr>
      </w:pPr>
      <w:r>
        <w:t xml:space="preserve">Решить модель боя между регулярными войсками.</w:t>
      </w:r>
    </w:p>
    <w:p>
      <w:pPr>
        <w:pStyle w:val="Compact"/>
        <w:numPr>
          <w:ilvl w:val="0"/>
          <w:numId w:val="1001"/>
        </w:numPr>
      </w:pPr>
      <w:r>
        <w:t xml:space="preserve">Решить модель боя между регулярными войсками и партизанами.</w:t>
      </w:r>
    </w:p>
    <w:p>
      <w:pPr>
        <w:pStyle w:val="Compact"/>
        <w:numPr>
          <w:ilvl w:val="0"/>
          <w:numId w:val="1001"/>
        </w:numPr>
      </w:pPr>
      <w:r>
        <w:t xml:space="preserve">Построить графики динамики численностей сторон.</w:t>
      </w:r>
    </w:p>
    <w:p>
      <w:pPr>
        <w:pStyle w:val="Compact"/>
        <w:numPr>
          <w:ilvl w:val="0"/>
          <w:numId w:val="1001"/>
        </w:numPr>
      </w:pPr>
      <w:r>
        <w:t xml:space="preserve">Определить победителя в каждой модели.</w:t>
      </w:r>
    </w:p>
    <w:bookmarkEnd w:id="22"/>
    <w:bookmarkStart w:id="23" w:name="методы-исследования"/>
    <w:p>
      <w:pPr>
        <w:pStyle w:val="Heading2"/>
      </w:pPr>
      <w:r>
        <w:t xml:space="preserve">1.4 Методы исследования</w:t>
      </w:r>
    </w:p>
    <w:p>
      <w:pPr>
        <w:pStyle w:val="FirstParagraph"/>
      </w:pPr>
      <w:r>
        <w:t xml:space="preserve">Численное интегрирование систем ОДУ методом</w:t>
      </w:r>
      <w:r>
        <w:t xml:space="preserve"> </w:t>
      </w:r>
      <w:r>
        <w:rPr>
          <w:rStyle w:val="VerbatimChar"/>
        </w:rPr>
        <w:t xml:space="preserve">Tsit5()</w:t>
      </w:r>
      <w:r>
        <w:t xml:space="preserve">,</w:t>
      </w:r>
      <w:r>
        <w:t xml:space="preserve"> </w:t>
      </w:r>
      <w:r>
        <w:t xml:space="preserve">визуализация средствами</w:t>
      </w:r>
      <w:r>
        <w:t xml:space="preserve"> </w:t>
      </w:r>
      <w:r>
        <w:rPr>
          <w:rStyle w:val="VerbatimChar"/>
        </w:rPr>
        <w:t xml:space="preserve">Plots.jl</w:t>
      </w:r>
      <w:r>
        <w:t xml:space="preserve">.</w:t>
      </w:r>
    </w:p>
    <w:bookmarkEnd w:id="23"/>
    <w:bookmarkEnd w:id="24"/>
    <w:bookmarkStart w:id="27" w:name="теоретическая-часть"/>
    <w:p>
      <w:pPr>
        <w:pStyle w:val="Heading1"/>
      </w:pPr>
      <w:r>
        <w:t xml:space="preserve">2. Теоретическая часть</w:t>
      </w:r>
    </w:p>
    <w:bookmarkStart w:id="25" w:name="модель-1-регулярные-vs-регулярные"/>
    <w:p>
      <w:pPr>
        <w:pStyle w:val="Heading2"/>
      </w:pPr>
      <w:r>
        <w:t xml:space="preserve">2.1 Модель 1: регулярные vs регулярные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−</m:t>
          </m:r>
          <m:r>
            <m:t>0.67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t>t</m:t>
              </m:r>
            </m:e>
          </m:d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0.77</m:t>
          </m:r>
          <m:r>
            <m:t>x</m:t>
          </m:r>
          <m:r>
            <m:rPr>
              <m:sty m:val="p"/>
            </m:rPr>
            <m:t>−</m:t>
          </m:r>
          <m:r>
            <m:t>0.14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t</m:t>
              </m:r>
            </m:e>
          </m:d>
          <m:r>
            <m:rPr>
              <m:sty m:val="p"/>
            </m:rPr>
            <m:t>+</m:t>
          </m:r>
          <m:r>
            <m:t>2</m:t>
          </m:r>
        </m:oMath>
      </m:oMathPara>
    </w:p>
    <w:bookmarkEnd w:id="25"/>
    <w:bookmarkStart w:id="26" w:name="модель-2-регулярные-vs-партизаны"/>
    <w:p>
      <w:pPr>
        <w:pStyle w:val="Heading2"/>
      </w:pPr>
      <w:r>
        <w:t xml:space="preserve">2.2 Модель 2: регулярные vs партизаны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0.24</m:t>
          </m:r>
          <m:r>
            <m:t>x</m:t>
          </m:r>
          <m:r>
            <m:rPr>
              <m:sty m:val="p"/>
            </m:rPr>
            <m:t>−</m:t>
          </m:r>
          <m:r>
            <m:t>0.67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t</m:t>
                  </m:r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0.47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0.14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t</m:t>
                  </m:r>
                </m:e>
              </m:d>
            </m:e>
          </m:d>
        </m:oMath>
      </m:oMathPara>
    </w:p>
    <w:bookmarkEnd w:id="26"/>
    <w:bookmarkEnd w:id="27"/>
    <w:bookmarkStart w:id="29" w:name="материалы-и-методы"/>
    <w:p>
      <w:pPr>
        <w:pStyle w:val="Heading1"/>
      </w:pPr>
      <w:r>
        <w:t xml:space="preserve">3. Материалы и методы</w:t>
      </w:r>
    </w:p>
    <w:p>
      <w:pPr>
        <w:pStyle w:val="FirstParagraph"/>
      </w:pPr>
      <w:r>
        <w:t xml:space="preserve">Работа выполнена на языке Julia 1.13 с пакетами: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DifferentialEquations.jl</w:t>
      </w:r>
      <w:r>
        <w:t xml:space="preserve"> </w:t>
      </w:r>
      <w:r>
        <w:t xml:space="preserve">— решение ОДУ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Plots.jl</w:t>
      </w:r>
      <w:r>
        <w:t xml:space="preserve"> </w:t>
      </w:r>
      <w:r>
        <w:t xml:space="preserve">— визуализация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DrWatson.jl</w:t>
      </w:r>
      <w:r>
        <w:t xml:space="preserve"> </w:t>
      </w:r>
      <w:r>
        <w:t xml:space="preserve">— организация проекта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Literate.jl</w:t>
      </w:r>
      <w:r>
        <w:t xml:space="preserve"> </w:t>
      </w:r>
      <w:r>
        <w:t xml:space="preserve">— литературное программирование</w:t>
      </w:r>
    </w:p>
    <w:bookmarkStart w:id="28" w:name="параметры-задачи-вариант-38"/>
    <w:p>
      <w:pPr>
        <w:pStyle w:val="Heading2"/>
      </w:pPr>
      <w:r>
        <w:t xml:space="preserve">3.1 Параметры задачи (вариант 38)</w:t>
      </w:r>
    </w:p>
    <w:p>
      <w:pPr>
        <w:pStyle w:val="Compact"/>
        <w:numPr>
          <w:ilvl w:val="0"/>
          <w:numId w:val="1003"/>
        </w:numPr>
      </w:pPr>
      <w:r>
        <w:t xml:space="preserve">Начальные численности: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882000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747000</m:t>
        </m:r>
      </m:oMath>
    </w:p>
    <w:p>
      <w:pPr>
        <w:pStyle w:val="Compact"/>
        <w:numPr>
          <w:ilvl w:val="0"/>
          <w:numId w:val="1003"/>
        </w:numPr>
      </w:pPr>
      <w:r>
        <w:t xml:space="preserve">Время моделирования: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bookmarkEnd w:id="28"/>
    <w:bookmarkEnd w:id="29"/>
    <w:bookmarkStart w:id="45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4" w:name="модель-1-регулярные-vs-регулярные-1"/>
    <w:p>
      <w:pPr>
        <w:pStyle w:val="Heading2"/>
      </w:pPr>
      <w:r>
        <w:t xml:space="preserve">4.1 Модель 1: регулярные vs регулярные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battle1"/>
          <w:p>
            <w:pPr>
              <w:pStyle w:val="Compact"/>
              <w:jc w:val="center"/>
            </w:pPr>
            <w:r>
              <w:drawing>
                <wp:inline>
                  <wp:extent cx="4800600" cy="3200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battle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Модель 1: регулярные vs регулярные</w:t>
            </w:r>
          </w:p>
          <w:bookmarkEnd w:id="33"/>
        </w:tc>
      </w:tr>
    </w:tbl>
    <w:bookmarkEnd w:id="34"/>
    <w:bookmarkStart w:id="39" w:name="модель-2-регулярные-vs-партизаны-1"/>
    <w:p>
      <w:pPr>
        <w:pStyle w:val="Heading2"/>
      </w:pPr>
      <w:r>
        <w:t xml:space="preserve">4.2 Модель 2: регулярные vs партизаны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attle2"/>
          <w:p>
            <w:pPr>
              <w:pStyle w:val="Compact"/>
              <w:jc w:val="center"/>
            </w:pPr>
            <w:r>
              <w:drawing>
                <wp:inline>
                  <wp:extent cx="4800600" cy="3200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battle2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Модель 2: регулярные vs партизаны</w:t>
            </w:r>
          </w:p>
          <w:bookmarkEnd w:id="38"/>
        </w:tc>
      </w:tr>
    </w:tbl>
    <w:bookmarkEnd w:id="39"/>
    <w:bookmarkStart w:id="44" w:name="сводный-график"/>
    <w:p>
      <w:pPr>
        <w:pStyle w:val="Heading2"/>
      </w:pPr>
      <w:r>
        <w:t xml:space="preserve">4.3 Сводный график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all"/>
          <w:p>
            <w:pPr>
              <w:pStyle w:val="Compact"/>
              <w:jc w:val="center"/>
            </w:pPr>
            <w:r>
              <w:drawing>
                <wp:inline>
                  <wp:extent cx="4800600" cy="42672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battles_all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Сводный график</w:t>
            </w:r>
          </w:p>
          <w:bookmarkEnd w:id="43"/>
        </w:tc>
      </w:tr>
    </w:tbl>
    <w:bookmarkEnd w:id="44"/>
    <w:bookmarkEnd w:id="45"/>
    <w:bookmarkStart w:id="46" w:name="результаты"/>
    <w:p>
      <w:pPr>
        <w:pStyle w:val="Heading1"/>
      </w:pPr>
      <w:r>
        <w:t xml:space="preserve">5. Результаты</w:t>
      </w:r>
    </w:p>
    <w:p>
      <w:pPr>
        <w:pStyle w:val="FirstParagraph"/>
      </w:pPr>
      <w:r>
        <w:t xml:space="preserve">По результатам численного решения определены финальные численности</w:t>
      </w:r>
      <w:r>
        <w:t xml:space="preserve"> </w:t>
      </w:r>
      <w:r>
        <w:t xml:space="preserve">сторон для каждой модели. Победитель определяется по большей остаточной</w:t>
      </w:r>
      <w:r>
        <w:t xml:space="preserve"> </w:t>
      </w:r>
      <w:r>
        <w:t xml:space="preserve">численности на момент окончания моделирования.</w:t>
      </w:r>
    </w:p>
    <w:bookmarkEnd w:id="46"/>
    <w:bookmarkStart w:id="47" w:name="обсуждение-результатов"/>
    <w:p>
      <w:pPr>
        <w:pStyle w:val="Heading1"/>
      </w:pPr>
      <w:r>
        <w:t xml:space="preserve">6. Обсуждение результатов</w:t>
      </w:r>
    </w:p>
    <w:p>
      <w:pPr>
        <w:pStyle w:val="FirstParagraph"/>
      </w:pPr>
      <w:r>
        <w:t xml:space="preserve">Модели Ланчестера показывают, что:</w:t>
      </w:r>
    </w:p>
    <w:p>
      <w:pPr>
        <w:pStyle w:val="Compact"/>
        <w:numPr>
          <w:ilvl w:val="0"/>
          <w:numId w:val="1004"/>
        </w:numPr>
      </w:pPr>
      <w:r>
        <w:t xml:space="preserve">В бою между регулярными войсками преимущество определяется</w:t>
      </w:r>
      <w:r>
        <w:t xml:space="preserve"> </w:t>
      </w:r>
      <w:r>
        <w:t xml:space="preserve">начальной численностью и коэффициентами эффективности.</w:t>
      </w:r>
    </w:p>
    <w:p>
      <w:pPr>
        <w:pStyle w:val="Compact"/>
        <w:numPr>
          <w:ilvl w:val="0"/>
          <w:numId w:val="1004"/>
        </w:numPr>
      </w:pPr>
      <w:r>
        <w:t xml:space="preserve">Против партизан регулярной армии сложнее: партизанская модель</w:t>
      </w:r>
      <w:r>
        <w:t xml:space="preserve"> </w:t>
      </w:r>
      <w:r>
        <w:t xml:space="preserve">учитывает квадратичный эффект (</w:t>
      </w:r>
      <m:oMath>
        <m:r>
          <m:t>x</m:t>
        </m:r>
        <m:r>
          <m:t>y</m:t>
        </m:r>
      </m:oMath>
      <w:r>
        <w:t xml:space="preserve">).</w:t>
      </w:r>
    </w:p>
    <w:bookmarkEnd w:id="47"/>
    <w:bookmarkStart w:id="48" w:name="заключение"/>
    <w:p>
      <w:pPr>
        <w:pStyle w:val="Heading1"/>
      </w:pPr>
      <w:r>
        <w:t xml:space="preserve">7. Заключение</w:t>
      </w:r>
    </w:p>
    <w:p>
      <w:pPr>
        <w:pStyle w:val="Compact"/>
        <w:numPr>
          <w:ilvl w:val="0"/>
          <w:numId w:val="1005"/>
        </w:numPr>
      </w:pPr>
      <w:r>
        <w:t xml:space="preserve">Решены две модели Ланчестера для варианта 38.</w:t>
      </w:r>
    </w:p>
    <w:p>
      <w:pPr>
        <w:pStyle w:val="Compact"/>
        <w:numPr>
          <w:ilvl w:val="0"/>
          <w:numId w:val="1005"/>
        </w:numPr>
      </w:pPr>
      <w:r>
        <w:t xml:space="preserve">Построены графики динамики численностей сторон.</w:t>
      </w:r>
    </w:p>
    <w:p>
      <w:pPr>
        <w:pStyle w:val="Compact"/>
        <w:numPr>
          <w:ilvl w:val="0"/>
          <w:numId w:val="1005"/>
        </w:numPr>
      </w:pPr>
      <w:r>
        <w:t xml:space="preserve">Определены победители в каждой модели.</w:t>
      </w:r>
    </w:p>
    <w:bookmarkEnd w:id="48"/>
    <w:bookmarkStart w:id="50" w:name="список-литературы"/>
    <w:p>
      <w:pPr>
        <w:pStyle w:val="Heading1"/>
      </w:pPr>
      <w:r>
        <w:t xml:space="preserve">Список литературы</w:t>
      </w:r>
    </w:p>
    <w:bookmarkStart w:id="49" w:name="refs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№3. Модели Ланчестера</dc:title>
  <dc:creator>Амина Накова</dc:creator>
  <dc:language>ru-RU</dc:language>
  <cp:keywords>математическое моделирование, Ланчестер, боевые действия, Julia</cp:keywords>
  <dcterms:created xsi:type="dcterms:W3CDTF">2026-10-12T01:50:34Z</dcterms:created>
  <dcterms:modified xsi:type="dcterms:W3CDTF">2026-10-12T01:50:34Z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Рассматриваются модели боевых действий (Ланчестера) для варианта 38: страна X имеет армию 882 000 человек, страна Y — 747 000 человек. Решаются две модели: между регулярными войсками и между регулярными войсками и партизанами.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rossref">
    <vt:lpwstr/>
  </property>
  <property fmtid="{D5CDD505-2E9C-101B-9397-08002B2CF9AE}" pid="10" name="csl">
    <vt:lpwstr>_resources/csl/gost-r-7-0-5-2008-numeric.csl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Вариант 38</vt:lpwstr>
  </property>
  <property fmtid="{D5CDD505-2E9C-101B-9397-08002B2CF9AE}" pid="17" name="toc-title">
    <vt:lpwstr>Содержание</vt:lpwstr>
  </property>
</Properties>
</file>