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مرجع کاربردی و پیش‌نیاز جامع ریاضیات عمومی و معادلات دیفرانسیل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۱. مقدمه: اهمیت استراتژیک مبانی در محاسبات مهندسی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در مقام یک معمار سیستم‌های آموزشی، همواره تأکید دارم که موفقیت در دروس پیشرفته‌ای نظیر معادلات دیفرانسیل و ریاضیات مهندسی، نه در گرو حفظ فرمول‌های پیچیده، بلکه در گرو تسلطِ بی‌قید و شرط بر "زبان پایه" ریاضیات است. روابط پیش‌نیاز، حکم زیربنای یک سازه صلب را دارند؛ هرگونه ضعف در این مبانی، منجر به "اصطکاک محاسباتی" و افزایش خطاهای فاحش در تحلیل سیستم‌های دینامیکی می‌گردد. هدف از این نوشتار، بازآفرینی دقیق روابط کلیدی است که طبق استانداردهای آموزشی [SOURCE_IMAGE_1]، برای شروع قدرتمند دروس دانشگاهی و کاهش بار محاسباتی ذهن مهندس تدوین شده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نخستین گام در این مسیر، بازگشت به زیربنای جبری و مدیریت صحیح توان‌ها و رادیکال‌هاست.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۲. زیربنای جبری: توان‌ها، رادیکال‌ها و تفکیک کسرها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عملیات جبری، ابزار اصلی مهندس برای ساده‌سازی مدل‌های ریاضی پیش از فاز حل نهایی است. بر اساس مستندات [SOURCE_IMAGE_1]، روابط زیر ستون فقرات ساده‌سازی هستند: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جدول قوانین توان و رادیکال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eastAsia="B Nazanin" w:cs="B Nazanin"/>
                <w:b/>
                <w:i w:val="0"/>
                <w:sz w:val="20"/>
              </w:rPr>
              <w:t>عنوان رابطه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eastAsia="B Nazanin" w:cs="B Nazanin"/>
                <w:b/>
                <w:i w:val="0"/>
                <w:sz w:val="20"/>
              </w:rPr>
              <w:t>فرمول ریاضی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eastAsia="B Nazanin" w:cs="B Nazanin"/>
                <w:b/>
                <w:i w:val="0"/>
                <w:sz w:val="20"/>
              </w:rPr>
              <w:t>ملاحظات فنی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eastAsia="B Nazanin" w:cs="B Nazanin"/>
                <w:b w:val="0"/>
                <w:i w:val="0"/>
                <w:sz w:val="20"/>
              </w:rPr>
              <w:t>ضرب و تقسیم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t>·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t>=</m:t>
              </m:r>
              <m:sSup>
                <m:e>
                  <m:r>
                    <m:t>a</m:t>
                  </m:r>
                </m:e>
                <m:sup>
                  <m:r>
                    <m:t>m+n</m:t>
                  </m:r>
                </m:sup>
              </m:sSup>
              <m: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t>=</m:t>
              </m:r>
              <m:sSup>
                <m:e>
                  <m:r>
                    <m:t>a</m:t>
                  </m:r>
                </m:e>
                <m:sup>
                  <m:r>
                    <m:t>m−n</m:t>
                  </m:r>
                </m:sup>
              </m:sSup>
            </m:oMath>
          </w:p>
        </w:tc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eastAsia="B Nazanin" w:cs="B Nazanin"/>
                <w:b w:val="0"/>
                <w:i w:val="0"/>
                <w:sz w:val="20"/>
              </w:rPr>
              <w:t>مدیریت توان در پایه یکسان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eastAsia="B Nazanin" w:cs="B Nazanin"/>
                <w:b w:val="0"/>
                <w:i w:val="0"/>
                <w:sz w:val="20"/>
              </w:rPr>
              <w:t>توان منفی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m:oMath>
              <m:sSup>
                <m:e>
                  <m:r>
                    <m:t>a</m:t>
                  </m:r>
                </m:e>
                <m:sup>
                  <m:r>
                    <m:t>−m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den>
              </m:f>
            </m:oMath>
          </w:p>
        </w:tc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eastAsia="B Nazanin" w:cs="B Nazanin"/>
                <w:b w:val="0"/>
                <w:i w:val="0"/>
                <w:sz w:val="20"/>
              </w:rPr>
              <w:t>انتقال بین صورت و مخرج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eastAsia="B Nazanin" w:cs="B Nazanin"/>
                <w:b w:val="0"/>
                <w:i w:val="0"/>
                <w:sz w:val="20"/>
              </w:rPr>
              <w:t>توان در توان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m:oMath>
              <m:r>
                <m:t>(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)</m:t>
                  </m:r>
                </m:e>
                <m:sup>
                  <m:r>
                    <m:t>n</m:t>
                  </m:r>
                </m:sup>
              </m:sSup>
              <m:r>
                <m:t>=</m:t>
              </m:r>
              <m:sSup>
                <m:e>
                  <m:r>
                    <m:t>a</m:t>
                  </m:r>
                </m:e>
                <m:sup>
                  <m:r>
                    <m:t>m·n</m:t>
                  </m:r>
                </m:sup>
              </m:sSup>
            </m:oMath>
          </w:p>
        </w:tc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eastAsia="B Nazanin" w:cs="B Nazanin"/>
                <w:b w:val="0"/>
                <w:i w:val="0"/>
                <w:sz w:val="20"/>
              </w:rPr>
              <w:t>ضرب مستقیم توان‌ها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eastAsia="B Nazanin" w:cs="B Nazanin"/>
                <w:b w:val="0"/>
                <w:i w:val="0"/>
                <w:sz w:val="20"/>
              </w:rPr>
              <w:t>تبدیل رادیکال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m:oMath>
              <m:rad>
                <m:radPr>
                  <m:degHide m:val="off"/>
                </m:radPr>
                <m:deg>
                  <m:r>
                    <m:t>n</m:t>
                  </m:r>
                </m:deg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rad>
              <m:r>
                <m:t>=</m:t>
              </m:r>
              <m:sSup>
                <m:e>
                  <m:r>
                    <m:t>a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m</m:t>
                      </m:r>
                    </m:num>
                    <m:den>
                      <m:r>
                        <m:t>n</m:t>
                      </m:r>
                    </m:den>
                  </m:f>
                </m:sup>
              </m:sSup>
            </m:oMath>
          </w:p>
        </w:tc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eastAsia="B Nazanin" w:cs="B Nazanin"/>
                <w:b w:val="0"/>
                <w:i w:val="0"/>
                <w:sz w:val="20"/>
              </w:rPr>
              <w:t>تبدیل ریشه به توان کسری جهت مشتق‌گیری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eastAsia="B Nazanin" w:cs="B Nazanin"/>
                <w:b w:val="0"/>
                <w:i w:val="0"/>
                <w:sz w:val="20"/>
              </w:rPr>
              <w:t>تفکیک رادیکال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m:oMath>
              <m:rad>
                <m:radPr>
                  <m:degHide m:val="off"/>
                </m:radPr>
                <m:deg>
                  <m:r>
                    <m:t>n</m:t>
                  </m:r>
                </m:deg>
                <m:e>
                  <m:r>
                    <m:t>a·b</m:t>
                  </m:r>
                </m:e>
              </m:rad>
              <m:r>
                <m:t>=</m:t>
              </m:r>
              <m:rad>
                <m:radPr>
                  <m:degHide m:val="off"/>
                </m:radPr>
                <m:deg>
                  <m:r>
                    <m:t>n</m:t>
                  </m:r>
                </m:deg>
                <m:e>
                  <m:r>
                    <m:t>a</m:t>
                  </m:r>
                </m:e>
              </m:rad>
              <m:r>
                <m:t>·</m:t>
              </m:r>
              <m:rad>
                <m:radPr>
                  <m:degHide m:val="off"/>
                </m:radPr>
                <m:deg>
                  <m:r>
                    <m:t>n</m:t>
                  </m:r>
                </m:deg>
                <m:e>
                  <m:r>
                    <m:t>b</m:t>
                  </m:r>
                </m:e>
              </m:rad>
            </m:oMath>
          </w:p>
        </w:tc>
        <w:tc>
          <w:tcPr>
            <w:tcW w:type="dxa" w:w="2880"/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eastAsia="B Nazanin" w:cs="B Nazanin"/>
                <w:b w:val="0"/>
                <w:i w:val="0"/>
                <w:sz w:val="20"/>
              </w:rPr>
              <w:t>توزیع‌پذیری روی ضرب و تقسیم</w:t>
            </w:r>
          </w:p>
        </w:tc>
      </w:tr>
    </w:tbl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مدیریت کسرها و هشدار ساختاری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یکی از بحرانی‌ترین نقاط در محاسبات مهندسی، تفکیک کسرهاست. طبق [SOURCE_IMAGE_1]، باید به تمایز زیر دقت داشت: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 xml:space="preserve">* توزیع صحیح: </w:t>
      </w:r>
      <m:oMath>
        <m:f>
          <m:fPr>
            <m:type m:val="bar"/>
          </m:fPr>
          <m:num>
            <m:r>
              <m:t>a±b</m:t>
            </m:r>
          </m:num>
          <m:den>
            <m:r>
              <m:t>c</m:t>
            </m:r>
          </m:den>
        </m:f>
        <m: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c</m:t>
            </m:r>
          </m:den>
        </m:f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(صورت کسر قابل تفکیک است).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خطای متداول: </w:t>
      </w:r>
      <m:oMath>
        <m:f>
          <m:fPr>
            <m:type m:val="bar"/>
          </m:fPr>
          <m:num>
            <m:r>
              <m:t>a</m:t>
            </m:r>
          </m:num>
          <m:den>
            <m:r>
              <m:t>b+c</m:t>
            </m:r>
          </m:den>
        </m:f>
        <m:r>
          <m:t>≠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(مخرج کسر به هیچ وجه قابل تفکیک مستقیم نیست).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تسلط بر "تفکیک کسرها" و تجزیه به کسرهای جزئی (Partial Fractions)، کلید اصلی در حل معکوس تبدیل لاپلاس است. بدون این مهارت، حل معادلات دیفرانسیل در حوزه زمان عملاً غیرممکن خواهد بود.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۳. توابع لگاریتمی و نمایی: ابزارهای مقیاس‌بندی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توابع لگاریتمی، ابزاری برای مدیریت مقیاس و رشد در سیستم‌ها هستند. در ریاضیات دانشگاهی، تمرکز اصلی بر لگاریتم طبیعی (Ln) با مبنای عدد نپر (</w:t>
      </w:r>
      <m:oMath>
        <m:r>
          <m:t>e≈2.718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>)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خواص عملیاتی لگاریتم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 xml:space="preserve">1. جمع به ضرب: </w:t>
      </w:r>
      <m:oMath>
        <m:r>
          <m:rPr>
            <m:sty m:val="p"/>
          </m:rPr>
          <m:t>ln</m:t>
        </m:r>
        <m:r>
          <m:t>a+</m:t>
        </m:r>
        <m:r>
          <m:rPr>
            <m:sty m:val="p"/>
          </m:rPr>
          <m:t>ln</m:t>
        </m:r>
        <m:r>
          <m:t>b=</m:t>
        </m:r>
        <m:r>
          <m:rPr>
            <m:sty m:val="p"/>
          </m:rPr>
          <m:t>ln</m:t>
        </m:r>
        <m:r>
          <m:t>(ab)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2. تفریق به تقسیم: </w:t>
      </w:r>
      <m:oMath>
        <m:r>
          <m:rPr>
            <m:sty m:val="p"/>
          </m:rPr>
          <m:t>ln</m:t>
        </m:r>
        <m:r>
          <m:t>a−</m:t>
        </m:r>
        <m:r>
          <m:rPr>
            <m:sty m:val="p"/>
          </m:rPr>
          <m:t>ln</m:t>
        </m:r>
        <m:r>
          <m:t>b=</m:t>
        </m:r>
        <m:r>
          <m:rPr>
            <m:sty m:val="p"/>
          </m:rPr>
          <m:t>ln</m:t>
        </m:r>
        <m:r>
          <m:t>(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t>)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3. تعدیل توان: </w:t>
      </w:r>
      <m:oMath>
        <m:r>
          <m:rPr>
            <m:sty m:val="p"/>
          </m:rPr>
          <m:t>ln</m:t>
        </m:r>
        <m:sSup>
          <m:e>
            <m:r>
              <m:t>a</m:t>
            </m:r>
          </m:e>
          <m:sup>
            <m:r>
              <m:t>b</m:t>
            </m:r>
          </m:sup>
        </m:sSup>
        <m:r>
          <m:t>=b</m:t>
        </m:r>
        <m:r>
          <m:rPr>
            <m:sty m:val="p"/>
          </m:rPr>
          <m:t>ln</m:t>
        </m:r>
        <m:r>
          <m:t>a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4. مقادیر مرزی: </w:t>
      </w:r>
      <m:oMath>
        <m:r>
          <m:rPr>
            <m:sty m:val="p"/>
          </m:rPr>
          <m:t>ln</m:t>
        </m:r>
        <m:r>
          <m:t>1=0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، </w:t>
      </w:r>
      <m:oMath>
        <m:r>
          <m:rPr>
            <m:sty m:val="p"/>
          </m:rPr>
          <m:t>ln</m:t>
        </m:r>
        <m:r>
          <m:t>e=1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، </w:t>
      </w:r>
      <m:oMath>
        <m:r>
          <m:rPr>
            <m:sty m:val="p"/>
          </m:rPr>
          <m:t>ln</m:t>
        </m:r>
        <m:r>
          <m:t>0→−∞</m:t>
        </m:r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ابزارهای حذف اپراتور در معادلات دیفرانسیل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طبق [SOURCE_IMAGE_1]، دو رابطه زیر برای استخراج متغیر از درون لگاریتم حیاتی هستند:</w:t>
      </w:r>
    </w:p>
    <w:p>
      <w:pPr>
        <w:spacing w:after="140" w:line="324" w:lineRule="auto"/>
        <w:bidi w:val="1"/>
      </w:pPr>
      <w:r>
        <w:rPr>
          <w:rFonts w:ascii="Calibri" w:hAnsi="Calibri" w:eastAsia="Calibri" w:cs="Calibri"/>
          <w:b w:val="0"/>
          <w:i w:val="0"/>
          <w:sz w:val="24"/>
        </w:rPr>
        <w:t xml:space="preserve">*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u</m:t>
            </m:r>
          </m:sup>
        </m:sSup>
        <m:r>
          <m:t>=u</m:t>
        </m:r>
      </m:oMath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* </w:t>
      </w:r>
      <m:oMath>
        <m:sSup>
          <m:e>
            <m:r>
              <m:t>e</m:t>
            </m:r>
          </m:e>
          <m:sup>
            <m:r>
              <m:t>−</m:t>
            </m:r>
            <m:r>
              <m:rPr>
                <m:sty m:val="p"/>
              </m:rPr>
              <m:t>ln</m:t>
            </m:r>
            <m:r>
              <m:t>u</m:t>
            </m:r>
          </m:sup>
        </m:sSup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u</m:t>
            </m:r>
          </m:den>
        </m:f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لگاریتم با تبدیل عملیات توان و ضرب به جمع و ضریب، "خصلت عملیاتی" محاسبات سنگین را به سطحی ساده‌تر تنزل می‌دهد؛ این ویژگی در حل معادلات دیفرانسیل مرتبه اول خطی (روش عامل انتگرال‌ساز) نقشی تعیین‌کننده دارد.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۴. مثلثات و توابع هیپربولیک: تحلیل تناوب و نوسان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مدل‌سازی ارتعاشات و پدیده‌های نوسانی بدون توابع مثلثاتی و هیپربولیک امکان‌پذیر نیست. بر اساس [SOURCE_IMAGE_2]، روابط زیر مرجع اصلی تحلیل هستند: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روابط پایه و مسیر استدلال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 xml:space="preserve">* نسبت‌ها: </w:t>
      </w:r>
      <m:oMath>
        <m:r>
          <m:rPr>
            <m:sty m:val="p"/>
          </m:rPr>
          <m:t>sec</m:t>
        </m:r>
        <m:r>
          <m:t>θ=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، </w:t>
      </w:r>
      <m:oMath>
        <m:r>
          <m:rPr>
            <m:sty m:val="p"/>
          </m:rPr>
          <m:t>csc</m:t>
        </m:r>
        <m:r>
          <m:t>θ=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، </w:t>
      </w:r>
      <m:oMath>
        <m:r>
          <m:rPr>
            <m:sty m:val="p"/>
          </m:rPr>
          <m:t>tan</m:t>
        </m:r>
        <m:r>
          <m:t>θ=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* قضیه فیثاغورث و مشتقات آن:</w:t>
      </w:r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  *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θ=1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  * با تقسیم طرفین بر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θ:1+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  * با تقسیم طرفین بر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θ:1+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θ=</m:t>
        </m:r>
        <m:sSup>
          <m:e>
            <m:r>
              <m:rPr>
                <m:sty m:val="p"/>
              </m:rPr>
              <m:t>csc</m:t>
            </m:r>
          </m:e>
          <m:sup>
            <m:r>
              <m:t>2</m:t>
            </m:r>
          </m:sup>
        </m:sSup>
        <m:r>
          <m:t>θ</m:t>
        </m:r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فرمول‌های کمان مضاعف و تبدیل (مثلثاتی و هیپربولیک)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طبق [SOURCE_IMAGE_2]، روابط زیر برای کاهش درجه توابع ضروری هستند: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* مثلثاتی:</w:t>
      </w:r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  * </w:t>
      </w:r>
      <m:oMath>
        <m:r>
          <m:rPr>
            <m:sty m:val="p"/>
          </m:rPr>
          <m:t>sin</m:t>
        </m:r>
        <m:r>
          <m:t>2θ=2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</m:oMath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  * </w:t>
      </w:r>
      <m:oMath>
        <m:r>
          <m:rPr>
            <m:sty m:val="p"/>
          </m:rPr>
          <m:t>cos</m:t>
        </m:r>
        <m:r>
          <m:t>2θ=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θ=2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θ−1=1−2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  * تبدیل جمع به ضرب: </w:t>
      </w:r>
      <m:oMath>
        <m:r>
          <m:rPr>
            <m:sty m:val="p"/>
          </m:rPr>
          <m:t>sin</m:t>
        </m:r>
        <m:r>
          <m:t>(α±β)=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β±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sin</m:t>
        </m:r>
        <m:r>
          <m:t>β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* هیپربولیک (هذلولی):</w:t>
      </w:r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  * </w:t>
      </w:r>
      <m:oMath>
        <m:sSup>
          <m:e>
            <m:r>
              <m:rPr>
                <m:sty m:val="p"/>
              </m:rPr>
              <m:t>cosh</m:t>
            </m:r>
          </m:e>
          <m:sup>
            <m:r>
              <m:t>2</m:t>
            </m:r>
          </m:sup>
        </m:sSup>
        <m:r>
          <m:t>x−</m:t>
        </m:r>
        <m:sSup>
          <m:e>
            <m:r>
              <m:rPr>
                <m:sty m:val="p"/>
              </m:rPr>
              <m:t>sinh</m:t>
            </m:r>
          </m:e>
          <m:sup>
            <m:r>
              <m:t>2</m:t>
            </m:r>
          </m:sup>
        </m:sSup>
        <m:r>
          <m:t>x=1</m:t>
        </m:r>
      </m:oMath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  * </w:t>
      </w:r>
      <m:oMath>
        <m:r>
          <m:rPr>
            <m:sty m:val="p"/>
          </m:rPr>
          <m:t>sinh</m:t>
        </m:r>
        <m:r>
          <m:t>2x=2</m:t>
        </m:r>
        <m:r>
          <m:rPr>
            <m:sty m:val="p"/>
          </m:rPr>
          <m:t>sinh</m:t>
        </m:r>
        <m:r>
          <m:t>x</m:t>
        </m:r>
        <m:r>
          <m:rPr>
            <m:sty m:val="p"/>
          </m:rPr>
          <m:t>cosh</m:t>
        </m:r>
        <m:r>
          <m:t>x</m:t>
        </m:r>
      </m:oMath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  * </w:t>
      </w:r>
      <m:oMath>
        <m:r>
          <m:rPr>
            <m:sty m:val="p"/>
          </m:rPr>
          <m:t>cosh</m:t>
        </m:r>
        <m:r>
          <m:t>2x=</m:t>
        </m:r>
        <m:sSup>
          <m:e>
            <m:r>
              <m:rPr>
                <m:sty m:val="p"/>
              </m:rPr>
              <m:t>cosh</m:t>
            </m:r>
          </m:e>
          <m:sup>
            <m:r>
              <m:t>2</m:t>
            </m:r>
          </m:sup>
        </m:sSup>
        <m:r>
          <m:t>x+</m:t>
        </m:r>
        <m:sSup>
          <m:e>
            <m:r>
              <m:rPr>
                <m:sty m:val="p"/>
              </m:rPr>
              <m:t>sinh</m:t>
            </m:r>
          </m:e>
          <m:sup>
            <m:r>
              <m:t>2</m:t>
            </m:r>
          </m:sup>
        </m:sSup>
        <m:r>
          <m:t>x</m:t>
        </m:r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قابلیت تعویض‌پذیری این روابط، به مهندس اجازه می‌دهد پیش از مشتق‌گیری یا انتگرال‌گیری، فرم تابع را برای بهینه‌سازی محاسباتی تغییر دهد. این امر در تحلیل "پاسخ فرکانسی" سیستم‌ها حیاتی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۵. سیستم اعداد: از اصول حقیقی تا میدان مختلط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گذار از اعداد حقیقی به مختلط، ضرورتی برای حل معادلات با ریشه‌های منفی و تحلیل فازورهاست.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اصول پنج‌گانه پئانو (Peano Axioms)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بر اساس [SOURCE_IMAGE_20]، ساختار اعداد طبیعی (بنای اعداد حقیقی) بر ۵ اصل استوار است: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1. عدد ۱ عضوی از مجموعه اعداد طبیعی (N) است.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2. هر عضو n در N دارای یک "عضو بعدی" (Successor) منحصربه‌فرد است.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3. عدد ۱ "عضو بعدی" هیچ عضوی در N نیست.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4. اگر دو عضو دارای بعدی‌های برابر باشند، خود آن دو عضو با هم برابرند (</w:t>
      </w:r>
      <m:oMath>
        <m:r>
          <m:t>x+1=y+1⟹x=y</m:t>
        </m:r>
      </m:oMath>
      <w:r>
        <w:rPr>
          <w:rFonts w:ascii="Calibri" w:hAnsi="Calibri" w:eastAsia="Calibri" w:cs="Calibri"/>
          <w:b w:val="0"/>
          <w:i w:val="0"/>
          <w:sz w:val="24"/>
        </w:rPr>
        <w:t>).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5. اصل استقرا: اگر حکمی برای ۱ درست باشد و از درستی آن برای n، درستی برای n+1 نتیجه شود، حکم برای تمام N درست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میدان اعداد مختلط و میان‌برهای محاسباتی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طبق [SOURCE_IMAGE_5] تا [SOURCE_IMAGE_17]: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 xml:space="preserve">* چرخه توان‌های </w:t>
      </w:r>
      <m:oMath>
        <m:r>
          <m:t>i:</m:t>
        </m:r>
        <m:sSup>
          <m:e>
            <m:r>
              <m:t>i</m:t>
            </m:r>
          </m:e>
          <m:sup>
            <m:r>
              <m:t>1</m:t>
            </m:r>
          </m:sup>
        </m:sSup>
        <m:r>
          <m:t>=i,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=−1,</m:t>
        </m:r>
        <m:sSup>
          <m:e>
            <m:r>
              <m:t>i</m:t>
            </m:r>
          </m:e>
          <m:sup>
            <m:r>
              <m:t>3</m:t>
            </m:r>
          </m:sup>
        </m:sSup>
        <m:r>
          <m:t>=−i,</m:t>
        </m:r>
        <m:sSup>
          <m:e>
            <m:r>
              <m:t>i</m:t>
            </m:r>
          </m:e>
          <m:sup>
            <m:r>
              <m:t>4</m:t>
            </m:r>
          </m:sup>
        </m:sSup>
        <m:r>
          <m:t>=1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(تکرار در مضارب ۴).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نمایش قطبی و دموآور: </w:t>
      </w:r>
      <m:oMath>
        <m:r>
          <m:t>Z=r(</m:t>
        </m:r>
        <m:r>
          <m:rPr>
            <m:sty m:val="p"/>
          </m:rPr>
          <m:t>cos</m:t>
        </m:r>
        <m:r>
          <m:t>θ+i</m:t>
        </m:r>
        <m:r>
          <m:rPr>
            <m:sty m:val="p"/>
          </m:rPr>
          <m:t>sin</m:t>
        </m:r>
        <m:r>
          <m:t>θ)⟹</m:t>
        </m:r>
        <m:sSup>
          <m:e>
            <m:r>
              <m:t>Z</m:t>
            </m:r>
          </m:e>
          <m:sup>
            <m:r>
              <m:t>n</m:t>
            </m:r>
          </m:sup>
        </m:sSup>
        <m: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t>(</m:t>
        </m:r>
        <m:r>
          <m:rPr>
            <m:sty m:val="p"/>
          </m:rPr>
          <m:t>cos</m:t>
        </m:r>
        <m:r>
          <m:t>nθ+i</m:t>
        </m:r>
        <m:r>
          <m:rPr>
            <m:sty m:val="p"/>
          </m:rPr>
          <m:t>sin</m:t>
        </m:r>
        <m:r>
          <m:t>nθ)</m:t>
        </m:r>
      </m:oMath>
      <w:r>
        <w:rPr>
          <w:rFonts w:ascii="Calibri" w:hAnsi="Calibri" w:eastAsia="Calibri" w:cs="Calibri"/>
          <w:b w:val="0"/>
          <w:i w:val="0"/>
          <w:sz w:val="24"/>
        </w:rPr>
        <w:t>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دوران حول نقطه دلخواه Z_0: برای دوران نقطه Z حول Z_0 به اندازه زاویه </w:t>
      </w:r>
      <m:oMath>
        <m:r>
          <m:t>α:</m:t>
        </m:r>
        <m:sSup>
          <m:e>
            <m:r>
              <m:t>Z</m:t>
            </m:r>
          </m:e>
          <m:sup>
            <m:r>
              <m:t>′</m:t>
            </m:r>
          </m:sup>
        </m:sSup>
        <m:r>
          <m:t>=(</m:t>
        </m:r>
        <m:r>
          <m:rPr>
            <m:sty m:val="p"/>
          </m:rPr>
          <m:t>cos</m:t>
        </m:r>
        <m:r>
          <m:t>α+i</m:t>
        </m:r>
        <m:r>
          <m:rPr>
            <m:sty m:val="p"/>
          </m:rPr>
          <m:t>sin</m:t>
        </m:r>
        <m:r>
          <m:t>α)(Z−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t>)+</m:t>
        </m:r>
        <m:sSub>
          <m:e>
            <m:r>
              <m:t>Z</m:t>
            </m:r>
          </m:e>
          <m:sub>
            <m:r>
              <m:t>0</m:t>
            </m:r>
          </m:sub>
        </m:sSub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اعداد مختلط، دوران در صفحه را به ضرب جبری تبدیل می‌کنند. این مفهوم، سنگ‌بنای تحلیل فازورها در مهندسی برق و درک قطب‌ها و صفرها در تحلیل پایداری سیستم‌های کنترل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۶. رفتار توابع: حد، پیوستگی و دنباله‌ها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درک رفتار حدی، پیش‌نیاز تحلیل پایداری و رفتارهای مجانبی سیستم‌های مهندسی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قضایای تضمین‌کننده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* قضیه فشردگی (Squeeze): ابزاری برای محاسبه حدود مبهم از طریق محصور کردن تابع.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قضیه بولتزانو و مقدار میانی: اگر </w:t>
      </w:r>
      <m:oMath>
        <m:r>
          <m:t>f(a)·f(b)&lt;0</m:t>
        </m:r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و تابع پیوسته باشد، وجود حداقل یک ریشه در بازه (a, b) تضمین شده است [SOURCE_IMAGE_48].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حد مثلثاتی مرجع: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t>=1</m:t>
        </m:r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قضایای پیوستگی، مبنای "تحلیل مجانبی" (Asymptotic Behavior) هستند که به مهندس اجازه می‌دهد رفتار سیستم را در زمان‌های بسیار بزرگ یا فرکانس‌های بسیار بالا پیش‌بینی کند.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۷. حساب دیفرانسیل: نرخ تغییرات و مشتق‌گیری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مشتق، ابزار خطی‌سازی پدیده‌های غیرخطی در همسایگی یک نقطه عملیاتی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مرجع فرمول‌های مشتق (u تابعی از x است)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 xml:space="preserve">* توابع پایه: </w:t>
      </w:r>
      <m:oMath>
        <m:r>
          <m:t>(</m:t>
        </m:r>
        <m:sSup>
          <m:e>
            <m:r>
              <m:t>u</m:t>
            </m:r>
          </m:e>
          <m:sup>
            <m:r>
              <m:t>n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=n</m:t>
        </m:r>
        <m:sSup>
          <m:e>
            <m:r>
              <m:t>u</m:t>
            </m:r>
          </m:e>
          <m:sup>
            <m:r>
              <m:t>n−1</m:t>
            </m:r>
          </m:sup>
        </m:sSup>
        <m:sSup>
          <m:e>
            <m:r>
              <m:t>u</m:t>
            </m:r>
          </m:e>
          <m:sup>
            <m:r>
              <m:t>′</m:t>
            </m:r>
          </m:sup>
        </m:sSup>
        <m:r>
          <m:t>|(</m:t>
        </m:r>
        <m:sSup>
          <m:e>
            <m:r>
              <m:t>e</m:t>
            </m:r>
          </m:e>
          <m:sup>
            <m:r>
              <m:t>u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  <m:sSup>
          <m:e>
            <m:r>
              <m:t>u</m:t>
            </m:r>
          </m:e>
          <m:sup>
            <m:r>
              <m:t>′</m:t>
            </m:r>
          </m:sup>
        </m:sSup>
        <m:r>
          <m:t>|(</m:t>
        </m:r>
        <m:r>
          <m:rPr>
            <m:sty m:val="p"/>
          </m:rPr>
          <m:t>ln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u</m:t>
            </m:r>
          </m:den>
        </m:f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توابع مثلثاتی معکوس: </w:t>
      </w:r>
      <m:oMath>
        <m:r>
          <m:t>(Arcsinu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1−</m:t>
                </m:r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|(Arctanu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1+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⚡ میان‌برهای پرکاربرد (Reference Shortcuts)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 xml:space="preserve">طبق [SOURCE_IMAGE_3]، مشتق دو تابع زیر به دلیل تکرار بالا باید در ذهن تثبیت شوند: ۱. </w:t>
      </w:r>
      <m:oMath>
        <m: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r>
              <m:t>−1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B Nazanin" w:hAnsi="B Nazanin" w:eastAsia="B Nazanin" w:cs="B Nazanin"/>
          <w:b w:val="0"/>
          <w:i w:val="0"/>
          <w:sz w:val="24"/>
        </w:rPr>
        <w:t xml:space="preserve"> ۲. </w:t>
      </w:r>
      <m:oMath>
        <m:r>
          <m:t>(</m:t>
        </m:r>
        <m:rad>
          <m:radPr>
            <m:degHide m:val="on"/>
          </m:radPr>
          <m:deg/>
          <m:e>
            <m:r>
              <m:t>x</m:t>
            </m:r>
          </m:e>
        </m:rad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مشتق‌گیری ابزار اصلی در "تحلیل حساسیت" است؛ یعنی بررسی اینکه تغییرات کوچک در پارامترهای ورودی، چه تأثیری بر خروجی سیستم یا پایداری آن خواهد داشت.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۸. حساب انتگرال: تجمیع و مساحت تحت منحنی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انتگرال‌گیری، فرآیند معکوس مشتق و روش اصلی حل معادلات دیفرانسیل از طریق جداسازی متغیرهاست.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چهار انتگرال طلایی (مرجع سریع مهندسی)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بر اساس توصیه‌های حرفه‌ای [SOURCE_IMAGE_4]، حفظ این چهار فرم برای تسریع در حل مسائل ضروری است: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m:rPr>
                    <m:nor/>
                  </m:rPr>
                  <m:t>1.</m:t>
                </m:r>
                <m:r>
                  <m:t>∫</m:t>
                </m:r>
                <m:f>
                  <m:fPr>
                    <m:type m:val="bar"/>
                  </m:fPr>
                  <m:num>
                    <m:r>
                      <m:t>du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−</m:t>
                        </m:r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m:t>=</m:t>
                </m:r>
                <m:r>
                  <m:rPr>
                    <m:sty m:val="p"/>
                  </m:rPr>
                  <m:t>arcsin</m:t>
                </m:r>
                <m:r>
                  <m:t>(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a</m:t>
                    </m:r>
                  </m:den>
                </m:f>
                <m:r>
                  <m:t>)</m:t>
                </m:r>
                <m:r>
                  <m:t>+c</m:t>
                </m:r>
              </m:e>
              <m:e>
                <m:r>
                  <m:rPr>
                    <m:nor/>
                  </m:rPr>
                  <m:t>2.</m:t>
                </m:r>
                <m:r>
                  <m:t>∫</m:t>
                </m:r>
                <m:f>
                  <m:fPr>
                    <m:type m:val="bar"/>
                  </m:fPr>
                  <m:num>
                    <m:r>
                      <m:t>du</m:t>
                    </m:r>
                  </m:num>
                  <m:den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a</m:t>
                    </m:r>
                  </m:den>
                </m:f>
                <m:r>
                  <m:rPr>
                    <m:sty m:val="p"/>
                  </m:rPr>
                  <m:t>arctan</m:t>
                </m:r>
                <m:r>
                  <m:t>(</m:t>
                </m:r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a</m:t>
                    </m:r>
                  </m:den>
                </m:f>
                <m:r>
                  <m:t>)</m:t>
                </m:r>
                <m:r>
                  <m:t>+c</m:t>
                </m:r>
              </m:e>
            </m:mr>
            <m:mr>
              <m:e>
                <m:r>
                  <m:rPr>
                    <m:nor/>
                  </m:rPr>
                  <m:t>3.</m:t>
                </m:r>
                <m:r>
                  <m:t>∫</m:t>
                </m:r>
                <m:f>
                  <m:fPr>
                    <m:type m:val="bar"/>
                  </m:fPr>
                  <m:num>
                    <m:r>
                      <m:t>du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+</m:t>
                        </m:r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m:t>=</m:t>
                </m:r>
                <m:r>
                  <m:rPr>
                    <m:sty m:val="p"/>
                  </m:rPr>
                  <m:t>ln</m:t>
                </m:r>
                <m:r>
                  <m:t>|u+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+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t>|+c</m:t>
                </m:r>
              </m:e>
              <m:e>
                <m:r>
                  <m:rPr>
                    <m:nor/>
                  </m:rPr>
                  <m:t>4.</m:t>
                </m:r>
                <m:r>
                  <m:t>∫</m:t>
                </m:r>
                <m:f>
                  <m:fPr>
                    <m:type m:val="bar"/>
                  </m:fPr>
                  <m:num>
                    <m:r>
                      <m:t>du</m:t>
                    </m:r>
                  </m:num>
                  <m:den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2a</m:t>
                    </m:r>
                  </m:den>
                </m:f>
                <m:r>
                  <m:rPr>
                    <m:sty m:val="p"/>
                  </m:rPr>
                  <m:t>ln</m:t>
                </m:r>
                <m:r>
                  <m:t>|</m:t>
                </m:r>
                <m:f>
                  <m:fPr>
                    <m:type m:val="bar"/>
                  </m:fPr>
                  <m:num>
                    <m:r>
                      <m:t>a+u</m:t>
                    </m:r>
                  </m:num>
                  <m:den>
                    <m:r>
                      <m:t>a−u</m:t>
                    </m:r>
                  </m:den>
                </m:f>
                <m:r>
                  <m:t>|</m:t>
                </m:r>
                <m:r>
                  <m:t>+c</m:t>
                </m:r>
              </m:e>
            </m:mr>
          </m:m>
        </m:oMath>
      </m:oMathPara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انتگرال‌های خاص کاربردی</w:t>
      </w:r>
    </w:p>
    <w:p>
      <w:pPr>
        <w:spacing w:after="140" w:line="324" w:lineRule="auto"/>
        <w:bidi w:val="1"/>
      </w:pPr>
      <w:r>
        <w:rPr>
          <w:rFonts w:ascii="Calibri" w:hAnsi="Calibri" w:eastAsia="Calibri" w:cs="Calibri"/>
          <w:b w:val="0"/>
          <w:i w:val="0"/>
          <w:sz w:val="24"/>
        </w:rPr>
        <w:t xml:space="preserve">* </w:t>
      </w:r>
      <m:oMath>
        <m:r>
          <m:t>∫</m:t>
        </m:r>
        <m:r>
          <m:rPr>
            <m:sty m:val="p"/>
          </m:rPr>
          <m:t>ln</m:t>
        </m:r>
        <m:r>
          <m:t>x</m:t>
        </m:r>
        <m:r>
          <m:t>dx=x</m:t>
        </m:r>
        <m:r>
          <m:rPr>
            <m:sty m:val="p"/>
          </m:rPr>
          <m:t>ln</m:t>
        </m:r>
        <m:r>
          <m:t>x−x+c</m:t>
        </m:r>
      </m:oMath>
      <w:r>
        <w:br/>
      </w:r>
      <w:r>
        <w:rPr>
          <w:rFonts w:ascii="Calibri" w:hAnsi="Calibri" w:eastAsia="Calibri" w:cs="Calibri"/>
          <w:b w:val="0"/>
          <w:i w:val="0"/>
          <w:sz w:val="24"/>
        </w:rPr>
        <w:t xml:space="preserve">* </w:t>
      </w:r>
      <m:oMath>
        <m: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t>dx=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t>(</m:t>
        </m:r>
        <m:r>
          <m:rPr>
            <m:sty m:val="p"/>
          </m:rPr>
          <m:t>sin</m:t>
        </m:r>
        <m:r>
          <m:t>x−</m:t>
        </m:r>
        <m:r>
          <m:rPr>
            <m:sty m:val="p"/>
          </m:rPr>
          <m:t>cos</m:t>
        </m:r>
        <m:r>
          <m:t>x)+c</m:t>
        </m:r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این چهار فرم طلایی، "خروجی‌های استاندارد" روش‌های جایگذاری در تحلیل مدارهای RL/RC و معادلات دیفرانسیل مرتبه دوم هستند. تسلط بر آن‌ها، زمان حل مسئله را در آزمون‌ها و پروژه‌های تحلیلی به نصف کاهش می‌دهد.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این مستند، نقشه‌ای راهبردی برای عبور از پیچیدگی‌های محاسباتی مهندسی است. استفاده هوشمندانه از این ابزارها، وجه تمایز یک تحلیل‌گر خبره از یک محاسب معمولی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