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69E" w:rsidRDefault="00D3469E" w:rsidP="00D3469E">
      <w:r>
        <w:t>14. Tablet Gynosave</w:t>
      </w:r>
    </w:p>
    <w:tbl>
      <w:tblPr>
        <w:tblStyle w:val="TableGrid"/>
        <w:tblW w:w="0" w:type="auto"/>
        <w:tblLook w:val="04A0" w:firstRow="1" w:lastRow="0" w:firstColumn="1" w:lastColumn="0" w:noHBand="0" w:noVBand="1"/>
      </w:tblPr>
      <w:tblGrid>
        <w:gridCol w:w="2711"/>
        <w:gridCol w:w="5838"/>
      </w:tblGrid>
      <w:tr w:rsidR="004D47D8" w:rsidTr="00C050F9">
        <w:trPr>
          <w:trHeight w:val="576"/>
        </w:trPr>
        <w:tc>
          <w:tcPr>
            <w:tcW w:w="2711" w:type="dxa"/>
          </w:tcPr>
          <w:p w:rsidR="004D47D8" w:rsidRPr="00BE01AE" w:rsidRDefault="004D47D8" w:rsidP="00C050F9">
            <w:pPr>
              <w:rPr>
                <w:rFonts w:ascii="Poppins" w:hAnsi="Poppins" w:cs="Poppins"/>
                <w:caps/>
                <w:color w:val="222222"/>
                <w:sz w:val="29"/>
                <w:szCs w:val="29"/>
                <w:shd w:val="clear" w:color="auto" w:fill="FFFFFF"/>
              </w:rPr>
            </w:pPr>
            <w:r w:rsidRPr="00BE01AE">
              <w:rPr>
                <w:rFonts w:ascii="Poppins" w:hAnsi="Poppins" w:cs="Poppins"/>
                <w:caps/>
                <w:color w:val="222222"/>
                <w:sz w:val="29"/>
                <w:szCs w:val="29"/>
                <w:shd w:val="clear" w:color="auto" w:fill="FFFFFF"/>
              </w:rPr>
              <w:t>NAME</w:t>
            </w:r>
          </w:p>
        </w:tc>
        <w:tc>
          <w:tcPr>
            <w:tcW w:w="5838" w:type="dxa"/>
          </w:tcPr>
          <w:p w:rsidR="004D47D8" w:rsidRPr="00BE01AE" w:rsidRDefault="00EA08A9" w:rsidP="00C050F9">
            <w:r>
              <w:rPr>
                <w:rFonts w:ascii="Poppins" w:hAnsi="Poppins" w:cs="Poppins"/>
                <w:caps/>
                <w:color w:val="222222"/>
                <w:sz w:val="29"/>
                <w:szCs w:val="29"/>
                <w:shd w:val="clear" w:color="auto" w:fill="FFFFFF"/>
              </w:rPr>
              <w:t>Gynosave</w:t>
            </w:r>
          </w:p>
        </w:tc>
      </w:tr>
      <w:tr w:rsidR="004D47D8" w:rsidTr="00C050F9">
        <w:trPr>
          <w:trHeight w:val="576"/>
        </w:trPr>
        <w:tc>
          <w:tcPr>
            <w:tcW w:w="2711" w:type="dxa"/>
          </w:tcPr>
          <w:p w:rsidR="004D47D8" w:rsidRPr="00BE01AE" w:rsidRDefault="004D47D8" w:rsidP="00C050F9">
            <w:r w:rsidRPr="00BE01AE">
              <w:rPr>
                <w:rFonts w:ascii="Poppins" w:hAnsi="Poppins" w:cs="Poppins"/>
                <w:caps/>
                <w:color w:val="222222"/>
                <w:sz w:val="29"/>
                <w:szCs w:val="29"/>
                <w:shd w:val="clear" w:color="auto" w:fill="FFFFFF"/>
              </w:rPr>
              <w:t>GENERIC NAME</w:t>
            </w:r>
          </w:p>
        </w:tc>
        <w:tc>
          <w:tcPr>
            <w:tcW w:w="5838" w:type="dxa"/>
          </w:tcPr>
          <w:p w:rsidR="004D47D8" w:rsidRPr="00BE01AE" w:rsidRDefault="004D47D8" w:rsidP="00C050F9">
            <w:r w:rsidRPr="00BE01AE">
              <w:rPr>
                <w:rFonts w:ascii="Poppins" w:hAnsi="Poppins" w:cs="Poppins"/>
                <w:caps/>
                <w:color w:val="222222"/>
                <w:sz w:val="29"/>
                <w:szCs w:val="29"/>
                <w:shd w:val="clear" w:color="auto" w:fill="FFFFFF"/>
              </w:rPr>
              <w:t>SQUARE PHARMACEUTICALS LIMITED</w:t>
            </w:r>
          </w:p>
        </w:tc>
      </w:tr>
      <w:tr w:rsidR="004D47D8" w:rsidTr="00C050F9">
        <w:trPr>
          <w:trHeight w:val="576"/>
        </w:trPr>
        <w:tc>
          <w:tcPr>
            <w:tcW w:w="2711" w:type="dxa"/>
          </w:tcPr>
          <w:p w:rsidR="004D47D8" w:rsidRPr="00BE01AE" w:rsidRDefault="004D47D8" w:rsidP="00C050F9">
            <w:r w:rsidRPr="00BE01AE">
              <w:rPr>
                <w:rFonts w:ascii="Poppins" w:hAnsi="Poppins" w:cs="Poppins"/>
                <w:caps/>
                <w:color w:val="222222"/>
                <w:sz w:val="29"/>
                <w:szCs w:val="29"/>
                <w:shd w:val="clear" w:color="auto" w:fill="FFFFFF"/>
              </w:rPr>
              <w:t>STRENGTH</w:t>
            </w:r>
          </w:p>
        </w:tc>
        <w:tc>
          <w:tcPr>
            <w:tcW w:w="5838" w:type="dxa"/>
          </w:tcPr>
          <w:p w:rsidR="004D47D8" w:rsidRPr="00BE01AE" w:rsidRDefault="004D47D8" w:rsidP="00C050F9">
            <w:r w:rsidRPr="00BE01AE">
              <w:rPr>
                <w:rFonts w:ascii="Poppins" w:hAnsi="Poppins" w:cs="Poppins"/>
                <w:caps/>
                <w:color w:val="222222"/>
                <w:sz w:val="29"/>
                <w:szCs w:val="29"/>
                <w:shd w:val="clear" w:color="auto" w:fill="FFFFFF"/>
              </w:rPr>
              <w:t>15 MG</w:t>
            </w:r>
          </w:p>
        </w:tc>
      </w:tr>
      <w:tr w:rsidR="004D47D8" w:rsidTr="00C050F9">
        <w:trPr>
          <w:trHeight w:val="555"/>
        </w:trPr>
        <w:tc>
          <w:tcPr>
            <w:tcW w:w="2711" w:type="dxa"/>
          </w:tcPr>
          <w:p w:rsidR="004D47D8" w:rsidRPr="00BE01AE" w:rsidRDefault="004D47D8" w:rsidP="00C050F9">
            <w:r w:rsidRPr="00BE01AE">
              <w:rPr>
                <w:rFonts w:ascii="Poppins" w:hAnsi="Poppins" w:cs="Poppins"/>
                <w:caps/>
                <w:color w:val="222222"/>
                <w:sz w:val="29"/>
                <w:szCs w:val="29"/>
                <w:shd w:val="clear" w:color="auto" w:fill="FFFFFF"/>
              </w:rPr>
              <w:t>CATEGORY</w:t>
            </w:r>
          </w:p>
        </w:tc>
        <w:tc>
          <w:tcPr>
            <w:tcW w:w="5838" w:type="dxa"/>
          </w:tcPr>
          <w:p w:rsidR="004D47D8" w:rsidRPr="00BE01AE" w:rsidRDefault="00EA08A9" w:rsidP="00C050F9">
            <w:r>
              <w:rPr>
                <w:rFonts w:ascii="Poppins" w:hAnsi="Poppins" w:cs="Poppins"/>
                <w:caps/>
                <w:color w:val="222222"/>
                <w:sz w:val="29"/>
                <w:szCs w:val="29"/>
                <w:shd w:val="clear" w:color="auto" w:fill="FFFFFF"/>
              </w:rPr>
              <w:t>Tablet</w:t>
            </w:r>
          </w:p>
        </w:tc>
      </w:tr>
      <w:tr w:rsidR="004D47D8" w:rsidTr="00C050F9">
        <w:trPr>
          <w:trHeight w:val="576"/>
        </w:trPr>
        <w:tc>
          <w:tcPr>
            <w:tcW w:w="2711" w:type="dxa"/>
          </w:tcPr>
          <w:p w:rsidR="004D47D8" w:rsidRPr="00BE01AE" w:rsidRDefault="004D47D8" w:rsidP="00C050F9">
            <w:r w:rsidRPr="00BE01AE">
              <w:rPr>
                <w:rFonts w:ascii="Poppins" w:hAnsi="Poppins" w:cs="Poppins"/>
                <w:caps/>
                <w:color w:val="222222"/>
                <w:sz w:val="29"/>
                <w:szCs w:val="29"/>
                <w:shd w:val="clear" w:color="auto" w:fill="FFFFFF"/>
              </w:rPr>
              <w:t>PRICE</w:t>
            </w:r>
          </w:p>
        </w:tc>
        <w:tc>
          <w:tcPr>
            <w:tcW w:w="5838" w:type="dxa"/>
          </w:tcPr>
          <w:p w:rsidR="004D47D8" w:rsidRPr="00BE01AE" w:rsidRDefault="00EA08A9" w:rsidP="00C050F9">
            <w:pPr>
              <w:rPr>
                <w:rFonts w:ascii="Poppins" w:hAnsi="Poppins" w:cs="Poppins"/>
                <w:caps/>
                <w:color w:val="222222"/>
              </w:rPr>
            </w:pPr>
            <w:r>
              <w:rPr>
                <w:rFonts w:ascii="Poppins" w:hAnsi="Poppins" w:cs="Poppins"/>
                <w:caps/>
                <w:color w:val="222222"/>
                <w:sz w:val="29"/>
                <w:szCs w:val="29"/>
                <w:shd w:val="clear" w:color="auto" w:fill="FFFFFF"/>
              </w:rPr>
              <w:t xml:space="preserve">50 capsules 800.00 </w:t>
            </w:r>
            <w:r w:rsidRPr="00EA08A9">
              <w:rPr>
                <w:rFonts w:ascii="Poppins" w:hAnsi="Poppins" w:cs="Poppins"/>
                <w:caps/>
                <w:color w:val="222222"/>
                <w:sz w:val="29"/>
                <w:szCs w:val="29"/>
                <w:shd w:val="clear" w:color="auto" w:fill="FFFFFF"/>
              </w:rPr>
              <w:t>TK.</w:t>
            </w:r>
          </w:p>
        </w:tc>
      </w:tr>
      <w:tr w:rsidR="004D47D8" w:rsidTr="00C050F9">
        <w:trPr>
          <w:trHeight w:val="576"/>
        </w:trPr>
        <w:tc>
          <w:tcPr>
            <w:tcW w:w="2711" w:type="dxa"/>
          </w:tcPr>
          <w:p w:rsidR="004D47D8" w:rsidRPr="00BE01AE" w:rsidRDefault="004D47D8" w:rsidP="00C050F9">
            <w:pPr>
              <w:rPr>
                <w:rFonts w:ascii="Poppins" w:hAnsi="Poppins" w:cs="Poppins"/>
                <w:caps/>
                <w:color w:val="222222"/>
                <w:sz w:val="29"/>
                <w:szCs w:val="29"/>
                <w:shd w:val="clear" w:color="auto" w:fill="FFFFFF"/>
              </w:rPr>
            </w:pPr>
            <w:r w:rsidRPr="00BE01AE">
              <w:rPr>
                <w:rFonts w:ascii="Poppins" w:hAnsi="Poppins" w:cs="Poppins"/>
                <w:caps/>
                <w:color w:val="222222"/>
                <w:sz w:val="29"/>
                <w:szCs w:val="29"/>
                <w:shd w:val="clear" w:color="auto" w:fill="FFFFFF"/>
              </w:rPr>
              <w:t>PRICE</w:t>
            </w:r>
          </w:p>
        </w:tc>
        <w:tc>
          <w:tcPr>
            <w:tcW w:w="5838" w:type="dxa"/>
          </w:tcPr>
          <w:p w:rsidR="004D47D8" w:rsidRPr="00BE01AE" w:rsidRDefault="00EA08A9" w:rsidP="00C050F9">
            <w:pPr>
              <w:rPr>
                <w:rFonts w:ascii="Poppins" w:hAnsi="Poppins" w:cs="Poppins"/>
                <w:caps/>
                <w:color w:val="222222"/>
                <w:sz w:val="29"/>
                <w:szCs w:val="29"/>
                <w:shd w:val="clear" w:color="auto" w:fill="FFFFFF"/>
              </w:rPr>
            </w:pPr>
            <w:r w:rsidRPr="00EA08A9">
              <w:rPr>
                <w:rFonts w:ascii="Poppins" w:hAnsi="Poppins" w:cs="Poppins"/>
                <w:caps/>
                <w:color w:val="222222"/>
                <w:sz w:val="29"/>
                <w:szCs w:val="29"/>
                <w:shd w:val="clear" w:color="auto" w:fill="FFFFFF"/>
              </w:rPr>
              <w:t>30 capsules 450.00 TK.</w:t>
            </w:r>
            <w:bookmarkStart w:id="0" w:name="_GoBack"/>
            <w:bookmarkEnd w:id="0"/>
          </w:p>
        </w:tc>
      </w:tr>
    </w:tbl>
    <w:p w:rsidR="00D3469E" w:rsidRDefault="00D3469E" w:rsidP="00D3469E"/>
    <w:p w:rsidR="00D3469E" w:rsidRDefault="00D3469E" w:rsidP="00D3469E">
      <w:r>
        <w:t>Rehmin</w:t>
      </w:r>
    </w:p>
    <w:p w:rsidR="00D3469E" w:rsidRDefault="00D3469E" w:rsidP="00D3469E"/>
    <w:p w:rsidR="00D3469E" w:rsidRDefault="00D3469E" w:rsidP="00D3469E">
      <w:r>
        <w:t>A unique formulation for female diseases</w:t>
      </w:r>
    </w:p>
    <w:p w:rsidR="00D3469E" w:rsidRDefault="00D3469E" w:rsidP="00D3469E"/>
    <w:p w:rsidR="00D3469E" w:rsidRDefault="00D3469E" w:rsidP="00D3469E">
      <w:r>
        <w:t>Description: Gynosave</w:t>
      </w:r>
    </w:p>
    <w:p w:rsidR="00D3469E" w:rsidRDefault="00D3469E" w:rsidP="00D3469E">
      <w:r>
        <w:t>is a unique combination of Areca catechu, Butea monosperma etc. It is very effective in leucorrhoea, weakness of uterus &amp; menstrual irregularity.</w:t>
      </w:r>
    </w:p>
    <w:p w:rsidR="00D3469E" w:rsidRDefault="00D3469E" w:rsidP="00D3469E"/>
    <w:p w:rsidR="00D3469E" w:rsidRDefault="00D3469E" w:rsidP="00D3469E">
      <w:r>
        <w:t>Composition: Each tablet contains- Areca catechu 160 mg, Bombax malabaricum 160 mg, Butea monosperma 160 mg, Wrightia tinctoria 80 mg, Withania somnifera 80 mg, Calcined stannum 10 mg, Calcined coral 10 mg, Calcined Hen's egg shell 10 mg &amp; Calcined Agate 05 mg.</w:t>
      </w:r>
    </w:p>
    <w:p w:rsidR="00D3469E" w:rsidRDefault="00D3469E" w:rsidP="00D3469E"/>
    <w:p w:rsidR="00D3469E" w:rsidRDefault="00D3469E" w:rsidP="00D3469E">
      <w:r>
        <w:t>Indication: Leucorrhoea, weakness of uterus, irregular menstruation &amp; dysmenorrhoea.</w:t>
      </w:r>
    </w:p>
    <w:p w:rsidR="00D3469E" w:rsidRDefault="00D3469E" w:rsidP="00D3469E"/>
    <w:p w:rsidR="00D3469E" w:rsidRDefault="00D3469E" w:rsidP="00D3469E">
      <w:r>
        <w:t>Dosage: 1-2 tablet(s) 2 times daily before meal or as prescribed by the registered physician.</w:t>
      </w:r>
    </w:p>
    <w:p w:rsidR="00D3469E" w:rsidRDefault="00D3469E" w:rsidP="00D3469E"/>
    <w:p w:rsidR="00D3469E" w:rsidRDefault="00D3469E" w:rsidP="00D3469E">
      <w:r>
        <w:t>Contraindication: There is no known contraindication.</w:t>
      </w:r>
    </w:p>
    <w:p w:rsidR="00D3469E" w:rsidRDefault="00D3469E" w:rsidP="00D3469E"/>
    <w:p w:rsidR="00D3469E" w:rsidRDefault="00D3469E" w:rsidP="00D3469E">
      <w:r>
        <w:t>Side Effects: No significant side effect has been observed in therapeutic dosage.</w:t>
      </w:r>
    </w:p>
    <w:p w:rsidR="00D3469E" w:rsidRDefault="00D3469E" w:rsidP="00D3469E"/>
    <w:p w:rsidR="00D3469E" w:rsidRDefault="00D3469E" w:rsidP="00D3469E">
      <w:r>
        <w:lastRenderedPageBreak/>
        <w:t>Precaution: Keep out of reach of children.</w:t>
      </w:r>
    </w:p>
    <w:p w:rsidR="00D3469E" w:rsidRDefault="00D3469E" w:rsidP="00D3469E"/>
    <w:p w:rsidR="00D3469E" w:rsidRDefault="00D3469E" w:rsidP="00D3469E">
      <w:r>
        <w:t>Storage: Store in a cool and dry place away from light.</w:t>
      </w:r>
    </w:p>
    <w:p w:rsidR="00D3469E" w:rsidRDefault="00D3469E" w:rsidP="00D3469E"/>
    <w:p w:rsidR="00D3469E" w:rsidRDefault="00D3469E" w:rsidP="00D3469E">
      <w:r>
        <w:t xml:space="preserve">Presentation: Plastic container containing 50 &amp; 30 capsules. </w:t>
      </w:r>
    </w:p>
    <w:p w:rsidR="00D3469E" w:rsidRDefault="00D3469E" w:rsidP="00D3469E"/>
    <w:p w:rsidR="009C2FD3" w:rsidRDefault="00D3469E" w:rsidP="00D3469E">
      <w:r>
        <w:t>Price: Each box 50 capsules 800.00  TK. 30 capsules 450.00 TK.</w:t>
      </w:r>
    </w:p>
    <w:sectPr w:rsidR="009C2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modern"/>
    <w:notTrueType/>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D6"/>
    <w:rsid w:val="000658D6"/>
    <w:rsid w:val="004D47D8"/>
    <w:rsid w:val="009C2FD3"/>
    <w:rsid w:val="00D3469E"/>
    <w:rsid w:val="00EA08A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737E"/>
  <w15:chartTrackingRefBased/>
  <w15:docId w15:val="{C657DE6C-A908-4009-87D9-784B39B86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Farabi ahad Tafim</dc:creator>
  <cp:keywords/>
  <dc:description/>
  <cp:lastModifiedBy>Farabi ahad Tafim</cp:lastModifiedBy>
  <cp:revision>4</cp:revision>
  <dcterms:created xsi:type="dcterms:W3CDTF">2023-05-12T03:44:00Z</dcterms:created>
  <dcterms:modified xsi:type="dcterms:W3CDTF">2023-05-12T05:05:00Z</dcterms:modified>
</cp:coreProperties>
</file>