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A66" w:rsidRDefault="00155A66" w:rsidP="00155A66">
      <w:r>
        <w:t>21. Capsule Instance-2</w:t>
      </w:r>
    </w:p>
    <w:tbl>
      <w:tblPr>
        <w:tblStyle w:val="TableGrid"/>
        <w:tblW w:w="0" w:type="auto"/>
        <w:tblLook w:val="04A0" w:firstRow="1" w:lastRow="0" w:firstColumn="1" w:lastColumn="0" w:noHBand="0" w:noVBand="1"/>
      </w:tblPr>
      <w:tblGrid>
        <w:gridCol w:w="2711"/>
        <w:gridCol w:w="5838"/>
      </w:tblGrid>
      <w:tr w:rsidR="00FE78D5" w:rsidTr="00C050F9">
        <w:trPr>
          <w:trHeight w:val="576"/>
        </w:trPr>
        <w:tc>
          <w:tcPr>
            <w:tcW w:w="2711" w:type="dxa"/>
          </w:tcPr>
          <w:p w:rsidR="00FE78D5" w:rsidRPr="00BE01AE" w:rsidRDefault="00FE78D5" w:rsidP="00C050F9">
            <w:pPr>
              <w:rPr>
                <w:rFonts w:ascii="Poppins" w:hAnsi="Poppins" w:cs="Poppins"/>
                <w:caps/>
                <w:color w:val="222222"/>
                <w:sz w:val="29"/>
                <w:szCs w:val="29"/>
                <w:shd w:val="clear" w:color="auto" w:fill="FFFFFF"/>
              </w:rPr>
            </w:pPr>
            <w:r w:rsidRPr="00BE01AE">
              <w:rPr>
                <w:rFonts w:ascii="Poppins" w:hAnsi="Poppins" w:cs="Poppins"/>
                <w:caps/>
                <w:color w:val="222222"/>
                <w:sz w:val="29"/>
                <w:szCs w:val="29"/>
                <w:shd w:val="clear" w:color="auto" w:fill="FFFFFF"/>
              </w:rPr>
              <w:t>NAME</w:t>
            </w:r>
          </w:p>
        </w:tc>
        <w:tc>
          <w:tcPr>
            <w:tcW w:w="5838" w:type="dxa"/>
          </w:tcPr>
          <w:p w:rsidR="00FE78D5" w:rsidRPr="00BE01AE" w:rsidRDefault="000447D4" w:rsidP="00C050F9">
            <w:r>
              <w:rPr>
                <w:rFonts w:ascii="Poppins" w:hAnsi="Poppins" w:cs="Poppins"/>
                <w:caps/>
                <w:color w:val="222222"/>
                <w:sz w:val="29"/>
                <w:szCs w:val="29"/>
                <w:shd w:val="clear" w:color="auto" w:fill="FFFFFF"/>
              </w:rPr>
              <w:t>Instance-2</w:t>
            </w:r>
          </w:p>
        </w:tc>
      </w:tr>
      <w:tr w:rsidR="00FE78D5" w:rsidTr="00C050F9">
        <w:trPr>
          <w:trHeight w:val="576"/>
        </w:trPr>
        <w:tc>
          <w:tcPr>
            <w:tcW w:w="2711" w:type="dxa"/>
          </w:tcPr>
          <w:p w:rsidR="00FE78D5" w:rsidRPr="00BE01AE" w:rsidRDefault="00FE78D5" w:rsidP="00C050F9">
            <w:r w:rsidRPr="00BE01AE">
              <w:rPr>
                <w:rFonts w:ascii="Poppins" w:hAnsi="Poppins" w:cs="Poppins"/>
                <w:caps/>
                <w:color w:val="222222"/>
                <w:sz w:val="29"/>
                <w:szCs w:val="29"/>
                <w:shd w:val="clear" w:color="auto" w:fill="FFFFFF"/>
              </w:rPr>
              <w:t>GENERIC NAME</w:t>
            </w:r>
          </w:p>
        </w:tc>
        <w:tc>
          <w:tcPr>
            <w:tcW w:w="5838" w:type="dxa"/>
          </w:tcPr>
          <w:p w:rsidR="00FE78D5" w:rsidRPr="00BE01AE" w:rsidRDefault="00FE78D5" w:rsidP="00C050F9">
            <w:r w:rsidRPr="00BE01AE">
              <w:rPr>
                <w:rFonts w:ascii="Poppins" w:hAnsi="Poppins" w:cs="Poppins"/>
                <w:caps/>
                <w:color w:val="222222"/>
                <w:sz w:val="29"/>
                <w:szCs w:val="29"/>
                <w:shd w:val="clear" w:color="auto" w:fill="FFFFFF"/>
              </w:rPr>
              <w:t>SQUARE PHARMACEUTICALS LIMITED</w:t>
            </w:r>
          </w:p>
        </w:tc>
      </w:tr>
      <w:tr w:rsidR="00FE78D5" w:rsidTr="00C050F9">
        <w:trPr>
          <w:trHeight w:val="576"/>
        </w:trPr>
        <w:tc>
          <w:tcPr>
            <w:tcW w:w="2711" w:type="dxa"/>
          </w:tcPr>
          <w:p w:rsidR="00FE78D5" w:rsidRPr="00BE01AE" w:rsidRDefault="00FE78D5" w:rsidP="00C050F9">
            <w:r w:rsidRPr="00BE01AE">
              <w:rPr>
                <w:rFonts w:ascii="Poppins" w:hAnsi="Poppins" w:cs="Poppins"/>
                <w:caps/>
                <w:color w:val="222222"/>
                <w:sz w:val="29"/>
                <w:szCs w:val="29"/>
                <w:shd w:val="clear" w:color="auto" w:fill="FFFFFF"/>
              </w:rPr>
              <w:t>STRENGTH</w:t>
            </w:r>
          </w:p>
        </w:tc>
        <w:tc>
          <w:tcPr>
            <w:tcW w:w="5838" w:type="dxa"/>
          </w:tcPr>
          <w:p w:rsidR="00FE78D5" w:rsidRPr="00BE01AE" w:rsidRDefault="00FE78D5" w:rsidP="00C050F9">
            <w:r w:rsidRPr="00BE01AE">
              <w:rPr>
                <w:rFonts w:ascii="Poppins" w:hAnsi="Poppins" w:cs="Poppins"/>
                <w:caps/>
                <w:color w:val="222222"/>
                <w:sz w:val="29"/>
                <w:szCs w:val="29"/>
                <w:shd w:val="clear" w:color="auto" w:fill="FFFFFF"/>
              </w:rPr>
              <w:t>15 MG</w:t>
            </w:r>
          </w:p>
        </w:tc>
      </w:tr>
      <w:tr w:rsidR="00FE78D5" w:rsidTr="00C050F9">
        <w:trPr>
          <w:trHeight w:val="555"/>
        </w:trPr>
        <w:tc>
          <w:tcPr>
            <w:tcW w:w="2711" w:type="dxa"/>
          </w:tcPr>
          <w:p w:rsidR="00FE78D5" w:rsidRPr="00BE01AE" w:rsidRDefault="00FE78D5" w:rsidP="00C050F9">
            <w:r w:rsidRPr="00BE01AE">
              <w:rPr>
                <w:rFonts w:ascii="Poppins" w:hAnsi="Poppins" w:cs="Poppins"/>
                <w:caps/>
                <w:color w:val="222222"/>
                <w:sz w:val="29"/>
                <w:szCs w:val="29"/>
                <w:shd w:val="clear" w:color="auto" w:fill="FFFFFF"/>
              </w:rPr>
              <w:t>CATEGORY</w:t>
            </w:r>
          </w:p>
        </w:tc>
        <w:tc>
          <w:tcPr>
            <w:tcW w:w="5838" w:type="dxa"/>
          </w:tcPr>
          <w:p w:rsidR="00FE78D5" w:rsidRPr="00BE01AE" w:rsidRDefault="000447D4" w:rsidP="00C050F9">
            <w:r>
              <w:rPr>
                <w:rFonts w:ascii="Poppins" w:hAnsi="Poppins" w:cs="Poppins"/>
                <w:caps/>
                <w:color w:val="222222"/>
                <w:sz w:val="29"/>
                <w:szCs w:val="29"/>
                <w:shd w:val="clear" w:color="auto" w:fill="FFFFFF"/>
              </w:rPr>
              <w:t>Capsule</w:t>
            </w:r>
          </w:p>
        </w:tc>
      </w:tr>
      <w:tr w:rsidR="00FE78D5" w:rsidTr="00C050F9">
        <w:trPr>
          <w:trHeight w:val="576"/>
        </w:trPr>
        <w:tc>
          <w:tcPr>
            <w:tcW w:w="2711" w:type="dxa"/>
          </w:tcPr>
          <w:p w:rsidR="00FE78D5" w:rsidRPr="00BE01AE" w:rsidRDefault="00FE78D5" w:rsidP="00C050F9">
            <w:r w:rsidRPr="00BE01AE">
              <w:rPr>
                <w:rFonts w:ascii="Poppins" w:hAnsi="Poppins" w:cs="Poppins"/>
                <w:caps/>
                <w:color w:val="222222"/>
                <w:sz w:val="29"/>
                <w:szCs w:val="29"/>
                <w:shd w:val="clear" w:color="auto" w:fill="FFFFFF"/>
              </w:rPr>
              <w:t>PRICE</w:t>
            </w:r>
          </w:p>
        </w:tc>
        <w:tc>
          <w:tcPr>
            <w:tcW w:w="5838" w:type="dxa"/>
          </w:tcPr>
          <w:p w:rsidR="00FE78D5" w:rsidRPr="000447D4" w:rsidRDefault="000447D4" w:rsidP="00C050F9">
            <w:pPr>
              <w:rPr>
                <w:rFonts w:ascii="Poppins" w:hAnsi="Poppins" w:cs="Poppins"/>
                <w:caps/>
                <w:color w:val="222222"/>
                <w:sz w:val="28"/>
              </w:rPr>
            </w:pPr>
            <w:r w:rsidRPr="000447D4">
              <w:rPr>
                <w:rFonts w:ascii="Poppins" w:hAnsi="Poppins" w:cs="Poppins"/>
                <w:caps/>
                <w:color w:val="222222"/>
                <w:sz w:val="28"/>
                <w:shd w:val="clear" w:color="auto" w:fill="FFFFFF"/>
              </w:rPr>
              <w:t>Each Box 350 TK. Each tablet TK. 35.00.</w:t>
            </w:r>
          </w:p>
        </w:tc>
      </w:tr>
    </w:tbl>
    <w:p w:rsidR="00155A66" w:rsidRDefault="00155A66" w:rsidP="00155A66">
      <w:bookmarkStart w:id="0" w:name="_GoBack"/>
      <w:bookmarkEnd w:id="0"/>
    </w:p>
    <w:p w:rsidR="00155A66" w:rsidRDefault="00155A66" w:rsidP="00155A66">
      <w:r>
        <w:t>Nishat</w:t>
      </w:r>
    </w:p>
    <w:p w:rsidR="00155A66" w:rsidRDefault="00155A66" w:rsidP="00155A66"/>
    <w:p w:rsidR="00155A66" w:rsidRDefault="00155A66" w:rsidP="00155A66">
      <w:r>
        <w:t>Harmless sexual tonic</w:t>
      </w:r>
    </w:p>
    <w:p w:rsidR="00155A66" w:rsidRDefault="00155A66" w:rsidP="00155A66"/>
    <w:p w:rsidR="00155A66" w:rsidRDefault="00155A66" w:rsidP="00155A66">
      <w:r>
        <w:t>Description: Instance-2</w:t>
      </w:r>
    </w:p>
    <w:p w:rsidR="00155A66" w:rsidRDefault="00155A66" w:rsidP="00155A66">
      <w:r>
        <w:t xml:space="preserve"> is a unique natural tonic to increase libido, helps to retentive power &amp; maintains youthful vigour &amp; vitality.</w:t>
      </w:r>
    </w:p>
    <w:p w:rsidR="00155A66" w:rsidRDefault="00155A66" w:rsidP="00155A66"/>
    <w:p w:rsidR="00155A66" w:rsidRDefault="00155A66" w:rsidP="00155A66">
      <w:r>
        <w:t>Composition: Each capsule contains- Myristica fragrans (arillus) 66.67 mg, Myristica fragrans (nut) 33.33 mg, Crocus sativus 16.67 mg, Mabuya carinata 66.67 mg, Argyreia speciosa 33.33 mg, Calcined silver 16.67 mg, Mineral bezoar 8.33 mg, Castoreum 8.33 mg &amp; other ingredients Q.S.</w:t>
      </w:r>
    </w:p>
    <w:p w:rsidR="00155A66" w:rsidRDefault="00155A66" w:rsidP="00155A66"/>
    <w:p w:rsidR="00155A66" w:rsidRDefault="00155A66" w:rsidP="00155A66">
      <w:r>
        <w:t>Indication: Loss of libido, sexual debility, premature ejaculation &amp; fatigue.</w:t>
      </w:r>
    </w:p>
    <w:p w:rsidR="00155A66" w:rsidRDefault="00155A66" w:rsidP="00155A66"/>
    <w:p w:rsidR="00155A66" w:rsidRDefault="00155A66" w:rsidP="00155A66">
      <w:r>
        <w:t>Dosage: 1-2 capsuls to be taken with milk 2 hours before coitus or as prescribed by the registered physician.</w:t>
      </w:r>
    </w:p>
    <w:p w:rsidR="00155A66" w:rsidRDefault="00155A66" w:rsidP="00155A66"/>
    <w:p w:rsidR="00155A66" w:rsidRDefault="00155A66" w:rsidP="00155A66">
      <w:r>
        <w:t>Contraindication: There is no known contraindication.</w:t>
      </w:r>
    </w:p>
    <w:p w:rsidR="00155A66" w:rsidRDefault="00155A66" w:rsidP="00155A66"/>
    <w:p w:rsidR="00155A66" w:rsidRDefault="00155A66" w:rsidP="00155A66">
      <w:r>
        <w:t>Side Effects: No significant side effect has been observed in therapeutic dosage.</w:t>
      </w:r>
    </w:p>
    <w:p w:rsidR="00155A66" w:rsidRDefault="00155A66" w:rsidP="00155A66"/>
    <w:p w:rsidR="00155A66" w:rsidRDefault="00155A66" w:rsidP="00155A66">
      <w:r>
        <w:t>Precaution: Keep out of reach of children.</w:t>
      </w:r>
    </w:p>
    <w:p w:rsidR="00155A66" w:rsidRDefault="00155A66" w:rsidP="00155A66"/>
    <w:p w:rsidR="00155A66" w:rsidRDefault="00155A66" w:rsidP="00155A66">
      <w:r>
        <w:t>Storage: Store in a cool and dry place away from light.</w:t>
      </w:r>
    </w:p>
    <w:p w:rsidR="00155A66" w:rsidRDefault="00155A66" w:rsidP="00155A66"/>
    <w:p w:rsidR="00155A66" w:rsidRDefault="00155A66" w:rsidP="00155A66">
      <w:r>
        <w:t>Presentation: Box containing 5 x 10 tablets in alu alu blister pack.</w:t>
      </w:r>
    </w:p>
    <w:p w:rsidR="00155A66" w:rsidRDefault="00155A66" w:rsidP="00155A66"/>
    <w:p w:rsidR="00782D0A" w:rsidRDefault="00155A66" w:rsidP="00155A66">
      <w:r>
        <w:t>Price: Each Box 350 TK. Each tablet TK. 35.00.</w:t>
      </w:r>
    </w:p>
    <w:sectPr w:rsidR="00782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modern"/>
    <w:notTrueType/>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894"/>
    <w:rsid w:val="000447D4"/>
    <w:rsid w:val="00155A66"/>
    <w:rsid w:val="00782D0A"/>
    <w:rsid w:val="009C5894"/>
    <w:rsid w:val="00FE78D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08A3"/>
  <w15:chartTrackingRefBased/>
  <w15:docId w15:val="{DB578670-E142-47C8-BBCC-876D9D77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7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Farabi ahad Tafim</dc:creator>
  <cp:keywords/>
  <dc:description/>
  <cp:lastModifiedBy>Farabi ahad Tafim</cp:lastModifiedBy>
  <cp:revision>4</cp:revision>
  <dcterms:created xsi:type="dcterms:W3CDTF">2023-05-12T04:12:00Z</dcterms:created>
  <dcterms:modified xsi:type="dcterms:W3CDTF">2023-05-12T05:02:00Z</dcterms:modified>
</cp:coreProperties>
</file>