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Revenue Recognition Policy</w:t>
      </w:r>
    </w:p>
    <w:p>
      <w:r>
        <w:t>The Company recognizes revenue in accordance with ASC 606, Revenue from Contracts with Customers. Revenue is recognized when control of the promised goods or services transfers to the customer, in an amount that reflects the consideration the Company expects to receive.</w:t>
      </w:r>
    </w:p>
    <w:p>
      <w:r>
        <w:t>Performance obligations are identified at contract inception, and the transaction price is allocated to each obligation based on standalone selling prices.</w:t>
      </w:r>
    </w:p>
    <w:p>
      <w:r>
        <w:t>Lease accounting follows ASC 842. Right-of-use assets and lease liabilities are recognized at lease commencement for all leases with a term greater than 12 months.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