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3E589" w14:textId="77777777" w:rsidR="00CB29F6" w:rsidRDefault="00CB29F6" w:rsidP="00FD491F">
      <w:pPr>
        <w:jc w:val="center"/>
        <w:rPr>
          <w:sz w:val="96"/>
          <w:szCs w:val="96"/>
        </w:rPr>
      </w:pPr>
    </w:p>
    <w:p w14:paraId="28498F63" w14:textId="4E27F03E" w:rsidR="00F91863" w:rsidRDefault="008B70B4">
      <w:pPr>
        <w:jc w:val="center"/>
        <w:rPr>
          <w:rFonts w:ascii="Tahoma" w:hAnsi="Tahoma" w:cs="Tahoma"/>
          <w:sz w:val="40"/>
          <w:szCs w:val="96"/>
        </w:rPr>
      </w:pPr>
      <w:r w:rsidRPr="008B70B4">
        <w:rPr>
          <w:rFonts w:ascii="Tahoma" w:hAnsi="Tahoma" w:cs="Tahoma"/>
          <w:b/>
          <w:sz w:val="56"/>
          <w:szCs w:val="96"/>
        </w:rPr>
        <w:t>Legislation and Policies Report Templat</w:t>
      </w:r>
      <w:r w:rsidR="00047C56">
        <w:rPr>
          <w:rFonts w:ascii="Tahoma" w:hAnsi="Tahoma" w:cs="Tahoma"/>
          <w:b/>
          <w:sz w:val="56"/>
          <w:szCs w:val="96"/>
        </w:rPr>
        <w:t>e</w:t>
      </w:r>
    </w:p>
    <w:p w14:paraId="290EA1E8" w14:textId="77777777" w:rsidR="00760308" w:rsidRDefault="00760308">
      <w:pPr>
        <w:jc w:val="center"/>
        <w:rPr>
          <w:rFonts w:ascii="Tahoma" w:hAnsi="Tahoma" w:cs="Tahoma"/>
          <w:sz w:val="96"/>
          <w:szCs w:val="96"/>
        </w:rPr>
      </w:pPr>
    </w:p>
    <w:p w14:paraId="31660C10" w14:textId="77777777" w:rsidR="00804ECE" w:rsidRPr="00760308" w:rsidRDefault="00804ECE">
      <w:pPr>
        <w:jc w:val="center"/>
        <w:rPr>
          <w:rFonts w:ascii="Tahoma" w:hAnsi="Tahoma" w:cs="Tahoma"/>
          <w:sz w:val="32"/>
          <w:szCs w:val="40"/>
        </w:rPr>
      </w:pPr>
    </w:p>
    <w:p w14:paraId="49FE0273" w14:textId="6DC1091D" w:rsidR="00760308" w:rsidRPr="00FD491F" w:rsidRDefault="00760308" w:rsidP="00FD491F">
      <w:pPr>
        <w:jc w:val="center"/>
        <w:rPr>
          <w:rFonts w:ascii="Tahoma" w:hAnsi="Tahoma" w:cs="Tahoma"/>
          <w:sz w:val="32"/>
          <w:szCs w:val="40"/>
        </w:rPr>
      </w:pPr>
      <w:r w:rsidRPr="00760308">
        <w:rPr>
          <w:rFonts w:ascii="Tahoma" w:hAnsi="Tahoma" w:cs="Tahoma"/>
          <w:sz w:val="32"/>
          <w:szCs w:val="40"/>
        </w:rPr>
        <w:t xml:space="preserve">Created by </w:t>
      </w:r>
    </w:p>
    <w:p w14:paraId="30B0D2D7" w14:textId="77777777" w:rsidR="00760308" w:rsidRPr="00760308" w:rsidRDefault="00760308">
      <w:pPr>
        <w:jc w:val="center"/>
        <w:rPr>
          <w:rFonts w:ascii="Tahoma" w:hAnsi="Tahoma" w:cs="Tahoma"/>
          <w:b/>
          <w:sz w:val="48"/>
          <w:szCs w:val="40"/>
        </w:rPr>
      </w:pPr>
      <w:r w:rsidRPr="00760308">
        <w:rPr>
          <w:rFonts w:ascii="Tahoma" w:hAnsi="Tahoma" w:cs="Tahoma"/>
          <w:b/>
          <w:sz w:val="48"/>
          <w:szCs w:val="40"/>
        </w:rPr>
        <w:t xml:space="preserve">UPTOWN IT </w:t>
      </w:r>
    </w:p>
    <w:p w14:paraId="0A954C83" w14:textId="77777777" w:rsidR="00760308" w:rsidRDefault="00760308">
      <w:pPr>
        <w:jc w:val="center"/>
        <w:rPr>
          <w:rFonts w:ascii="Tahoma" w:hAnsi="Tahoma" w:cs="Tahoma"/>
          <w:sz w:val="40"/>
          <w:szCs w:val="40"/>
        </w:rPr>
      </w:pPr>
    </w:p>
    <w:p w14:paraId="1CA4FF3B" w14:textId="77777777" w:rsidR="00760308" w:rsidRDefault="00760308">
      <w:pPr>
        <w:jc w:val="center"/>
        <w:rPr>
          <w:rFonts w:ascii="Tahoma" w:hAnsi="Tahoma" w:cs="Tahoma"/>
          <w:sz w:val="40"/>
          <w:szCs w:val="40"/>
        </w:rPr>
      </w:pPr>
    </w:p>
    <w:p w14:paraId="00E03269" w14:textId="77777777" w:rsidR="00760308" w:rsidRDefault="00760308">
      <w:pPr>
        <w:jc w:val="center"/>
        <w:rPr>
          <w:rFonts w:ascii="Tahoma" w:hAnsi="Tahoma" w:cs="Tahoma"/>
          <w:sz w:val="40"/>
          <w:szCs w:val="40"/>
        </w:rPr>
      </w:pPr>
      <w:r>
        <w:rPr>
          <w:rFonts w:ascii="Tahoma" w:hAnsi="Tahoma" w:cs="Tahoma"/>
          <w:sz w:val="40"/>
          <w:szCs w:val="40"/>
        </w:rPr>
        <w:t>For</w:t>
      </w:r>
    </w:p>
    <w:p w14:paraId="33FA8D8F" w14:textId="77777777" w:rsidR="00760308" w:rsidRDefault="00760308">
      <w:pPr>
        <w:jc w:val="center"/>
        <w:rPr>
          <w:rFonts w:ascii="Tahoma" w:hAnsi="Tahoma" w:cs="Tahoma"/>
          <w:sz w:val="40"/>
          <w:szCs w:val="40"/>
        </w:rPr>
      </w:pPr>
    </w:p>
    <w:p w14:paraId="2E156F42" w14:textId="7B451650" w:rsidR="00760308" w:rsidRPr="00760308" w:rsidRDefault="00760308">
      <w:pPr>
        <w:jc w:val="center"/>
        <w:rPr>
          <w:rFonts w:ascii="Tahoma" w:hAnsi="Tahoma" w:cs="Tahoma"/>
          <w:b/>
          <w:sz w:val="32"/>
          <w:szCs w:val="32"/>
          <w:lang w:val="en-AU"/>
        </w:rPr>
      </w:pPr>
      <w:r w:rsidRPr="00760308">
        <w:rPr>
          <w:rFonts w:ascii="Tahoma" w:hAnsi="Tahoma" w:cs="Tahoma"/>
          <w:b/>
          <w:sz w:val="40"/>
          <w:szCs w:val="40"/>
        </w:rPr>
        <w:t>&lt;&lt;</w:t>
      </w:r>
      <w:r w:rsidR="00820D26">
        <w:rPr>
          <w:rFonts w:ascii="Tahoma" w:hAnsi="Tahoma" w:cs="Tahoma"/>
          <w:b/>
          <w:sz w:val="40"/>
          <w:szCs w:val="40"/>
        </w:rPr>
        <w:t xml:space="preserve">Turtle Movers </w:t>
      </w:r>
      <w:r w:rsidRPr="00760308">
        <w:rPr>
          <w:rFonts w:ascii="Tahoma" w:hAnsi="Tahoma" w:cs="Tahoma"/>
          <w:b/>
          <w:sz w:val="40"/>
          <w:szCs w:val="40"/>
        </w:rPr>
        <w:t>&gt;&gt;</w:t>
      </w:r>
    </w:p>
    <w:p w14:paraId="075A00D2" w14:textId="77777777" w:rsidR="00760308" w:rsidRDefault="00760308" w:rsidP="00FD491F">
      <w:pPr>
        <w:tabs>
          <w:tab w:val="left" w:pos="2552"/>
        </w:tabs>
        <w:jc w:val="center"/>
        <w:rPr>
          <w:b/>
          <w:sz w:val="28"/>
          <w:szCs w:val="28"/>
        </w:rPr>
      </w:pPr>
    </w:p>
    <w:p w14:paraId="22DE3F36" w14:textId="77777777" w:rsidR="00760308" w:rsidRDefault="00760308" w:rsidP="00FD491F">
      <w:pPr>
        <w:tabs>
          <w:tab w:val="left" w:pos="2552"/>
        </w:tabs>
        <w:jc w:val="center"/>
        <w:rPr>
          <w:b/>
          <w:sz w:val="28"/>
          <w:szCs w:val="28"/>
        </w:rPr>
      </w:pPr>
    </w:p>
    <w:p w14:paraId="432BBE51" w14:textId="519D9940" w:rsidR="00FD491F" w:rsidRDefault="00FD491F" w:rsidP="00FD491F">
      <w:pPr>
        <w:tabs>
          <w:tab w:val="left" w:pos="2552"/>
        </w:tabs>
        <w:rPr>
          <w:b/>
          <w:sz w:val="28"/>
          <w:szCs w:val="28"/>
        </w:rPr>
      </w:pPr>
      <w:r>
        <w:rPr>
          <w:b/>
          <w:sz w:val="28"/>
          <w:szCs w:val="28"/>
        </w:rPr>
        <w:br w:type="page"/>
      </w:r>
    </w:p>
    <w:p w14:paraId="0030F465" w14:textId="77777777" w:rsidR="00EF10D3" w:rsidRDefault="00EF10D3" w:rsidP="001A3A44">
      <w:pPr>
        <w:tabs>
          <w:tab w:val="left" w:pos="2552"/>
        </w:tabs>
        <w:rPr>
          <w:b/>
          <w:sz w:val="28"/>
          <w:szCs w:val="28"/>
        </w:rPr>
      </w:pPr>
    </w:p>
    <w:p w14:paraId="0B4245B0" w14:textId="5D9E66AA" w:rsidR="00760308" w:rsidRDefault="00760308" w:rsidP="001A3A44">
      <w:pPr>
        <w:tabs>
          <w:tab w:val="left" w:pos="2552"/>
        </w:tabs>
        <w:rPr>
          <w:b/>
          <w:sz w:val="28"/>
          <w:szCs w:val="28"/>
        </w:rPr>
      </w:pPr>
      <w:r>
        <w:rPr>
          <w:b/>
          <w:sz w:val="28"/>
          <w:szCs w:val="28"/>
        </w:rPr>
        <w:t>PROJECT REFERENCE:</w:t>
      </w:r>
      <w:bookmarkStart w:id="0" w:name="_Hlk178496277"/>
      <w:r w:rsidR="001669AE">
        <w:rPr>
          <w:b/>
          <w:sz w:val="28"/>
          <w:szCs w:val="28"/>
        </w:rPr>
        <w:t>474807620</w:t>
      </w:r>
      <w:bookmarkEnd w:id="0"/>
    </w:p>
    <w:p w14:paraId="08782A90" w14:textId="2680F966" w:rsidR="007B344D" w:rsidRDefault="00760308" w:rsidP="001A3A44">
      <w:pPr>
        <w:tabs>
          <w:tab w:val="left" w:pos="2552"/>
        </w:tabs>
        <w:rPr>
          <w:b/>
          <w:sz w:val="28"/>
          <w:szCs w:val="28"/>
        </w:rPr>
      </w:pPr>
      <w:r>
        <w:rPr>
          <w:b/>
          <w:sz w:val="28"/>
          <w:szCs w:val="28"/>
        </w:rPr>
        <w:t>DATE:</w:t>
      </w:r>
      <w:r w:rsidR="001669AE">
        <w:rPr>
          <w:b/>
          <w:sz w:val="28"/>
          <w:szCs w:val="28"/>
        </w:rPr>
        <w:t>28/09/2024</w:t>
      </w:r>
    </w:p>
    <w:p w14:paraId="50C88744" w14:textId="6395708F" w:rsidR="0081155B" w:rsidRDefault="0081155B" w:rsidP="001A3A44">
      <w:pPr>
        <w:tabs>
          <w:tab w:val="left" w:pos="2552"/>
        </w:tabs>
        <w:rPr>
          <w:b/>
          <w:sz w:val="28"/>
          <w:szCs w:val="28"/>
        </w:rPr>
      </w:pPr>
      <w:r>
        <w:rPr>
          <w:b/>
          <w:sz w:val="28"/>
          <w:szCs w:val="28"/>
        </w:rPr>
        <w:t xml:space="preserve">Amir Mahdi </w:t>
      </w:r>
      <w:proofErr w:type="spellStart"/>
      <w:r>
        <w:rPr>
          <w:b/>
          <w:sz w:val="28"/>
          <w:szCs w:val="28"/>
        </w:rPr>
        <w:t>Sarikhani</w:t>
      </w:r>
      <w:proofErr w:type="spellEnd"/>
      <w:r>
        <w:rPr>
          <w:b/>
          <w:sz w:val="28"/>
          <w:szCs w:val="28"/>
        </w:rPr>
        <w:t xml:space="preserve"> </w:t>
      </w:r>
      <w:proofErr w:type="spellStart"/>
      <w:r>
        <w:rPr>
          <w:b/>
          <w:sz w:val="28"/>
          <w:szCs w:val="28"/>
        </w:rPr>
        <w:t>fard</w:t>
      </w:r>
      <w:proofErr w:type="spellEnd"/>
    </w:p>
    <w:p w14:paraId="05057D94" w14:textId="77777777" w:rsidR="007B344D" w:rsidRDefault="007B344D">
      <w:pPr>
        <w:overflowPunct/>
        <w:autoSpaceDE/>
        <w:autoSpaceDN/>
        <w:adjustRightInd/>
        <w:textAlignment w:val="auto"/>
        <w:rPr>
          <w:b/>
          <w:sz w:val="28"/>
          <w:szCs w:val="28"/>
        </w:rPr>
      </w:pPr>
      <w:r>
        <w:rPr>
          <w:b/>
          <w:sz w:val="28"/>
          <w:szCs w:val="28"/>
        </w:rPr>
        <w:br w:type="page"/>
      </w:r>
    </w:p>
    <w:p w14:paraId="32D5AB7F" w14:textId="0914E8B5" w:rsidR="00486AD1" w:rsidRPr="003147DE" w:rsidRDefault="00486AD1" w:rsidP="003147DE">
      <w:pPr>
        <w:pStyle w:val="TOCHeading"/>
      </w:pPr>
      <w:r>
        <w:lastRenderedPageBreak/>
        <w:t>Contents</w:t>
      </w:r>
    </w:p>
    <w:p w14:paraId="4A20F177" w14:textId="77777777" w:rsidR="00F3394D" w:rsidRDefault="00486AD1" w:rsidP="003147DE">
      <w:pPr>
        <w:pStyle w:val="TOC1"/>
        <w:rPr>
          <w:rFonts w:asciiTheme="minorHAnsi" w:eastAsiaTheme="minorEastAsia" w:hAnsiTheme="minorHAnsi" w:cstheme="minorBidi"/>
          <w:szCs w:val="22"/>
        </w:rPr>
      </w:pPr>
      <w:r w:rsidRPr="00097492">
        <w:rPr>
          <w:rFonts w:ascii="Tahoma" w:hAnsi="Tahoma" w:cs="Tahoma"/>
          <w:sz w:val="48"/>
          <w:szCs w:val="48"/>
        </w:rPr>
        <w:fldChar w:fldCharType="begin"/>
      </w:r>
      <w:r w:rsidRPr="00097492">
        <w:rPr>
          <w:rFonts w:ascii="Tahoma" w:hAnsi="Tahoma" w:cs="Tahoma"/>
          <w:sz w:val="48"/>
          <w:szCs w:val="48"/>
        </w:rPr>
        <w:instrText xml:space="preserve"> TOC \o "1-3" \h \z \u </w:instrText>
      </w:r>
      <w:r w:rsidRPr="00097492">
        <w:rPr>
          <w:rFonts w:ascii="Tahoma" w:hAnsi="Tahoma" w:cs="Tahoma"/>
          <w:sz w:val="48"/>
          <w:szCs w:val="48"/>
        </w:rPr>
        <w:fldChar w:fldCharType="separate"/>
      </w:r>
      <w:hyperlink w:anchor="_Toc124768025" w:history="1">
        <w:r w:rsidR="00F3394D" w:rsidRPr="005332BF">
          <w:rPr>
            <w:rStyle w:val="Hyperlink"/>
          </w:rPr>
          <w:t>1</w:t>
        </w:r>
        <w:r w:rsidR="00F3394D">
          <w:rPr>
            <w:rFonts w:asciiTheme="minorHAnsi" w:eastAsiaTheme="minorEastAsia" w:hAnsiTheme="minorHAnsi" w:cstheme="minorBidi"/>
            <w:szCs w:val="22"/>
          </w:rPr>
          <w:tab/>
        </w:r>
        <w:r w:rsidR="00F3394D" w:rsidRPr="005332BF">
          <w:rPr>
            <w:rStyle w:val="Hyperlink"/>
          </w:rPr>
          <w:t>Abstract</w:t>
        </w:r>
        <w:r w:rsidR="00F3394D">
          <w:rPr>
            <w:webHidden/>
          </w:rPr>
          <w:tab/>
        </w:r>
        <w:r w:rsidR="00F3394D">
          <w:rPr>
            <w:webHidden/>
          </w:rPr>
          <w:fldChar w:fldCharType="begin"/>
        </w:r>
        <w:r w:rsidR="00F3394D">
          <w:rPr>
            <w:webHidden/>
          </w:rPr>
          <w:instrText xml:space="preserve"> PAGEREF _Toc124768025 \h </w:instrText>
        </w:r>
        <w:r w:rsidR="00F3394D">
          <w:rPr>
            <w:webHidden/>
          </w:rPr>
        </w:r>
        <w:r w:rsidR="00F3394D">
          <w:rPr>
            <w:webHidden/>
          </w:rPr>
          <w:fldChar w:fldCharType="separate"/>
        </w:r>
        <w:r w:rsidR="00F3394D">
          <w:rPr>
            <w:webHidden/>
          </w:rPr>
          <w:t>3</w:t>
        </w:r>
        <w:r w:rsidR="00F3394D">
          <w:rPr>
            <w:webHidden/>
          </w:rPr>
          <w:fldChar w:fldCharType="end"/>
        </w:r>
      </w:hyperlink>
    </w:p>
    <w:p w14:paraId="6CDC4343" w14:textId="77777777" w:rsidR="00F3394D" w:rsidRDefault="00000000" w:rsidP="003147DE">
      <w:pPr>
        <w:pStyle w:val="TOC1"/>
        <w:rPr>
          <w:rFonts w:asciiTheme="minorHAnsi" w:eastAsiaTheme="minorEastAsia" w:hAnsiTheme="minorHAnsi" w:cstheme="minorBidi"/>
          <w:szCs w:val="22"/>
        </w:rPr>
      </w:pPr>
      <w:hyperlink w:anchor="_Toc124768026" w:history="1">
        <w:r w:rsidR="00F3394D" w:rsidRPr="005332BF">
          <w:rPr>
            <w:rStyle w:val="Hyperlink"/>
          </w:rPr>
          <w:t>2</w:t>
        </w:r>
        <w:r w:rsidR="00F3394D">
          <w:rPr>
            <w:rFonts w:asciiTheme="minorHAnsi" w:eastAsiaTheme="minorEastAsia" w:hAnsiTheme="minorHAnsi" w:cstheme="minorBidi"/>
            <w:szCs w:val="22"/>
          </w:rPr>
          <w:tab/>
        </w:r>
        <w:r w:rsidR="00F3394D" w:rsidRPr="005332BF">
          <w:rPr>
            <w:rStyle w:val="Hyperlink"/>
          </w:rPr>
          <w:t>Introduction</w:t>
        </w:r>
        <w:r w:rsidR="00F3394D">
          <w:rPr>
            <w:webHidden/>
          </w:rPr>
          <w:tab/>
        </w:r>
        <w:r w:rsidR="00F3394D">
          <w:rPr>
            <w:webHidden/>
          </w:rPr>
          <w:fldChar w:fldCharType="begin"/>
        </w:r>
        <w:r w:rsidR="00F3394D">
          <w:rPr>
            <w:webHidden/>
          </w:rPr>
          <w:instrText xml:space="preserve"> PAGEREF _Toc124768026 \h </w:instrText>
        </w:r>
        <w:r w:rsidR="00F3394D">
          <w:rPr>
            <w:webHidden/>
          </w:rPr>
        </w:r>
        <w:r w:rsidR="00F3394D">
          <w:rPr>
            <w:webHidden/>
          </w:rPr>
          <w:fldChar w:fldCharType="separate"/>
        </w:r>
        <w:r w:rsidR="00F3394D">
          <w:rPr>
            <w:webHidden/>
          </w:rPr>
          <w:t>4</w:t>
        </w:r>
        <w:r w:rsidR="00F3394D">
          <w:rPr>
            <w:webHidden/>
          </w:rPr>
          <w:fldChar w:fldCharType="end"/>
        </w:r>
      </w:hyperlink>
    </w:p>
    <w:p w14:paraId="590D43CB" w14:textId="77777777" w:rsidR="00F3394D" w:rsidRDefault="00000000" w:rsidP="003147DE">
      <w:pPr>
        <w:pStyle w:val="TOC1"/>
        <w:rPr>
          <w:rFonts w:asciiTheme="minorHAnsi" w:eastAsiaTheme="minorEastAsia" w:hAnsiTheme="minorHAnsi" w:cstheme="minorBidi"/>
          <w:szCs w:val="22"/>
        </w:rPr>
      </w:pPr>
      <w:hyperlink w:anchor="_Toc124768027" w:history="1">
        <w:r w:rsidR="00F3394D" w:rsidRPr="005332BF">
          <w:rPr>
            <w:rStyle w:val="Hyperlink"/>
          </w:rPr>
          <w:t>3</w:t>
        </w:r>
        <w:r w:rsidR="00F3394D">
          <w:rPr>
            <w:rFonts w:asciiTheme="minorHAnsi" w:eastAsiaTheme="minorEastAsia" w:hAnsiTheme="minorHAnsi" w:cstheme="minorBidi"/>
            <w:szCs w:val="22"/>
          </w:rPr>
          <w:tab/>
        </w:r>
        <w:r w:rsidR="00F3394D" w:rsidRPr="005332BF">
          <w:rPr>
            <w:rStyle w:val="Hyperlink"/>
          </w:rPr>
          <w:t>Cyber Security Legislative and Regulatory Review</w:t>
        </w:r>
        <w:r w:rsidR="00F3394D">
          <w:rPr>
            <w:webHidden/>
          </w:rPr>
          <w:tab/>
        </w:r>
        <w:r w:rsidR="00F3394D">
          <w:rPr>
            <w:webHidden/>
          </w:rPr>
          <w:fldChar w:fldCharType="begin"/>
        </w:r>
        <w:r w:rsidR="00F3394D">
          <w:rPr>
            <w:webHidden/>
          </w:rPr>
          <w:instrText xml:space="preserve"> PAGEREF _Toc124768027 \h </w:instrText>
        </w:r>
        <w:r w:rsidR="00F3394D">
          <w:rPr>
            <w:webHidden/>
          </w:rPr>
        </w:r>
        <w:r w:rsidR="00F3394D">
          <w:rPr>
            <w:webHidden/>
          </w:rPr>
          <w:fldChar w:fldCharType="separate"/>
        </w:r>
        <w:r w:rsidR="00F3394D">
          <w:rPr>
            <w:webHidden/>
          </w:rPr>
          <w:t>4</w:t>
        </w:r>
        <w:r w:rsidR="00F3394D">
          <w:rPr>
            <w:webHidden/>
          </w:rPr>
          <w:fldChar w:fldCharType="end"/>
        </w:r>
      </w:hyperlink>
    </w:p>
    <w:p w14:paraId="6CEEB6A8" w14:textId="3A409698" w:rsidR="00F3394D" w:rsidRDefault="00000000" w:rsidP="0082157A">
      <w:pPr>
        <w:pStyle w:val="TOC2"/>
        <w:tabs>
          <w:tab w:val="left" w:pos="851"/>
        </w:tabs>
        <w:rPr>
          <w:rFonts w:asciiTheme="minorHAnsi" w:eastAsiaTheme="minorEastAsia" w:hAnsiTheme="minorHAnsi" w:cstheme="minorBidi"/>
          <w:noProof/>
          <w:szCs w:val="22"/>
        </w:rPr>
      </w:pPr>
      <w:hyperlink w:anchor="_Toc124768028" w:history="1">
        <w:r w:rsidR="00F3394D" w:rsidRPr="005332BF">
          <w:rPr>
            <w:rStyle w:val="Hyperlink"/>
            <w:noProof/>
          </w:rPr>
          <w:t>3.1</w:t>
        </w:r>
        <w:r w:rsidR="0082157A" w:rsidRPr="0082157A">
          <w:rPr>
            <w:rStyle w:val="Hyperlink"/>
            <w:noProof/>
          </w:rPr>
          <w:tab/>
        </w:r>
        <w:r w:rsidR="00F3394D" w:rsidRPr="005332BF">
          <w:rPr>
            <w:rStyle w:val="Hyperlink"/>
            <w:noProof/>
          </w:rPr>
          <w:t>Regulators</w:t>
        </w:r>
        <w:r w:rsidR="00F3394D">
          <w:rPr>
            <w:noProof/>
            <w:webHidden/>
          </w:rPr>
          <w:tab/>
        </w:r>
        <w:r w:rsidR="00F3394D">
          <w:rPr>
            <w:noProof/>
            <w:webHidden/>
          </w:rPr>
          <w:fldChar w:fldCharType="begin"/>
        </w:r>
        <w:r w:rsidR="00F3394D">
          <w:rPr>
            <w:noProof/>
            <w:webHidden/>
          </w:rPr>
          <w:instrText xml:space="preserve"> PAGEREF _Toc124768028 \h </w:instrText>
        </w:r>
        <w:r w:rsidR="00F3394D">
          <w:rPr>
            <w:noProof/>
            <w:webHidden/>
          </w:rPr>
        </w:r>
        <w:r w:rsidR="00F3394D">
          <w:rPr>
            <w:noProof/>
            <w:webHidden/>
          </w:rPr>
          <w:fldChar w:fldCharType="separate"/>
        </w:r>
        <w:r w:rsidR="00F3394D">
          <w:rPr>
            <w:noProof/>
            <w:webHidden/>
          </w:rPr>
          <w:t>5</w:t>
        </w:r>
        <w:r w:rsidR="00F3394D">
          <w:rPr>
            <w:noProof/>
            <w:webHidden/>
          </w:rPr>
          <w:fldChar w:fldCharType="end"/>
        </w:r>
      </w:hyperlink>
    </w:p>
    <w:p w14:paraId="1CE24B29" w14:textId="77777777" w:rsidR="00F3394D" w:rsidRDefault="00000000" w:rsidP="003147DE">
      <w:pPr>
        <w:pStyle w:val="TOC1"/>
        <w:rPr>
          <w:rFonts w:asciiTheme="minorHAnsi" w:eastAsiaTheme="minorEastAsia" w:hAnsiTheme="minorHAnsi" w:cstheme="minorBidi"/>
          <w:szCs w:val="22"/>
        </w:rPr>
      </w:pPr>
      <w:hyperlink w:anchor="_Toc124768029" w:history="1">
        <w:r w:rsidR="00F3394D" w:rsidRPr="005332BF">
          <w:rPr>
            <w:rStyle w:val="Hyperlink"/>
            <w:rFonts w:cs="Arial"/>
          </w:rPr>
          <w:t>4</w:t>
        </w:r>
        <w:r w:rsidR="00F3394D">
          <w:rPr>
            <w:rFonts w:asciiTheme="minorHAnsi" w:eastAsiaTheme="minorEastAsia" w:hAnsiTheme="minorHAnsi" w:cstheme="minorBidi"/>
            <w:szCs w:val="22"/>
          </w:rPr>
          <w:tab/>
        </w:r>
        <w:r w:rsidR="00F3394D" w:rsidRPr="005332BF">
          <w:rPr>
            <w:rStyle w:val="Hyperlink"/>
            <w:rFonts w:cs="Arial"/>
          </w:rPr>
          <w:t>Cyber Security Findings and Recommendations</w:t>
        </w:r>
        <w:r w:rsidR="00F3394D">
          <w:rPr>
            <w:webHidden/>
          </w:rPr>
          <w:tab/>
        </w:r>
        <w:r w:rsidR="00F3394D">
          <w:rPr>
            <w:webHidden/>
          </w:rPr>
          <w:fldChar w:fldCharType="begin"/>
        </w:r>
        <w:r w:rsidR="00F3394D">
          <w:rPr>
            <w:webHidden/>
          </w:rPr>
          <w:instrText xml:space="preserve"> PAGEREF _Toc124768029 \h </w:instrText>
        </w:r>
        <w:r w:rsidR="00F3394D">
          <w:rPr>
            <w:webHidden/>
          </w:rPr>
        </w:r>
        <w:r w:rsidR="00F3394D">
          <w:rPr>
            <w:webHidden/>
          </w:rPr>
          <w:fldChar w:fldCharType="separate"/>
        </w:r>
        <w:r w:rsidR="00F3394D">
          <w:rPr>
            <w:webHidden/>
          </w:rPr>
          <w:t>5</w:t>
        </w:r>
        <w:r w:rsidR="00F3394D">
          <w:rPr>
            <w:webHidden/>
          </w:rPr>
          <w:fldChar w:fldCharType="end"/>
        </w:r>
      </w:hyperlink>
    </w:p>
    <w:p w14:paraId="306A2EC0" w14:textId="77777777" w:rsidR="00F3394D" w:rsidRDefault="00000000" w:rsidP="003147DE">
      <w:pPr>
        <w:pStyle w:val="TOC1"/>
        <w:rPr>
          <w:rFonts w:asciiTheme="minorHAnsi" w:eastAsiaTheme="minorEastAsia" w:hAnsiTheme="minorHAnsi" w:cstheme="minorBidi"/>
          <w:szCs w:val="22"/>
        </w:rPr>
      </w:pPr>
      <w:hyperlink w:anchor="_Toc124768030" w:history="1">
        <w:r w:rsidR="00F3394D" w:rsidRPr="005332BF">
          <w:rPr>
            <w:rStyle w:val="Hyperlink"/>
            <w:rFonts w:cs="Arial"/>
          </w:rPr>
          <w:t>5</w:t>
        </w:r>
        <w:r w:rsidR="00F3394D">
          <w:rPr>
            <w:rFonts w:asciiTheme="minorHAnsi" w:eastAsiaTheme="minorEastAsia" w:hAnsiTheme="minorHAnsi" w:cstheme="minorBidi"/>
            <w:szCs w:val="22"/>
          </w:rPr>
          <w:tab/>
        </w:r>
        <w:r w:rsidR="00F3394D" w:rsidRPr="005332BF">
          <w:rPr>
            <w:rStyle w:val="Hyperlink"/>
            <w:rFonts w:cs="Arial"/>
          </w:rPr>
          <w:t>Privacy Policies and Best Practices Review</w:t>
        </w:r>
        <w:r w:rsidR="00F3394D">
          <w:rPr>
            <w:webHidden/>
          </w:rPr>
          <w:tab/>
        </w:r>
        <w:r w:rsidR="00F3394D">
          <w:rPr>
            <w:webHidden/>
          </w:rPr>
          <w:fldChar w:fldCharType="begin"/>
        </w:r>
        <w:r w:rsidR="00F3394D">
          <w:rPr>
            <w:webHidden/>
          </w:rPr>
          <w:instrText xml:space="preserve"> PAGEREF _Toc124768030 \h </w:instrText>
        </w:r>
        <w:r w:rsidR="00F3394D">
          <w:rPr>
            <w:webHidden/>
          </w:rPr>
        </w:r>
        <w:r w:rsidR="00F3394D">
          <w:rPr>
            <w:webHidden/>
          </w:rPr>
          <w:fldChar w:fldCharType="separate"/>
        </w:r>
        <w:r w:rsidR="00F3394D">
          <w:rPr>
            <w:webHidden/>
          </w:rPr>
          <w:t>6</w:t>
        </w:r>
        <w:r w:rsidR="00F3394D">
          <w:rPr>
            <w:webHidden/>
          </w:rPr>
          <w:fldChar w:fldCharType="end"/>
        </w:r>
      </w:hyperlink>
    </w:p>
    <w:p w14:paraId="749040D5" w14:textId="77777777" w:rsidR="00F3394D" w:rsidRDefault="00000000" w:rsidP="003147DE">
      <w:pPr>
        <w:pStyle w:val="TOC1"/>
        <w:rPr>
          <w:rFonts w:asciiTheme="minorHAnsi" w:eastAsiaTheme="minorEastAsia" w:hAnsiTheme="minorHAnsi" w:cstheme="minorBidi"/>
          <w:szCs w:val="22"/>
        </w:rPr>
      </w:pPr>
      <w:hyperlink w:anchor="_Toc124768031" w:history="1">
        <w:r w:rsidR="00F3394D" w:rsidRPr="005332BF">
          <w:rPr>
            <w:rStyle w:val="Hyperlink"/>
            <w:rFonts w:cs="Arial"/>
          </w:rPr>
          <w:t>6</w:t>
        </w:r>
        <w:r w:rsidR="00F3394D">
          <w:rPr>
            <w:rFonts w:asciiTheme="minorHAnsi" w:eastAsiaTheme="minorEastAsia" w:hAnsiTheme="minorHAnsi" w:cstheme="minorBidi"/>
            <w:szCs w:val="22"/>
          </w:rPr>
          <w:tab/>
        </w:r>
        <w:r w:rsidR="00F3394D" w:rsidRPr="005332BF">
          <w:rPr>
            <w:rStyle w:val="Hyperlink"/>
            <w:rFonts w:cs="Arial"/>
          </w:rPr>
          <w:t>Privacy Compliance Findings and Recommendations</w:t>
        </w:r>
        <w:r w:rsidR="00F3394D">
          <w:rPr>
            <w:webHidden/>
          </w:rPr>
          <w:tab/>
        </w:r>
        <w:r w:rsidR="00F3394D">
          <w:rPr>
            <w:webHidden/>
          </w:rPr>
          <w:fldChar w:fldCharType="begin"/>
        </w:r>
        <w:r w:rsidR="00F3394D">
          <w:rPr>
            <w:webHidden/>
          </w:rPr>
          <w:instrText xml:space="preserve"> PAGEREF _Toc124768031 \h </w:instrText>
        </w:r>
        <w:r w:rsidR="00F3394D">
          <w:rPr>
            <w:webHidden/>
          </w:rPr>
        </w:r>
        <w:r w:rsidR="00F3394D">
          <w:rPr>
            <w:webHidden/>
          </w:rPr>
          <w:fldChar w:fldCharType="separate"/>
        </w:r>
        <w:r w:rsidR="00F3394D">
          <w:rPr>
            <w:webHidden/>
          </w:rPr>
          <w:t>6</w:t>
        </w:r>
        <w:r w:rsidR="00F3394D">
          <w:rPr>
            <w:webHidden/>
          </w:rPr>
          <w:fldChar w:fldCharType="end"/>
        </w:r>
      </w:hyperlink>
    </w:p>
    <w:p w14:paraId="5D141759" w14:textId="77777777" w:rsidR="00F3394D" w:rsidRDefault="00000000" w:rsidP="003147DE">
      <w:pPr>
        <w:pStyle w:val="TOC1"/>
        <w:rPr>
          <w:rFonts w:asciiTheme="minorHAnsi" w:eastAsiaTheme="minorEastAsia" w:hAnsiTheme="minorHAnsi" w:cstheme="minorBidi"/>
          <w:szCs w:val="22"/>
        </w:rPr>
      </w:pPr>
      <w:hyperlink w:anchor="_Toc124768032" w:history="1">
        <w:r w:rsidR="00F3394D" w:rsidRPr="005332BF">
          <w:rPr>
            <w:rStyle w:val="Hyperlink"/>
            <w:rFonts w:cs="Arial"/>
          </w:rPr>
          <w:t>7</w:t>
        </w:r>
        <w:r w:rsidR="00F3394D">
          <w:rPr>
            <w:rFonts w:asciiTheme="minorHAnsi" w:eastAsiaTheme="minorEastAsia" w:hAnsiTheme="minorHAnsi" w:cstheme="minorBidi"/>
            <w:szCs w:val="22"/>
          </w:rPr>
          <w:tab/>
        </w:r>
        <w:r w:rsidR="00F3394D" w:rsidRPr="005332BF">
          <w:rPr>
            <w:rStyle w:val="Hyperlink"/>
            <w:rFonts w:cs="Arial"/>
          </w:rPr>
          <w:t>Ethical behaviour in cyber security</w:t>
        </w:r>
        <w:r w:rsidR="00F3394D">
          <w:rPr>
            <w:webHidden/>
          </w:rPr>
          <w:tab/>
        </w:r>
        <w:r w:rsidR="00F3394D">
          <w:rPr>
            <w:webHidden/>
          </w:rPr>
          <w:fldChar w:fldCharType="begin"/>
        </w:r>
        <w:r w:rsidR="00F3394D">
          <w:rPr>
            <w:webHidden/>
          </w:rPr>
          <w:instrText xml:space="preserve"> PAGEREF _Toc124768032 \h </w:instrText>
        </w:r>
        <w:r w:rsidR="00F3394D">
          <w:rPr>
            <w:webHidden/>
          </w:rPr>
        </w:r>
        <w:r w:rsidR="00F3394D">
          <w:rPr>
            <w:webHidden/>
          </w:rPr>
          <w:fldChar w:fldCharType="separate"/>
        </w:r>
        <w:r w:rsidR="00F3394D">
          <w:rPr>
            <w:webHidden/>
          </w:rPr>
          <w:t>7</w:t>
        </w:r>
        <w:r w:rsidR="00F3394D">
          <w:rPr>
            <w:webHidden/>
          </w:rPr>
          <w:fldChar w:fldCharType="end"/>
        </w:r>
      </w:hyperlink>
    </w:p>
    <w:p w14:paraId="66D0A7CB" w14:textId="77777777" w:rsidR="00F3394D" w:rsidRDefault="00000000" w:rsidP="0082157A">
      <w:pPr>
        <w:pStyle w:val="TOC2"/>
        <w:tabs>
          <w:tab w:val="left" w:pos="851"/>
        </w:tabs>
        <w:rPr>
          <w:rFonts w:asciiTheme="minorHAnsi" w:eastAsiaTheme="minorEastAsia" w:hAnsiTheme="minorHAnsi" w:cstheme="minorBidi"/>
          <w:noProof/>
          <w:szCs w:val="22"/>
        </w:rPr>
      </w:pPr>
      <w:hyperlink w:anchor="_Toc124768033" w:history="1">
        <w:r w:rsidR="00F3394D" w:rsidRPr="005332BF">
          <w:rPr>
            <w:rStyle w:val="Hyperlink"/>
            <w:noProof/>
          </w:rPr>
          <w:t>7.1</w:t>
        </w:r>
        <w:r w:rsidR="00F3394D">
          <w:rPr>
            <w:rFonts w:asciiTheme="minorHAnsi" w:eastAsiaTheme="minorEastAsia" w:hAnsiTheme="minorHAnsi" w:cstheme="minorBidi"/>
            <w:noProof/>
            <w:szCs w:val="22"/>
          </w:rPr>
          <w:tab/>
        </w:r>
        <w:r w:rsidR="00F3394D" w:rsidRPr="005332BF">
          <w:rPr>
            <w:rStyle w:val="Hyperlink"/>
            <w:noProof/>
          </w:rPr>
          <w:t>Code of Practice (for only one of the two organisations)</w:t>
        </w:r>
        <w:r w:rsidR="00F3394D">
          <w:rPr>
            <w:noProof/>
            <w:webHidden/>
          </w:rPr>
          <w:tab/>
        </w:r>
        <w:r w:rsidR="00F3394D">
          <w:rPr>
            <w:noProof/>
            <w:webHidden/>
          </w:rPr>
          <w:fldChar w:fldCharType="begin"/>
        </w:r>
        <w:r w:rsidR="00F3394D">
          <w:rPr>
            <w:noProof/>
            <w:webHidden/>
          </w:rPr>
          <w:instrText xml:space="preserve"> PAGEREF _Toc124768033 \h </w:instrText>
        </w:r>
        <w:r w:rsidR="00F3394D">
          <w:rPr>
            <w:noProof/>
            <w:webHidden/>
          </w:rPr>
        </w:r>
        <w:r w:rsidR="00F3394D">
          <w:rPr>
            <w:noProof/>
            <w:webHidden/>
          </w:rPr>
          <w:fldChar w:fldCharType="separate"/>
        </w:r>
        <w:r w:rsidR="00F3394D">
          <w:rPr>
            <w:noProof/>
            <w:webHidden/>
          </w:rPr>
          <w:t>7</w:t>
        </w:r>
        <w:r w:rsidR="00F3394D">
          <w:rPr>
            <w:noProof/>
            <w:webHidden/>
          </w:rPr>
          <w:fldChar w:fldCharType="end"/>
        </w:r>
      </w:hyperlink>
    </w:p>
    <w:p w14:paraId="6DC1F740" w14:textId="77777777" w:rsidR="00F3394D" w:rsidRDefault="00000000" w:rsidP="0082157A">
      <w:pPr>
        <w:pStyle w:val="TOC2"/>
        <w:tabs>
          <w:tab w:val="left" w:pos="851"/>
        </w:tabs>
        <w:rPr>
          <w:rFonts w:asciiTheme="minorHAnsi" w:eastAsiaTheme="minorEastAsia" w:hAnsiTheme="minorHAnsi" w:cstheme="minorBidi"/>
          <w:noProof/>
          <w:szCs w:val="22"/>
        </w:rPr>
      </w:pPr>
      <w:hyperlink w:anchor="_Toc124768034" w:history="1">
        <w:r w:rsidR="00F3394D" w:rsidRPr="005332BF">
          <w:rPr>
            <w:rStyle w:val="Hyperlink"/>
            <w:noProof/>
          </w:rPr>
          <w:t>7.2</w:t>
        </w:r>
        <w:r w:rsidR="00F3394D">
          <w:rPr>
            <w:rFonts w:asciiTheme="minorHAnsi" w:eastAsiaTheme="minorEastAsia" w:hAnsiTheme="minorHAnsi" w:cstheme="minorBidi"/>
            <w:noProof/>
            <w:szCs w:val="22"/>
          </w:rPr>
          <w:tab/>
        </w:r>
        <w:r w:rsidR="00F3394D" w:rsidRPr="005332BF">
          <w:rPr>
            <w:rStyle w:val="Hyperlink"/>
            <w:noProof/>
          </w:rPr>
          <w:t>Ethical practices (this part covers both organisations)</w:t>
        </w:r>
        <w:r w:rsidR="00F3394D">
          <w:rPr>
            <w:noProof/>
            <w:webHidden/>
          </w:rPr>
          <w:tab/>
        </w:r>
        <w:r w:rsidR="00F3394D">
          <w:rPr>
            <w:noProof/>
            <w:webHidden/>
          </w:rPr>
          <w:fldChar w:fldCharType="begin"/>
        </w:r>
        <w:r w:rsidR="00F3394D">
          <w:rPr>
            <w:noProof/>
            <w:webHidden/>
          </w:rPr>
          <w:instrText xml:space="preserve"> PAGEREF _Toc124768034 \h </w:instrText>
        </w:r>
        <w:r w:rsidR="00F3394D">
          <w:rPr>
            <w:noProof/>
            <w:webHidden/>
          </w:rPr>
        </w:r>
        <w:r w:rsidR="00F3394D">
          <w:rPr>
            <w:noProof/>
            <w:webHidden/>
          </w:rPr>
          <w:fldChar w:fldCharType="separate"/>
        </w:r>
        <w:r w:rsidR="00F3394D">
          <w:rPr>
            <w:noProof/>
            <w:webHidden/>
          </w:rPr>
          <w:t>7</w:t>
        </w:r>
        <w:r w:rsidR="00F3394D">
          <w:rPr>
            <w:noProof/>
            <w:webHidden/>
          </w:rPr>
          <w:fldChar w:fldCharType="end"/>
        </w:r>
      </w:hyperlink>
    </w:p>
    <w:p w14:paraId="453750A7" w14:textId="77777777" w:rsidR="00F3394D" w:rsidRDefault="00000000" w:rsidP="003147DE">
      <w:pPr>
        <w:pStyle w:val="TOC1"/>
        <w:rPr>
          <w:rFonts w:asciiTheme="minorHAnsi" w:eastAsiaTheme="minorEastAsia" w:hAnsiTheme="minorHAnsi" w:cstheme="minorBidi"/>
          <w:szCs w:val="22"/>
        </w:rPr>
      </w:pPr>
      <w:hyperlink w:anchor="_Toc124768035" w:history="1">
        <w:r w:rsidR="00F3394D" w:rsidRPr="005332BF">
          <w:rPr>
            <w:rStyle w:val="Hyperlink"/>
            <w:rFonts w:cs="Arial"/>
          </w:rPr>
          <w:t>8</w:t>
        </w:r>
        <w:r w:rsidR="00F3394D">
          <w:rPr>
            <w:rFonts w:asciiTheme="minorHAnsi" w:eastAsiaTheme="minorEastAsia" w:hAnsiTheme="minorHAnsi" w:cstheme="minorBidi"/>
            <w:szCs w:val="22"/>
          </w:rPr>
          <w:tab/>
        </w:r>
        <w:r w:rsidR="00F3394D" w:rsidRPr="005332BF">
          <w:rPr>
            <w:rStyle w:val="Hyperlink"/>
            <w:rFonts w:cs="Arial"/>
          </w:rPr>
          <w:t>Conclusion</w:t>
        </w:r>
        <w:r w:rsidR="00F3394D">
          <w:rPr>
            <w:webHidden/>
          </w:rPr>
          <w:tab/>
        </w:r>
        <w:r w:rsidR="00F3394D">
          <w:rPr>
            <w:webHidden/>
          </w:rPr>
          <w:fldChar w:fldCharType="begin"/>
        </w:r>
        <w:r w:rsidR="00F3394D">
          <w:rPr>
            <w:webHidden/>
          </w:rPr>
          <w:instrText xml:space="preserve"> PAGEREF _Toc124768035 \h </w:instrText>
        </w:r>
        <w:r w:rsidR="00F3394D">
          <w:rPr>
            <w:webHidden/>
          </w:rPr>
        </w:r>
        <w:r w:rsidR="00F3394D">
          <w:rPr>
            <w:webHidden/>
          </w:rPr>
          <w:fldChar w:fldCharType="separate"/>
        </w:r>
        <w:r w:rsidR="00F3394D">
          <w:rPr>
            <w:webHidden/>
          </w:rPr>
          <w:t>8</w:t>
        </w:r>
        <w:r w:rsidR="00F3394D">
          <w:rPr>
            <w:webHidden/>
          </w:rPr>
          <w:fldChar w:fldCharType="end"/>
        </w:r>
      </w:hyperlink>
    </w:p>
    <w:p w14:paraId="761E00FD" w14:textId="77777777" w:rsidR="00F3394D" w:rsidRDefault="00000000" w:rsidP="003147DE">
      <w:pPr>
        <w:pStyle w:val="TOC1"/>
        <w:rPr>
          <w:rFonts w:asciiTheme="minorHAnsi" w:eastAsiaTheme="minorEastAsia" w:hAnsiTheme="minorHAnsi" w:cstheme="minorBidi"/>
          <w:szCs w:val="22"/>
        </w:rPr>
      </w:pPr>
      <w:hyperlink w:anchor="_Toc124768036" w:history="1">
        <w:r w:rsidR="00F3394D" w:rsidRPr="005332BF">
          <w:rPr>
            <w:rStyle w:val="Hyperlink"/>
          </w:rPr>
          <w:t>Appendix</w:t>
        </w:r>
        <w:r w:rsidR="00F3394D">
          <w:rPr>
            <w:webHidden/>
          </w:rPr>
          <w:tab/>
        </w:r>
        <w:r w:rsidR="00F3394D">
          <w:rPr>
            <w:webHidden/>
          </w:rPr>
          <w:fldChar w:fldCharType="begin"/>
        </w:r>
        <w:r w:rsidR="00F3394D">
          <w:rPr>
            <w:webHidden/>
          </w:rPr>
          <w:instrText xml:space="preserve"> PAGEREF _Toc124768036 \h </w:instrText>
        </w:r>
        <w:r w:rsidR="00F3394D">
          <w:rPr>
            <w:webHidden/>
          </w:rPr>
        </w:r>
        <w:r w:rsidR="00F3394D">
          <w:rPr>
            <w:webHidden/>
          </w:rPr>
          <w:fldChar w:fldCharType="separate"/>
        </w:r>
        <w:r w:rsidR="00F3394D">
          <w:rPr>
            <w:webHidden/>
          </w:rPr>
          <w:t>9</w:t>
        </w:r>
        <w:r w:rsidR="00F3394D">
          <w:rPr>
            <w:webHidden/>
          </w:rPr>
          <w:fldChar w:fldCharType="end"/>
        </w:r>
      </w:hyperlink>
    </w:p>
    <w:p w14:paraId="7818E072" w14:textId="77777777" w:rsidR="00F3394D" w:rsidRDefault="00000000">
      <w:pPr>
        <w:pStyle w:val="TOC2"/>
        <w:rPr>
          <w:rFonts w:asciiTheme="minorHAnsi" w:eastAsiaTheme="minorEastAsia" w:hAnsiTheme="minorHAnsi" w:cstheme="minorBidi"/>
          <w:noProof/>
          <w:szCs w:val="22"/>
        </w:rPr>
      </w:pPr>
      <w:hyperlink w:anchor="_Toc124768037" w:history="1">
        <w:r w:rsidR="00F3394D">
          <w:rPr>
            <w:rStyle w:val="Hyperlink"/>
            <w:noProof/>
          </w:rPr>
          <w:t>Organisation p</w:t>
        </w:r>
        <w:r w:rsidR="00F3394D" w:rsidRPr="005332BF">
          <w:rPr>
            <w:rStyle w:val="Hyperlink"/>
            <w:noProof/>
          </w:rPr>
          <w:t>olicies, procedures and best practices documentation</w:t>
        </w:r>
        <w:r w:rsidR="00F3394D">
          <w:rPr>
            <w:noProof/>
            <w:webHidden/>
          </w:rPr>
          <w:tab/>
        </w:r>
        <w:r w:rsidR="00F3394D">
          <w:rPr>
            <w:noProof/>
            <w:webHidden/>
          </w:rPr>
          <w:fldChar w:fldCharType="begin"/>
        </w:r>
        <w:r w:rsidR="00F3394D">
          <w:rPr>
            <w:noProof/>
            <w:webHidden/>
          </w:rPr>
          <w:instrText xml:space="preserve"> PAGEREF _Toc124768037 \h </w:instrText>
        </w:r>
        <w:r w:rsidR="00F3394D">
          <w:rPr>
            <w:noProof/>
            <w:webHidden/>
          </w:rPr>
        </w:r>
        <w:r w:rsidR="00F3394D">
          <w:rPr>
            <w:noProof/>
            <w:webHidden/>
          </w:rPr>
          <w:fldChar w:fldCharType="separate"/>
        </w:r>
        <w:r w:rsidR="00F3394D">
          <w:rPr>
            <w:noProof/>
            <w:webHidden/>
          </w:rPr>
          <w:t>9</w:t>
        </w:r>
        <w:r w:rsidR="00F3394D">
          <w:rPr>
            <w:noProof/>
            <w:webHidden/>
          </w:rPr>
          <w:fldChar w:fldCharType="end"/>
        </w:r>
      </w:hyperlink>
    </w:p>
    <w:p w14:paraId="31692A91" w14:textId="47288F65" w:rsidR="00CB29F6" w:rsidRPr="00097492" w:rsidRDefault="00486AD1">
      <w:r w:rsidRPr="00097492">
        <w:rPr>
          <w:rFonts w:ascii="Tahoma" w:hAnsi="Tahoma" w:cs="Tahoma"/>
          <w:sz w:val="48"/>
          <w:szCs w:val="48"/>
        </w:rPr>
        <w:fldChar w:fldCharType="end"/>
      </w:r>
    </w:p>
    <w:p w14:paraId="2A92BFBD" w14:textId="77777777" w:rsidR="00486AD1" w:rsidRPr="00097492" w:rsidRDefault="00486AD1" w:rsidP="00E81220">
      <w:pPr>
        <w:pStyle w:val="TOC2"/>
        <w:rPr>
          <w:rFonts w:eastAsia="Calibri"/>
        </w:rPr>
      </w:pPr>
      <w:bookmarkStart w:id="1" w:name="_Toc515785685"/>
      <w:r w:rsidRPr="00097492">
        <w:rPr>
          <w:rFonts w:eastAsia="Calibri"/>
        </w:rPr>
        <w:br w:type="page"/>
      </w:r>
    </w:p>
    <w:p w14:paraId="751E09B9" w14:textId="5B8FEE8F" w:rsidR="00EF10D3" w:rsidRPr="00FD491F" w:rsidRDefault="004372FC" w:rsidP="00F74393">
      <w:pPr>
        <w:pStyle w:val="Heading1"/>
        <w:ind w:left="567" w:hanging="567"/>
        <w:rPr>
          <w:rStyle w:val="eop"/>
        </w:rPr>
      </w:pPr>
      <w:bookmarkStart w:id="2" w:name="_Toc83251850"/>
      <w:bookmarkStart w:id="3" w:name="_Toc124768025"/>
      <w:r>
        <w:lastRenderedPageBreak/>
        <w:t>1</w:t>
      </w:r>
      <w:bookmarkEnd w:id="1"/>
      <w:r w:rsidR="00F71A95">
        <w:tab/>
      </w:r>
      <w:bookmarkEnd w:id="2"/>
      <w:r w:rsidR="008B70B4">
        <w:t>Abstract</w:t>
      </w:r>
      <w:bookmarkStart w:id="4" w:name="_Toc515785691"/>
      <w:bookmarkEnd w:id="3"/>
    </w:p>
    <w:p w14:paraId="74064DC0" w14:textId="1E8C5F05" w:rsidR="00CE2F53" w:rsidRDefault="001669AE">
      <w:pPr>
        <w:overflowPunct/>
        <w:autoSpaceDE/>
        <w:autoSpaceDN/>
        <w:adjustRightInd/>
        <w:textAlignment w:val="auto"/>
        <w:rPr>
          <w:b/>
          <w:kern w:val="28"/>
          <w:sz w:val="32"/>
        </w:rPr>
      </w:pPr>
      <w:bookmarkStart w:id="5" w:name="_Toc83251851"/>
      <w:r w:rsidRPr="001669AE">
        <w:rPr>
          <w:rStyle w:val="eop"/>
        </w:rPr>
        <w:t>Here in this report, I have tried to cover details on my analysis of the Turtle Movers</w:t>
      </w:r>
      <w:r>
        <w:rPr>
          <w:rStyle w:val="eop"/>
        </w:rPr>
        <w:t>’ operation and their compliance with Australian cyber security legislatives</w:t>
      </w:r>
      <w:r w:rsidRPr="001669AE">
        <w:rPr>
          <w:rStyle w:val="eop"/>
        </w:rPr>
        <w:t xml:space="preserve"> based on the details and documents provided. The performed analysis on privacy policies and procedures was a necessary step for this organization, as we found that they are now enforcing basic facilities and policies while</w:t>
      </w:r>
      <w:r>
        <w:rPr>
          <w:rStyle w:val="eop"/>
        </w:rPr>
        <w:t xml:space="preserve"> they are</w:t>
      </w:r>
      <w:r w:rsidRPr="001669AE">
        <w:rPr>
          <w:rStyle w:val="eop"/>
        </w:rPr>
        <w:t xml:space="preserve"> operating nationally across Australia. Moreover, after reviewing relevant Australian laws and regulations </w:t>
      </w:r>
      <w:r>
        <w:rPr>
          <w:rStyle w:val="eop"/>
        </w:rPr>
        <w:t>associated</w:t>
      </w:r>
      <w:r w:rsidRPr="001669AE">
        <w:rPr>
          <w:rStyle w:val="eop"/>
        </w:rPr>
        <w:t xml:space="preserve"> to their operations, we believe it is beneficial to briefly describe upcoming reforms in privacy legislation and possible ways in which this organization will benefit from them. Furthermore, we researched and </w:t>
      </w:r>
      <w:r w:rsidR="00C1164F" w:rsidRPr="001669AE">
        <w:rPr>
          <w:rStyle w:val="eop"/>
        </w:rPr>
        <w:t>analysed</w:t>
      </w:r>
      <w:r w:rsidRPr="001669AE">
        <w:rPr>
          <w:rStyle w:val="eop"/>
        </w:rPr>
        <w:t xml:space="preserve"> this organization’s operations, which allowed us to evaluate their impact on data security. Our findings highlighted the importance of adhering to relevant national regulations, enabling us to provide an overview of how their operations will be affected by these legislative changes. We also narrated how interdependencies between different legislative instruments of cyber security may occur and provided an example. Lastly, we examined the organization’s policies and procedures (the organization’s ethical practices were also subject to evaluation) and suggested revisions to improve them based on the Australian Privacy Principles. We </w:t>
      </w:r>
      <w:r w:rsidR="00C1164F">
        <w:rPr>
          <w:rStyle w:val="eop"/>
        </w:rPr>
        <w:t>finished</w:t>
      </w:r>
      <w:r w:rsidRPr="001669AE">
        <w:rPr>
          <w:rStyle w:val="eop"/>
        </w:rPr>
        <w:t xml:space="preserve"> the report by </w:t>
      </w:r>
      <w:r w:rsidR="00C1164F">
        <w:rPr>
          <w:rStyle w:val="eop"/>
        </w:rPr>
        <w:t>making suggestions and</w:t>
      </w:r>
      <w:r w:rsidRPr="001669AE">
        <w:rPr>
          <w:rStyle w:val="eop"/>
        </w:rPr>
        <w:t xml:space="preserve"> recommendations, </w:t>
      </w:r>
      <w:r w:rsidR="00C1164F">
        <w:rPr>
          <w:rStyle w:val="eop"/>
        </w:rPr>
        <w:t>stating that there is a</w:t>
      </w:r>
      <w:r w:rsidRPr="001669AE">
        <w:rPr>
          <w:rStyle w:val="eop"/>
        </w:rPr>
        <w:t xml:space="preserve"> need for them to read and review our suggested techniques and policies if they wish to implement them (although we mentioned that they are necessary and need to be used eventually).</w:t>
      </w:r>
      <w:r w:rsidR="00CE2F53">
        <w:br w:type="page"/>
      </w:r>
    </w:p>
    <w:p w14:paraId="30E1C46C" w14:textId="77777777" w:rsidR="00CB29F6" w:rsidRPr="00843F49" w:rsidRDefault="00843F49" w:rsidP="00F74393">
      <w:pPr>
        <w:pStyle w:val="Heading1"/>
        <w:ind w:left="567" w:hanging="567"/>
      </w:pPr>
      <w:bookmarkStart w:id="6" w:name="_Toc124768026"/>
      <w:r w:rsidRPr="00843F49">
        <w:lastRenderedPageBreak/>
        <w:t>2</w:t>
      </w:r>
      <w:bookmarkEnd w:id="4"/>
      <w:r w:rsidR="00F71A95">
        <w:tab/>
      </w:r>
      <w:bookmarkEnd w:id="5"/>
      <w:r w:rsidR="008B70B4">
        <w:t>Introduction</w:t>
      </w:r>
      <w:bookmarkEnd w:id="6"/>
    </w:p>
    <w:p w14:paraId="78D2C9D6" w14:textId="154463D6" w:rsidR="00207AC2" w:rsidRPr="006F0CB5" w:rsidRDefault="006F0CB5" w:rsidP="00FD491F">
      <w:pPr>
        <w:rPr>
          <w:rStyle w:val="eop"/>
        </w:rPr>
      </w:pPr>
      <w:r w:rsidRPr="006F0CB5">
        <w:rPr>
          <w:rStyle w:val="eop"/>
        </w:rPr>
        <w:t xml:space="preserve">This organization is called Turtle movers. They are specialized in removal and movement services. They used to only operate in New South Wales region with 2 trucks but today they are operating around Australia with 50 trucks of different capacity. This company’s operation seems to be relying on their online services and the only physical presence is </w:t>
      </w:r>
      <w:proofErr w:type="gramStart"/>
      <w:r w:rsidRPr="006F0CB5">
        <w:rPr>
          <w:rStyle w:val="eop"/>
        </w:rPr>
        <w:t>its</w:t>
      </w:r>
      <w:proofErr w:type="gramEnd"/>
      <w:r w:rsidRPr="006F0CB5">
        <w:rPr>
          <w:rStyle w:val="eop"/>
        </w:rPr>
        <w:t xml:space="preserve"> headquarter located in Sydney, NSW. As mentioned, their website is where almost all of transactions are handled. One of these transactions can be bookings (their cancellations and rescheduling). Then we have got insurance, payments through credit cards and bank transfers, refunds, and also clients reward and loyalty benefits. Their security system is reported to be basic, a protection provided by the one who provided the website and also security person who is self-trained in his house.</w:t>
      </w:r>
    </w:p>
    <w:p w14:paraId="49960111" w14:textId="77777777" w:rsidR="008C5354" w:rsidRPr="00065A83" w:rsidRDefault="00065A83" w:rsidP="00F74393">
      <w:pPr>
        <w:pStyle w:val="Heading1"/>
        <w:ind w:left="567" w:hanging="567"/>
      </w:pPr>
      <w:bookmarkStart w:id="7" w:name="_Toc83251852"/>
      <w:bookmarkStart w:id="8" w:name="_Toc124768027"/>
      <w:r>
        <w:rPr>
          <w:rStyle w:val="eop"/>
        </w:rPr>
        <w:t>3</w:t>
      </w:r>
      <w:r w:rsidR="00F71A95">
        <w:rPr>
          <w:rStyle w:val="eop"/>
        </w:rPr>
        <w:tab/>
      </w:r>
      <w:bookmarkEnd w:id="7"/>
      <w:r w:rsidR="008B70B4">
        <w:rPr>
          <w:rStyle w:val="eop"/>
        </w:rPr>
        <w:t xml:space="preserve">Cyber Security </w:t>
      </w:r>
      <w:r w:rsidR="0021261F">
        <w:rPr>
          <w:rStyle w:val="eop"/>
        </w:rPr>
        <w:t xml:space="preserve">Legislative and Regulatory </w:t>
      </w:r>
      <w:r w:rsidR="008B70B4">
        <w:rPr>
          <w:rStyle w:val="eop"/>
        </w:rPr>
        <w:t>Review</w:t>
      </w:r>
      <w:bookmarkEnd w:id="8"/>
    </w:p>
    <w:p w14:paraId="32A451AE" w14:textId="3A248199" w:rsidR="0021261F" w:rsidRPr="00CB7391" w:rsidRDefault="001D3CA5" w:rsidP="00FD491F">
      <w:pPr>
        <w:rPr>
          <w:rStyle w:val="eop"/>
          <w:rFonts w:cs="Arial"/>
          <w:color w:val="1F4E79" w:themeColor="accent1" w:themeShade="80"/>
        </w:rPr>
      </w:pPr>
      <w:r>
        <w:t xml:space="preserve">It is a critical sector where they organize movements of goods around Australia. As there was a explode in online shopping, they also have been benefiting from this and transferring goods after purchases. They are dealing with different types of cargo and customer needs. They </w:t>
      </w:r>
      <w:proofErr w:type="gramStart"/>
      <w:r>
        <w:t>are also are</w:t>
      </w:r>
      <w:proofErr w:type="gramEnd"/>
      <w:r>
        <w:t xml:space="preserve"> having a wide range of data collected from bookings, cancellations and their reward cards.</w:t>
      </w:r>
    </w:p>
    <w:p w14:paraId="64DE4571" w14:textId="77777777" w:rsidR="0021261F" w:rsidRDefault="0021261F" w:rsidP="0021261F">
      <w:pPr>
        <w:pStyle w:val="ListParagraph"/>
        <w:ind w:left="0"/>
        <w:rPr>
          <w:rStyle w:val="eop"/>
          <w:rFonts w:cs="Arial"/>
        </w:rPr>
      </w:pPr>
    </w:p>
    <w:tbl>
      <w:tblPr>
        <w:tblStyle w:val="TableGrid"/>
        <w:tblW w:w="10348" w:type="dxa"/>
        <w:tblInd w:w="-147" w:type="dxa"/>
        <w:tblLayout w:type="fixed"/>
        <w:tblLook w:val="04A0" w:firstRow="1" w:lastRow="0" w:firstColumn="1" w:lastColumn="0" w:noHBand="0" w:noVBand="1"/>
      </w:tblPr>
      <w:tblGrid>
        <w:gridCol w:w="3103"/>
        <w:gridCol w:w="525"/>
        <w:gridCol w:w="526"/>
        <w:gridCol w:w="526"/>
        <w:gridCol w:w="5668"/>
      </w:tblGrid>
      <w:tr w:rsidR="00C30E81" w:rsidRPr="00556B90" w14:paraId="75FD9D23" w14:textId="77777777" w:rsidTr="00BB1FA3">
        <w:trPr>
          <w:trHeight w:val="378"/>
        </w:trPr>
        <w:tc>
          <w:tcPr>
            <w:tcW w:w="3103" w:type="dxa"/>
            <w:shd w:val="clear" w:color="auto" w:fill="D9D9D9" w:themeFill="background1" w:themeFillShade="D9"/>
            <w:vAlign w:val="center"/>
          </w:tcPr>
          <w:p w14:paraId="4CB38427" w14:textId="77777777" w:rsidR="00C30E81" w:rsidRPr="00216E42" w:rsidRDefault="00C30E81" w:rsidP="00BB1FA3">
            <w:pPr>
              <w:pStyle w:val="TableHeading"/>
              <w:jc w:val="center"/>
            </w:pPr>
            <w:r w:rsidRPr="00216E42">
              <w:t>SECTOR:</w:t>
            </w:r>
          </w:p>
        </w:tc>
        <w:tc>
          <w:tcPr>
            <w:tcW w:w="7245" w:type="dxa"/>
            <w:gridSpan w:val="4"/>
            <w:shd w:val="clear" w:color="auto" w:fill="auto"/>
            <w:vAlign w:val="center"/>
          </w:tcPr>
          <w:p w14:paraId="1DE1AEDA" w14:textId="77777777" w:rsidR="00C30E81" w:rsidRPr="00556B90" w:rsidRDefault="00C30E81" w:rsidP="00BB1FA3">
            <w:pPr>
              <w:pStyle w:val="TableHeading"/>
              <w:rPr>
                <w:b w:val="0"/>
                <w:bCs/>
                <w:color w:val="FF0000"/>
              </w:rPr>
            </w:pPr>
            <w:r w:rsidRPr="00556B90">
              <w:rPr>
                <w:b w:val="0"/>
                <w:bCs/>
              </w:rPr>
              <w:t>Transportation</w:t>
            </w:r>
          </w:p>
        </w:tc>
      </w:tr>
      <w:tr w:rsidR="00C30E81" w:rsidRPr="00216E42" w14:paraId="03A4C0E0" w14:textId="77777777" w:rsidTr="00BB1FA3">
        <w:trPr>
          <w:trHeight w:val="327"/>
        </w:trPr>
        <w:tc>
          <w:tcPr>
            <w:tcW w:w="3103" w:type="dxa"/>
            <w:vMerge w:val="restart"/>
            <w:shd w:val="clear" w:color="auto" w:fill="D9D9D9" w:themeFill="background1" w:themeFillShade="D9"/>
            <w:vAlign w:val="center"/>
          </w:tcPr>
          <w:p w14:paraId="1D822D8B" w14:textId="77777777" w:rsidR="00C30E81" w:rsidRPr="00216E42" w:rsidRDefault="00C30E81" w:rsidP="00BB1FA3">
            <w:pPr>
              <w:pStyle w:val="TableHeading"/>
              <w:jc w:val="center"/>
            </w:pPr>
            <w:r w:rsidRPr="00216E42">
              <w:t>CYBER SECURITY and related</w:t>
            </w:r>
          </w:p>
          <w:p w14:paraId="261A01A4" w14:textId="77777777" w:rsidR="00C30E81" w:rsidRPr="00216E42" w:rsidRDefault="00C30E81" w:rsidP="00BB1FA3">
            <w:pPr>
              <w:pStyle w:val="TableHeading"/>
              <w:jc w:val="center"/>
            </w:pPr>
            <w:r w:rsidRPr="00216E42">
              <w:t>LEGISLATION</w:t>
            </w:r>
          </w:p>
        </w:tc>
        <w:tc>
          <w:tcPr>
            <w:tcW w:w="1577" w:type="dxa"/>
            <w:gridSpan w:val="3"/>
            <w:shd w:val="clear" w:color="auto" w:fill="D9D9D9" w:themeFill="background1" w:themeFillShade="D9"/>
            <w:vAlign w:val="center"/>
          </w:tcPr>
          <w:p w14:paraId="4EBDC9BE" w14:textId="77777777" w:rsidR="00C30E81" w:rsidRPr="00216E42" w:rsidRDefault="00C30E81" w:rsidP="00BB1FA3">
            <w:pPr>
              <w:pStyle w:val="TableHeading"/>
              <w:jc w:val="center"/>
            </w:pPr>
            <w:r w:rsidRPr="00216E42">
              <w:t>SCOPE</w:t>
            </w:r>
          </w:p>
        </w:tc>
        <w:tc>
          <w:tcPr>
            <w:tcW w:w="5668" w:type="dxa"/>
            <w:vMerge w:val="restart"/>
            <w:shd w:val="clear" w:color="auto" w:fill="D9D9D9" w:themeFill="background1" w:themeFillShade="D9"/>
            <w:vAlign w:val="center"/>
          </w:tcPr>
          <w:p w14:paraId="61F15DB5" w14:textId="77777777" w:rsidR="00C30E81" w:rsidRPr="00216E42" w:rsidRDefault="00C30E81" w:rsidP="00BB1FA3">
            <w:pPr>
              <w:pStyle w:val="TableHeading"/>
              <w:jc w:val="center"/>
            </w:pPr>
            <w:r w:rsidRPr="00216E42">
              <w:t>BUSINESS AREAS/ACTIVITIES AFFECTED</w:t>
            </w:r>
          </w:p>
        </w:tc>
      </w:tr>
      <w:tr w:rsidR="00C30E81" w:rsidRPr="00216E42" w14:paraId="0F20458A" w14:textId="77777777" w:rsidTr="00BB1FA3">
        <w:trPr>
          <w:cantSplit/>
          <w:trHeight w:val="991"/>
        </w:trPr>
        <w:tc>
          <w:tcPr>
            <w:tcW w:w="3103" w:type="dxa"/>
            <w:vMerge/>
            <w:vAlign w:val="center"/>
          </w:tcPr>
          <w:p w14:paraId="6287F5DD" w14:textId="77777777" w:rsidR="00C30E81" w:rsidRPr="00216E42" w:rsidRDefault="00C30E81" w:rsidP="00BB1FA3">
            <w:pPr>
              <w:pStyle w:val="TableText"/>
            </w:pPr>
          </w:p>
        </w:tc>
        <w:tc>
          <w:tcPr>
            <w:tcW w:w="525" w:type="dxa"/>
            <w:shd w:val="clear" w:color="auto" w:fill="F2F2F2" w:themeFill="background1" w:themeFillShade="F2"/>
            <w:textDirection w:val="btLr"/>
            <w:vAlign w:val="center"/>
          </w:tcPr>
          <w:p w14:paraId="14F00ABC" w14:textId="77777777" w:rsidR="00C30E81" w:rsidRPr="00AA78A1" w:rsidRDefault="00C30E81" w:rsidP="00BB1FA3">
            <w:pPr>
              <w:pStyle w:val="TableHeading"/>
              <w:rPr>
                <w:sz w:val="20"/>
                <w:szCs w:val="20"/>
              </w:rPr>
            </w:pPr>
            <w:r>
              <w:rPr>
                <w:sz w:val="20"/>
                <w:szCs w:val="20"/>
              </w:rPr>
              <w:t xml:space="preserve"> </w:t>
            </w:r>
            <w:r w:rsidRPr="00AA78A1">
              <w:rPr>
                <w:sz w:val="20"/>
                <w:szCs w:val="20"/>
              </w:rPr>
              <w:t>Federal</w:t>
            </w:r>
          </w:p>
        </w:tc>
        <w:tc>
          <w:tcPr>
            <w:tcW w:w="526" w:type="dxa"/>
            <w:shd w:val="clear" w:color="auto" w:fill="F2F2F2" w:themeFill="background1" w:themeFillShade="F2"/>
            <w:textDirection w:val="btLr"/>
            <w:vAlign w:val="center"/>
          </w:tcPr>
          <w:p w14:paraId="57D893E7" w14:textId="77777777" w:rsidR="00C30E81" w:rsidRPr="00AA78A1" w:rsidRDefault="00C30E81" w:rsidP="00BB1FA3">
            <w:pPr>
              <w:pStyle w:val="TableHeading"/>
              <w:rPr>
                <w:sz w:val="20"/>
                <w:szCs w:val="20"/>
              </w:rPr>
            </w:pPr>
            <w:r>
              <w:rPr>
                <w:sz w:val="20"/>
                <w:szCs w:val="20"/>
              </w:rPr>
              <w:t xml:space="preserve"> </w:t>
            </w:r>
            <w:r w:rsidRPr="00AA78A1">
              <w:rPr>
                <w:sz w:val="20"/>
                <w:szCs w:val="20"/>
              </w:rPr>
              <w:t>State</w:t>
            </w:r>
          </w:p>
        </w:tc>
        <w:tc>
          <w:tcPr>
            <w:tcW w:w="526" w:type="dxa"/>
            <w:shd w:val="clear" w:color="auto" w:fill="F2F2F2" w:themeFill="background1" w:themeFillShade="F2"/>
            <w:textDirection w:val="btLr"/>
            <w:vAlign w:val="center"/>
          </w:tcPr>
          <w:p w14:paraId="2AAEFB4E" w14:textId="77777777" w:rsidR="00C30E81" w:rsidRPr="00AA78A1" w:rsidRDefault="00C30E81" w:rsidP="00BB1FA3">
            <w:pPr>
              <w:pStyle w:val="TableHeading"/>
              <w:rPr>
                <w:sz w:val="20"/>
                <w:szCs w:val="20"/>
              </w:rPr>
            </w:pPr>
            <w:r>
              <w:rPr>
                <w:sz w:val="20"/>
                <w:szCs w:val="20"/>
              </w:rPr>
              <w:t xml:space="preserve"> </w:t>
            </w:r>
            <w:r w:rsidRPr="00AA78A1">
              <w:rPr>
                <w:sz w:val="20"/>
                <w:szCs w:val="20"/>
              </w:rPr>
              <w:t>Territory</w:t>
            </w:r>
          </w:p>
        </w:tc>
        <w:tc>
          <w:tcPr>
            <w:tcW w:w="5668" w:type="dxa"/>
            <w:vMerge/>
            <w:vAlign w:val="center"/>
          </w:tcPr>
          <w:p w14:paraId="15EBB8E1" w14:textId="77777777" w:rsidR="00C30E81" w:rsidRPr="00216E42" w:rsidRDefault="00C30E81" w:rsidP="00BB1FA3">
            <w:pPr>
              <w:pStyle w:val="TableText"/>
            </w:pPr>
          </w:p>
        </w:tc>
      </w:tr>
      <w:tr w:rsidR="00C30E81" w:rsidRPr="00216E42" w14:paraId="03AC8D7C" w14:textId="77777777" w:rsidTr="00BB1FA3">
        <w:tc>
          <w:tcPr>
            <w:tcW w:w="3103" w:type="dxa"/>
            <w:vAlign w:val="center"/>
          </w:tcPr>
          <w:p w14:paraId="641882A4" w14:textId="77777777" w:rsidR="00C30E81" w:rsidRPr="00216E42" w:rsidRDefault="00C30E81" w:rsidP="00BB1FA3">
            <w:pPr>
              <w:pStyle w:val="TableText"/>
            </w:pPr>
            <w:r>
              <w:t>Australian Cyber Security Centre (ACSC) Guidelines</w:t>
            </w:r>
          </w:p>
        </w:tc>
        <w:tc>
          <w:tcPr>
            <w:tcW w:w="525" w:type="dxa"/>
            <w:vAlign w:val="center"/>
          </w:tcPr>
          <w:p w14:paraId="1B58C0AC"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456761148"/>
                <w14:checkbox>
                  <w14:checked w14:val="1"/>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26" w:type="dxa"/>
            <w:vAlign w:val="center"/>
          </w:tcPr>
          <w:p w14:paraId="36E439F6"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400489861"/>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26" w:type="dxa"/>
            <w:vAlign w:val="center"/>
          </w:tcPr>
          <w:p w14:paraId="6C906409"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1213546512"/>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668" w:type="dxa"/>
            <w:vAlign w:val="center"/>
          </w:tcPr>
          <w:p w14:paraId="7A5AAD05" w14:textId="77777777" w:rsidR="00C30E81" w:rsidRPr="00216E42" w:rsidRDefault="00C30E81" w:rsidP="00BB1FA3">
            <w:pPr>
              <w:pStyle w:val="TableText"/>
            </w:pPr>
            <w:r>
              <w:t>I</w:t>
            </w:r>
            <w:r w:rsidRPr="00761BC8">
              <w:t>nteractions</w:t>
            </w:r>
            <w:r>
              <w:t xml:space="preserve"> those taking place online</w:t>
            </w:r>
            <w:r w:rsidRPr="00761BC8">
              <w:t xml:space="preserve"> </w:t>
            </w:r>
            <w:r>
              <w:t>between</w:t>
            </w:r>
            <w:r w:rsidRPr="00761BC8">
              <w:t xml:space="preserve"> their employees with customers and external </w:t>
            </w:r>
            <w:r>
              <w:t>actors</w:t>
            </w:r>
            <w:r w:rsidRPr="00761BC8">
              <w:t xml:space="preserve">. data Protection </w:t>
            </w:r>
            <w:r>
              <w:t>those received or generated</w:t>
            </w:r>
            <w:r w:rsidRPr="00761BC8">
              <w:t xml:space="preserve"> online</w:t>
            </w:r>
            <w:r>
              <w:t xml:space="preserve"> during</w:t>
            </w:r>
            <w:r w:rsidRPr="00761BC8">
              <w:t xml:space="preserve"> transactions including bookings, cancellations, insurance, payments, and refunds. </w:t>
            </w:r>
            <w:r>
              <w:t xml:space="preserve">Also, their </w:t>
            </w:r>
            <w:r w:rsidRPr="00761BC8">
              <w:t xml:space="preserve">website’s security and </w:t>
            </w:r>
            <w:r>
              <w:t xml:space="preserve">the approaches on </w:t>
            </w:r>
            <w:r w:rsidRPr="00761BC8">
              <w:t>manag</w:t>
            </w:r>
            <w:r>
              <w:t xml:space="preserve">ing </w:t>
            </w:r>
            <w:r w:rsidRPr="00761BC8">
              <w:t>client</w:t>
            </w:r>
            <w:r>
              <w:t xml:space="preserve">’s </w:t>
            </w:r>
            <w:r w:rsidRPr="00761BC8">
              <w:t>rewards and loyalty benefits</w:t>
            </w:r>
            <w:r>
              <w:t xml:space="preserve"> in addition to information associated with them.</w:t>
            </w:r>
          </w:p>
        </w:tc>
      </w:tr>
      <w:tr w:rsidR="00C30E81" w:rsidRPr="00216E42" w14:paraId="7D85B4DA" w14:textId="77777777" w:rsidTr="00BB1FA3">
        <w:tc>
          <w:tcPr>
            <w:tcW w:w="3103" w:type="dxa"/>
            <w:vAlign w:val="center"/>
          </w:tcPr>
          <w:p w14:paraId="0DBC7A7C" w14:textId="77777777" w:rsidR="00C30E81" w:rsidRPr="00216E42" w:rsidRDefault="00C30E81" w:rsidP="00BB1FA3">
            <w:pPr>
              <w:pStyle w:val="TableText"/>
            </w:pPr>
            <w:r w:rsidRPr="001407E9">
              <w:t>Privacy Act 1988</w:t>
            </w:r>
            <w:r w:rsidRPr="001407E9">
              <w:tab/>
            </w:r>
          </w:p>
        </w:tc>
        <w:tc>
          <w:tcPr>
            <w:tcW w:w="525" w:type="dxa"/>
            <w:vAlign w:val="center"/>
          </w:tcPr>
          <w:p w14:paraId="12B38F83"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100306830"/>
                <w14:checkbox>
                  <w14:checked w14:val="1"/>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26" w:type="dxa"/>
            <w:vAlign w:val="center"/>
          </w:tcPr>
          <w:p w14:paraId="0D954B5E"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1654822089"/>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26" w:type="dxa"/>
            <w:vAlign w:val="center"/>
          </w:tcPr>
          <w:p w14:paraId="33790029"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2107723892"/>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668" w:type="dxa"/>
            <w:vAlign w:val="center"/>
          </w:tcPr>
          <w:p w14:paraId="4407E269" w14:textId="77777777" w:rsidR="00C30E81" w:rsidRPr="00216E42" w:rsidRDefault="00C30E81" w:rsidP="00BB1FA3">
            <w:pPr>
              <w:pStyle w:val="TableText"/>
            </w:pPr>
            <w:r w:rsidRPr="001407E9">
              <w:t>Data collected from online transactions, including bookings, cancellations, insurance details, payments, and refunds. Data shared with or received from clients, and data transfer within the organization.</w:t>
            </w:r>
          </w:p>
        </w:tc>
      </w:tr>
      <w:tr w:rsidR="00C30E81" w:rsidRPr="00216E42" w14:paraId="11B27923" w14:textId="77777777" w:rsidTr="00BB1FA3">
        <w:tc>
          <w:tcPr>
            <w:tcW w:w="3103" w:type="dxa"/>
            <w:vAlign w:val="center"/>
          </w:tcPr>
          <w:p w14:paraId="0D77FFD1" w14:textId="77777777" w:rsidR="00C30E81" w:rsidRPr="00216E42" w:rsidRDefault="00C30E81" w:rsidP="00BB1FA3">
            <w:pPr>
              <w:pStyle w:val="TableText"/>
            </w:pPr>
            <w:r w:rsidRPr="001407E9">
              <w:t>Spam Act 2003</w:t>
            </w:r>
          </w:p>
        </w:tc>
        <w:tc>
          <w:tcPr>
            <w:tcW w:w="525" w:type="dxa"/>
            <w:vAlign w:val="center"/>
          </w:tcPr>
          <w:p w14:paraId="4F9DA8B3"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560406794"/>
                <w14:checkbox>
                  <w14:checked w14:val="1"/>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26" w:type="dxa"/>
            <w:vAlign w:val="center"/>
          </w:tcPr>
          <w:p w14:paraId="6E5DC892"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85235917"/>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26" w:type="dxa"/>
            <w:vAlign w:val="center"/>
          </w:tcPr>
          <w:p w14:paraId="1EE4784F"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2060983952"/>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668" w:type="dxa"/>
            <w:vAlign w:val="center"/>
          </w:tcPr>
          <w:p w14:paraId="3DE83E80" w14:textId="77777777" w:rsidR="00C30E81" w:rsidRPr="00216E42" w:rsidRDefault="00C30E81" w:rsidP="00BB1FA3">
            <w:pPr>
              <w:pStyle w:val="TableText"/>
            </w:pPr>
            <w:r w:rsidRPr="00A16B49">
              <w:t>Practices</w:t>
            </w:r>
            <w:r>
              <w:t xml:space="preserve"> for </w:t>
            </w:r>
            <w:r w:rsidRPr="00A16B49">
              <w:t xml:space="preserve">Email and online marketing, including </w:t>
            </w:r>
            <w:r w:rsidRPr="00A16B49">
              <w:lastRenderedPageBreak/>
              <w:t xml:space="preserve">advertisements and </w:t>
            </w:r>
            <w:r>
              <w:t>other</w:t>
            </w:r>
            <w:r w:rsidRPr="00A16B49">
              <w:t xml:space="preserve"> communications sent to clients. Regulates all forms of electronic</w:t>
            </w:r>
            <w:r>
              <w:t xml:space="preserve"> </w:t>
            </w:r>
            <w:r w:rsidRPr="00A16B49">
              <w:t>communication.</w:t>
            </w:r>
          </w:p>
        </w:tc>
      </w:tr>
      <w:tr w:rsidR="00C30E81" w:rsidRPr="00216E42" w14:paraId="312C3308" w14:textId="77777777" w:rsidTr="00BB1FA3">
        <w:tc>
          <w:tcPr>
            <w:tcW w:w="3103" w:type="dxa"/>
            <w:vAlign w:val="center"/>
          </w:tcPr>
          <w:p w14:paraId="06DDF5E1" w14:textId="77777777" w:rsidR="00C30E81" w:rsidRPr="00216E42" w:rsidRDefault="00C30E81" w:rsidP="00BB1FA3">
            <w:pPr>
              <w:pStyle w:val="TableText"/>
            </w:pPr>
            <w:r w:rsidRPr="004E434A">
              <w:lastRenderedPageBreak/>
              <w:t>Privacy and Personal Information Protection Act 1998 (NSW)</w:t>
            </w:r>
          </w:p>
        </w:tc>
        <w:tc>
          <w:tcPr>
            <w:tcW w:w="525" w:type="dxa"/>
            <w:vAlign w:val="center"/>
          </w:tcPr>
          <w:p w14:paraId="0C2E7B21"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1031257801"/>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26" w:type="dxa"/>
            <w:vAlign w:val="center"/>
          </w:tcPr>
          <w:p w14:paraId="6E3651EA"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552432732"/>
                <w14:checkbox>
                  <w14:checked w14:val="1"/>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26" w:type="dxa"/>
            <w:vAlign w:val="center"/>
          </w:tcPr>
          <w:p w14:paraId="34F16F4D"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1504475601"/>
                <w14:checkbox>
                  <w14:checked w14:val="1"/>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668" w:type="dxa"/>
            <w:vAlign w:val="center"/>
          </w:tcPr>
          <w:p w14:paraId="2D47A907" w14:textId="77777777" w:rsidR="00C30E81" w:rsidRPr="00216E42" w:rsidRDefault="00C30E81" w:rsidP="00BB1FA3">
            <w:pPr>
              <w:pStyle w:val="TableText"/>
            </w:pPr>
            <w:r w:rsidRPr="004E434A">
              <w:t>Personal information of clients and employees collected during online transactions and interactions in New South Wales. Data related to bookings, insurance, payments, and refunds.</w:t>
            </w:r>
          </w:p>
        </w:tc>
      </w:tr>
      <w:tr w:rsidR="00C30E81" w:rsidRPr="00216E42" w14:paraId="76FDD26E" w14:textId="77777777" w:rsidTr="00BB1FA3">
        <w:tc>
          <w:tcPr>
            <w:tcW w:w="3103" w:type="dxa"/>
            <w:vAlign w:val="center"/>
          </w:tcPr>
          <w:p w14:paraId="07AE8A4F" w14:textId="77777777" w:rsidR="00C30E81" w:rsidRPr="00216E42" w:rsidRDefault="00C30E81" w:rsidP="00BB1FA3">
            <w:pPr>
              <w:pStyle w:val="TableText"/>
            </w:pPr>
            <w:r w:rsidRPr="004E434A">
              <w:t>Telecommunications (Interception &amp; Access) Act 1979</w:t>
            </w:r>
          </w:p>
        </w:tc>
        <w:tc>
          <w:tcPr>
            <w:tcW w:w="525" w:type="dxa"/>
            <w:vAlign w:val="center"/>
          </w:tcPr>
          <w:p w14:paraId="4DFCA85A"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1445303784"/>
                <w14:checkbox>
                  <w14:checked w14:val="1"/>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26" w:type="dxa"/>
            <w:vAlign w:val="center"/>
          </w:tcPr>
          <w:p w14:paraId="70D3729D"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1882973563"/>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26" w:type="dxa"/>
            <w:vAlign w:val="center"/>
          </w:tcPr>
          <w:p w14:paraId="7AE0DCC7"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64153345"/>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668" w:type="dxa"/>
            <w:vAlign w:val="center"/>
          </w:tcPr>
          <w:p w14:paraId="1F82C64A" w14:textId="77777777" w:rsidR="00C30E81" w:rsidRPr="00216E42" w:rsidRDefault="00C30E81" w:rsidP="00BB1FA3">
            <w:pPr>
              <w:pStyle w:val="TableText"/>
            </w:pPr>
            <w:r w:rsidRPr="004E434A">
              <w:t xml:space="preserve">Online communications including transactions </w:t>
            </w:r>
            <w:r>
              <w:t xml:space="preserve">happening over phone </w:t>
            </w:r>
            <w:r w:rsidRPr="004E434A">
              <w:t>and</w:t>
            </w:r>
            <w:r>
              <w:t xml:space="preserve"> other</w:t>
            </w:r>
            <w:r w:rsidRPr="004E434A">
              <w:t xml:space="preserve"> client interactions. data transmitted over telephone and internet connections used for business operations.</w:t>
            </w:r>
          </w:p>
        </w:tc>
      </w:tr>
      <w:tr w:rsidR="00C30E81" w:rsidRPr="004E434A" w14:paraId="193EBE24" w14:textId="77777777" w:rsidTr="00BB1FA3">
        <w:tc>
          <w:tcPr>
            <w:tcW w:w="310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tblGrid>
            <w:tr w:rsidR="00C30E81" w:rsidRPr="004E434A" w14:paraId="54822B35" w14:textId="77777777" w:rsidTr="00BB1FA3">
              <w:trPr>
                <w:tblCellSpacing w:w="15" w:type="dxa"/>
              </w:trPr>
              <w:tc>
                <w:tcPr>
                  <w:tcW w:w="2977" w:type="dxa"/>
                  <w:vAlign w:val="center"/>
                  <w:hideMark/>
                </w:tcPr>
                <w:p w14:paraId="027EC618" w14:textId="77777777" w:rsidR="00C30E81" w:rsidRPr="004E434A" w:rsidRDefault="00C30E81" w:rsidP="00BB1FA3">
                  <w:pPr>
                    <w:pStyle w:val="TableText"/>
                  </w:pPr>
                  <w:r w:rsidRPr="004E434A">
                    <w:rPr>
                      <w:b/>
                      <w:bCs/>
                    </w:rPr>
                    <w:t>The Criminal Code Act 1995</w:t>
                  </w:r>
                </w:p>
              </w:tc>
            </w:tr>
          </w:tbl>
          <w:p w14:paraId="20C07BB5" w14:textId="77777777" w:rsidR="00C30E81" w:rsidRPr="004E434A" w:rsidRDefault="00C30E81" w:rsidP="00BB1FA3">
            <w:pPr>
              <w:pStyle w:val="Table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30E81" w:rsidRPr="004E434A" w14:paraId="79393E51" w14:textId="77777777" w:rsidTr="00BB1FA3">
              <w:trPr>
                <w:tblCellSpacing w:w="15" w:type="dxa"/>
              </w:trPr>
              <w:tc>
                <w:tcPr>
                  <w:tcW w:w="36" w:type="dxa"/>
                  <w:vAlign w:val="center"/>
                  <w:hideMark/>
                </w:tcPr>
                <w:p w14:paraId="13568501" w14:textId="77777777" w:rsidR="00C30E81" w:rsidRPr="004E434A" w:rsidRDefault="00C30E81" w:rsidP="00BB1FA3">
                  <w:pPr>
                    <w:pStyle w:val="TableText"/>
                  </w:pPr>
                </w:p>
              </w:tc>
            </w:tr>
          </w:tbl>
          <w:p w14:paraId="2418AA28" w14:textId="77777777" w:rsidR="00C30E81" w:rsidRPr="00216E42" w:rsidRDefault="00C30E81" w:rsidP="00BB1FA3">
            <w:pPr>
              <w:pStyle w:val="TableText"/>
            </w:pPr>
          </w:p>
        </w:tc>
        <w:tc>
          <w:tcPr>
            <w:tcW w:w="525" w:type="dxa"/>
            <w:vAlign w:val="center"/>
          </w:tcPr>
          <w:p w14:paraId="61447667"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1899512285"/>
                <w14:checkbox>
                  <w14:checked w14:val="1"/>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26" w:type="dxa"/>
            <w:vAlign w:val="center"/>
          </w:tcPr>
          <w:p w14:paraId="1A7F3E43"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1296527211"/>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26" w:type="dxa"/>
            <w:vAlign w:val="center"/>
          </w:tcPr>
          <w:p w14:paraId="1E8458F3" w14:textId="77777777" w:rsidR="00C30E81" w:rsidRPr="00216E42" w:rsidRDefault="00000000" w:rsidP="00BB1FA3">
            <w:pPr>
              <w:pStyle w:val="TableText"/>
              <w:jc w:val="center"/>
            </w:pPr>
            <w:sdt>
              <w:sdtPr>
                <w:rPr>
                  <w:rFonts w:asciiTheme="minorHAnsi" w:eastAsia="MS Gothic" w:hAnsiTheme="minorHAnsi" w:cstheme="minorHAnsi" w:hint="eastAsia"/>
                  <w:lang w:eastAsia="en-AU" w:bidi="ar-SA"/>
                </w:rPr>
                <w:id w:val="-39513394"/>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668" w:type="dxa"/>
            <w:vAlign w:val="center"/>
          </w:tcPr>
          <w:p w14:paraId="56551620" w14:textId="77777777" w:rsidR="00C30E81" w:rsidRPr="004E434A" w:rsidRDefault="00C30E81" w:rsidP="00BB1FA3">
            <w:pPr>
              <w:pStyle w:val="TableText"/>
              <w:rPr>
                <w:sz w:val="20"/>
              </w:rPr>
            </w:pPr>
            <w:r>
              <w:rPr>
                <w:sz w:val="20"/>
              </w:rPr>
              <w:t>C</w:t>
            </w:r>
            <w:r w:rsidRPr="004E434A">
              <w:rPr>
                <w:sz w:val="20"/>
              </w:rPr>
              <w:t>riminal activities</w:t>
            </w:r>
            <w:r>
              <w:rPr>
                <w:sz w:val="20"/>
              </w:rPr>
              <w:t xml:space="preserve"> and unsafe activities can be prevented by aligning the manner they handle </w:t>
            </w:r>
            <w:r w:rsidRPr="004E434A">
              <w:rPr>
                <w:sz w:val="20"/>
              </w:rPr>
              <w:t>transactions and client data</w:t>
            </w:r>
            <w:r>
              <w:rPr>
                <w:sz w:val="20"/>
              </w:rPr>
              <w:t xml:space="preserve"> </w:t>
            </w:r>
            <w:r w:rsidRPr="004E434A">
              <w:rPr>
                <w:sz w:val="20"/>
              </w:rPr>
              <w:t>. online interactions and internal communications among staff.</w:t>
            </w:r>
          </w:p>
        </w:tc>
      </w:tr>
      <w:tr w:rsidR="00C30E81" w:rsidRPr="004E434A" w14:paraId="609D88BB" w14:textId="77777777" w:rsidTr="00BB1FA3">
        <w:tc>
          <w:tcPr>
            <w:tcW w:w="3103" w:type="dxa"/>
            <w:vAlign w:val="center"/>
          </w:tcPr>
          <w:p w14:paraId="17112FDD" w14:textId="77777777" w:rsidR="00C30E81" w:rsidRPr="004E434A" w:rsidRDefault="00C30E81" w:rsidP="00BB1FA3">
            <w:pPr>
              <w:pStyle w:val="TableText"/>
              <w:rPr>
                <w:b/>
                <w:bCs/>
              </w:rPr>
            </w:pPr>
            <w:r w:rsidRPr="004E434A">
              <w:rPr>
                <w:b/>
                <w:bCs/>
              </w:rPr>
              <w:t>Corporations Act 2001 (</w:t>
            </w:r>
            <w:proofErr w:type="spellStart"/>
            <w:r w:rsidRPr="004E434A">
              <w:rPr>
                <w:b/>
                <w:bCs/>
              </w:rPr>
              <w:t>Cth</w:t>
            </w:r>
            <w:proofErr w:type="spellEnd"/>
            <w:r w:rsidRPr="004E434A">
              <w:rPr>
                <w:b/>
                <w:bCs/>
              </w:rPr>
              <w:t>)</w:t>
            </w:r>
          </w:p>
        </w:tc>
        <w:tc>
          <w:tcPr>
            <w:tcW w:w="525" w:type="dxa"/>
            <w:vAlign w:val="center"/>
          </w:tcPr>
          <w:p w14:paraId="09660163"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235852807"/>
                <w14:checkbox>
                  <w14:checked w14:val="1"/>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26" w:type="dxa"/>
            <w:vAlign w:val="center"/>
          </w:tcPr>
          <w:p w14:paraId="294FED1C"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36483749"/>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26" w:type="dxa"/>
            <w:vAlign w:val="center"/>
          </w:tcPr>
          <w:p w14:paraId="7A482336"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099934652"/>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66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30E81" w:rsidRPr="004E434A" w14:paraId="716FE600" w14:textId="77777777" w:rsidTr="00BB1FA3">
              <w:trPr>
                <w:tblCellSpacing w:w="15" w:type="dxa"/>
              </w:trPr>
              <w:tc>
                <w:tcPr>
                  <w:tcW w:w="36" w:type="dxa"/>
                  <w:vAlign w:val="center"/>
                  <w:hideMark/>
                </w:tcPr>
                <w:p w14:paraId="3C7BB8DE" w14:textId="77777777" w:rsidR="00C30E81" w:rsidRPr="004E434A" w:rsidRDefault="00C30E81" w:rsidP="00BB1FA3">
                  <w:pPr>
                    <w:pStyle w:val="TableText"/>
                    <w:rPr>
                      <w:sz w:val="20"/>
                    </w:rPr>
                  </w:pPr>
                </w:p>
              </w:tc>
            </w:tr>
          </w:tbl>
          <w:p w14:paraId="6CD78788" w14:textId="77777777" w:rsidR="00C30E81" w:rsidRPr="004E434A" w:rsidRDefault="00C30E81" w:rsidP="00BB1FA3">
            <w:pPr>
              <w:pStyle w:val="TableText"/>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30E81" w:rsidRPr="004E434A" w14:paraId="2DB1876A" w14:textId="77777777" w:rsidTr="00BB1FA3">
              <w:trPr>
                <w:tblCellSpacing w:w="15" w:type="dxa"/>
              </w:trPr>
              <w:tc>
                <w:tcPr>
                  <w:tcW w:w="9300" w:type="dxa"/>
                  <w:vAlign w:val="center"/>
                  <w:hideMark/>
                </w:tcPr>
                <w:p w14:paraId="23775E39" w14:textId="77777777" w:rsidR="00C30E81" w:rsidRDefault="00C30E81" w:rsidP="00BB1FA3">
                  <w:pPr>
                    <w:pStyle w:val="TableText"/>
                    <w:rPr>
                      <w:sz w:val="18"/>
                      <w:szCs w:val="18"/>
                    </w:rPr>
                  </w:pPr>
                  <w:r w:rsidRPr="004E434A">
                    <w:rPr>
                      <w:sz w:val="18"/>
                      <w:szCs w:val="18"/>
                    </w:rPr>
                    <w:t>online operations</w:t>
                  </w:r>
                  <w:r>
                    <w:rPr>
                      <w:sz w:val="18"/>
                      <w:szCs w:val="18"/>
                    </w:rPr>
                    <w:t xml:space="preserve"> of this organization, risks being faced by this</w:t>
                  </w:r>
                </w:p>
                <w:p w14:paraId="35668740" w14:textId="77777777" w:rsidR="00C30E81" w:rsidRDefault="00C30E81" w:rsidP="00BB1FA3">
                  <w:pPr>
                    <w:pStyle w:val="TableText"/>
                    <w:rPr>
                      <w:sz w:val="18"/>
                      <w:szCs w:val="18"/>
                    </w:rPr>
                  </w:pPr>
                  <w:r>
                    <w:rPr>
                      <w:sz w:val="18"/>
                      <w:szCs w:val="18"/>
                    </w:rPr>
                    <w:t xml:space="preserve">company faces in cyber security. </w:t>
                  </w:r>
                  <w:r w:rsidRPr="004E434A">
                    <w:rPr>
                      <w:sz w:val="18"/>
                      <w:szCs w:val="18"/>
                    </w:rPr>
                    <w:t xml:space="preserve">Data protection </w:t>
                  </w:r>
                  <w:r>
                    <w:rPr>
                      <w:sz w:val="18"/>
                      <w:szCs w:val="18"/>
                    </w:rPr>
                    <w:t>steps</w:t>
                  </w:r>
                  <w:r w:rsidRPr="004E434A">
                    <w:rPr>
                      <w:sz w:val="18"/>
                      <w:szCs w:val="18"/>
                    </w:rPr>
                    <w:t xml:space="preserve"> </w:t>
                  </w:r>
                  <w:r>
                    <w:rPr>
                      <w:sz w:val="18"/>
                      <w:szCs w:val="18"/>
                    </w:rPr>
                    <w:t>taken</w:t>
                  </w:r>
                </w:p>
                <w:p w14:paraId="395F7439" w14:textId="77777777" w:rsidR="00C30E81" w:rsidRPr="004E434A" w:rsidRDefault="00C30E81" w:rsidP="00BB1FA3">
                  <w:pPr>
                    <w:pStyle w:val="TableText"/>
                    <w:rPr>
                      <w:sz w:val="18"/>
                      <w:szCs w:val="18"/>
                    </w:rPr>
                  </w:pPr>
                  <w:r>
                    <w:rPr>
                      <w:sz w:val="18"/>
                      <w:szCs w:val="18"/>
                    </w:rPr>
                    <w:t>m</w:t>
                  </w:r>
                  <w:r w:rsidRPr="004E434A">
                    <w:rPr>
                      <w:sz w:val="18"/>
                      <w:szCs w:val="18"/>
                    </w:rPr>
                    <w:t>ust be in line with the Act</w:t>
                  </w:r>
                  <w:r>
                    <w:rPr>
                      <w:sz w:val="18"/>
                      <w:szCs w:val="18"/>
                    </w:rPr>
                    <w:t>.</w:t>
                  </w:r>
                </w:p>
                <w:p w14:paraId="1DFA7D9C" w14:textId="77777777" w:rsidR="00C30E81" w:rsidRPr="004E434A" w:rsidRDefault="00C30E81" w:rsidP="00BB1FA3">
                  <w:pPr>
                    <w:pStyle w:val="TableText"/>
                    <w:rPr>
                      <w:sz w:val="18"/>
                      <w:szCs w:val="18"/>
                    </w:rPr>
                  </w:pPr>
                </w:p>
              </w:tc>
            </w:tr>
          </w:tbl>
          <w:p w14:paraId="0EA4BAC3" w14:textId="77777777" w:rsidR="00C30E81" w:rsidRPr="004E434A" w:rsidRDefault="00C30E81" w:rsidP="00BB1FA3">
            <w:pPr>
              <w:pStyle w:val="TableText"/>
              <w:rPr>
                <w:sz w:val="20"/>
              </w:rPr>
            </w:pPr>
          </w:p>
        </w:tc>
      </w:tr>
      <w:tr w:rsidR="00C30E81" w:rsidRPr="004E434A" w14:paraId="1235435F" w14:textId="77777777" w:rsidTr="00BB1FA3">
        <w:tc>
          <w:tcPr>
            <w:tcW w:w="3103" w:type="dxa"/>
            <w:vAlign w:val="center"/>
          </w:tcPr>
          <w:p w14:paraId="16934920" w14:textId="77777777" w:rsidR="00C30E81" w:rsidRPr="004E434A" w:rsidRDefault="00C30E81" w:rsidP="00BB1FA3">
            <w:pPr>
              <w:pStyle w:val="TableText"/>
              <w:rPr>
                <w:b/>
                <w:bCs/>
              </w:rPr>
            </w:pPr>
            <w:r w:rsidRPr="00BE74FC">
              <w:rPr>
                <w:b/>
                <w:bCs/>
              </w:rPr>
              <w:t>Prudential Standard CPS 234</w:t>
            </w:r>
          </w:p>
        </w:tc>
        <w:tc>
          <w:tcPr>
            <w:tcW w:w="525" w:type="dxa"/>
            <w:vAlign w:val="center"/>
          </w:tcPr>
          <w:p w14:paraId="2B690646"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56290767"/>
                <w14:checkbox>
                  <w14:checked w14:val="1"/>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26" w:type="dxa"/>
            <w:vAlign w:val="center"/>
          </w:tcPr>
          <w:p w14:paraId="7722875D"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132582975"/>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26" w:type="dxa"/>
            <w:vAlign w:val="center"/>
          </w:tcPr>
          <w:p w14:paraId="02AFF61F"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687360446"/>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668" w:type="dxa"/>
            <w:vAlign w:val="center"/>
          </w:tcPr>
          <w:p w14:paraId="3381B624" w14:textId="77777777" w:rsidR="00C30E81" w:rsidRPr="004E434A" w:rsidRDefault="00C30E81" w:rsidP="00BB1FA3">
            <w:pPr>
              <w:pStyle w:val="TableText"/>
              <w:rPr>
                <w:sz w:val="20"/>
              </w:rPr>
            </w:pPr>
            <w:r w:rsidRPr="00BE74FC">
              <w:rPr>
                <w:sz w:val="20"/>
              </w:rPr>
              <w:t xml:space="preserve">Risk and incident management practices </w:t>
            </w:r>
            <w:r>
              <w:rPr>
                <w:sz w:val="20"/>
              </w:rPr>
              <w:t>need to</w:t>
            </w:r>
            <w:r w:rsidRPr="00BE74FC">
              <w:rPr>
                <w:sz w:val="20"/>
              </w:rPr>
              <w:t xml:space="preserve"> be reviewed</w:t>
            </w:r>
            <w:r>
              <w:rPr>
                <w:sz w:val="20"/>
              </w:rPr>
              <w:t xml:space="preserve"> based on this.</w:t>
            </w:r>
          </w:p>
        </w:tc>
      </w:tr>
      <w:tr w:rsidR="00C30E81" w:rsidRPr="00BE74FC" w14:paraId="389D52CE" w14:textId="77777777" w:rsidTr="00BB1FA3">
        <w:tc>
          <w:tcPr>
            <w:tcW w:w="3103" w:type="dxa"/>
            <w:vAlign w:val="center"/>
          </w:tcPr>
          <w:p w14:paraId="20665826" w14:textId="77777777" w:rsidR="00C30E81" w:rsidRPr="00BE74FC" w:rsidRDefault="00C30E81" w:rsidP="00BB1FA3">
            <w:pPr>
              <w:pStyle w:val="TableText"/>
              <w:rPr>
                <w:b/>
                <w:bCs/>
              </w:rPr>
            </w:pPr>
            <w:r w:rsidRPr="00BE74FC">
              <w:rPr>
                <w:b/>
                <w:bCs/>
              </w:rPr>
              <w:t>Australian Competition and Consumer Commission (ACCC)</w:t>
            </w:r>
          </w:p>
        </w:tc>
        <w:tc>
          <w:tcPr>
            <w:tcW w:w="525" w:type="dxa"/>
            <w:vAlign w:val="center"/>
          </w:tcPr>
          <w:p w14:paraId="11506BF8"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41897047"/>
                <w14:checkbox>
                  <w14:checked w14:val="1"/>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26" w:type="dxa"/>
            <w:vAlign w:val="center"/>
          </w:tcPr>
          <w:p w14:paraId="554ACB7B"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17794725"/>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26" w:type="dxa"/>
            <w:vAlign w:val="center"/>
          </w:tcPr>
          <w:p w14:paraId="316D04FA"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620731594"/>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668" w:type="dxa"/>
            <w:vAlign w:val="center"/>
          </w:tcPr>
          <w:p w14:paraId="3E64B5C0" w14:textId="77777777" w:rsidR="00C30E81" w:rsidRPr="00BE74FC" w:rsidRDefault="00C30E81" w:rsidP="00BB1FA3">
            <w:pPr>
              <w:pStyle w:val="TableText"/>
              <w:rPr>
                <w:sz w:val="20"/>
              </w:rPr>
            </w:pPr>
            <w:r>
              <w:rPr>
                <w:sz w:val="20"/>
              </w:rPr>
              <w:t xml:space="preserve">They need to assure that </w:t>
            </w:r>
            <w:r w:rsidRPr="00BE74FC">
              <w:rPr>
                <w:sz w:val="20"/>
              </w:rPr>
              <w:t>online transactions, advertising, and customer interactions comply with consumer rights and guarantees. online bookings, payments, and refunds</w:t>
            </w:r>
            <w:r>
              <w:rPr>
                <w:sz w:val="20"/>
              </w:rPr>
              <w:t xml:space="preserve"> need also to be</w:t>
            </w:r>
            <w:r w:rsidRPr="00BE74FC">
              <w:rPr>
                <w:sz w:val="20"/>
              </w:rPr>
              <w:t xml:space="preserve"> in a manner that meets ACCC regulations.</w:t>
            </w:r>
          </w:p>
        </w:tc>
      </w:tr>
      <w:tr w:rsidR="00C30E81" w:rsidRPr="00BE74FC" w14:paraId="1D350AB9" w14:textId="77777777" w:rsidTr="00BB1FA3">
        <w:tc>
          <w:tcPr>
            <w:tcW w:w="3103" w:type="dxa"/>
            <w:vAlign w:val="center"/>
          </w:tcPr>
          <w:p w14:paraId="067E6A54" w14:textId="77777777" w:rsidR="00C30E81" w:rsidRPr="00BE74FC" w:rsidRDefault="00C30E81" w:rsidP="00BB1FA3">
            <w:pPr>
              <w:pStyle w:val="TableText"/>
              <w:rPr>
                <w:b/>
                <w:bCs/>
              </w:rPr>
            </w:pPr>
            <w:r w:rsidRPr="00BE74FC">
              <w:rPr>
                <w:b/>
                <w:bCs/>
              </w:rPr>
              <w:t>Work Health and Safety Act 2011 (WHS Act)</w:t>
            </w:r>
          </w:p>
        </w:tc>
        <w:tc>
          <w:tcPr>
            <w:tcW w:w="525" w:type="dxa"/>
            <w:vAlign w:val="center"/>
          </w:tcPr>
          <w:p w14:paraId="3AC1C28D"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280945624"/>
                <w14:checkbox>
                  <w14:checked w14:val="1"/>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26" w:type="dxa"/>
            <w:vAlign w:val="center"/>
          </w:tcPr>
          <w:p w14:paraId="3651713E"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532079005"/>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26" w:type="dxa"/>
            <w:vAlign w:val="center"/>
          </w:tcPr>
          <w:p w14:paraId="6D721F14"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473670255"/>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668" w:type="dxa"/>
            <w:vAlign w:val="center"/>
          </w:tcPr>
          <w:p w14:paraId="4E1F2E03" w14:textId="77777777" w:rsidR="00C30E81" w:rsidRPr="00BE74FC" w:rsidRDefault="00C30E81" w:rsidP="00BB1FA3">
            <w:pPr>
              <w:pStyle w:val="TableText"/>
              <w:rPr>
                <w:sz w:val="20"/>
              </w:rPr>
            </w:pPr>
            <w:r>
              <w:rPr>
                <w:sz w:val="20"/>
              </w:rPr>
              <w:t xml:space="preserve">Their </w:t>
            </w:r>
            <w:r w:rsidRPr="001D0401">
              <w:rPr>
                <w:sz w:val="20"/>
              </w:rPr>
              <w:t xml:space="preserve"> online systems </w:t>
            </w:r>
            <w:r>
              <w:rPr>
                <w:sz w:val="20"/>
              </w:rPr>
              <w:t>and possible</w:t>
            </w:r>
            <w:r w:rsidRPr="001D0401">
              <w:rPr>
                <w:sz w:val="20"/>
              </w:rPr>
              <w:t xml:space="preserve"> risks to their health and safety. any cybersecurity risks </w:t>
            </w:r>
            <w:r>
              <w:rPr>
                <w:sz w:val="20"/>
              </w:rPr>
              <w:t>those</w:t>
            </w:r>
            <w:r w:rsidRPr="001D0401">
              <w:rPr>
                <w:sz w:val="20"/>
              </w:rPr>
              <w:t xml:space="preserve"> </w:t>
            </w:r>
            <w:r>
              <w:rPr>
                <w:sz w:val="20"/>
              </w:rPr>
              <w:t>can</w:t>
            </w:r>
            <w:r w:rsidRPr="001D0401">
              <w:rPr>
                <w:sz w:val="20"/>
              </w:rPr>
              <w:t xml:space="preserve"> impact the safety of the employees while using online systems.</w:t>
            </w:r>
          </w:p>
        </w:tc>
      </w:tr>
      <w:tr w:rsidR="00C30E81" w:rsidRPr="001D0401" w14:paraId="4675C18D" w14:textId="77777777" w:rsidTr="00BB1FA3">
        <w:tc>
          <w:tcPr>
            <w:tcW w:w="3103" w:type="dxa"/>
            <w:vAlign w:val="center"/>
          </w:tcPr>
          <w:p w14:paraId="16E928B0" w14:textId="77777777" w:rsidR="00C30E81" w:rsidRPr="00BE74FC" w:rsidRDefault="00C30E81" w:rsidP="00BB1FA3">
            <w:pPr>
              <w:pStyle w:val="TableText"/>
              <w:rPr>
                <w:b/>
                <w:bCs/>
              </w:rPr>
            </w:pPr>
            <w:r w:rsidRPr="001D0401">
              <w:rPr>
                <w:b/>
                <w:bCs/>
              </w:rPr>
              <w:t>Electronic Transactions Act 1999</w:t>
            </w:r>
          </w:p>
        </w:tc>
        <w:tc>
          <w:tcPr>
            <w:tcW w:w="525" w:type="dxa"/>
            <w:vAlign w:val="center"/>
          </w:tcPr>
          <w:p w14:paraId="09CA9460"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637620102"/>
                <w14:checkbox>
                  <w14:checked w14:val="1"/>
                  <w14:checkedState w14:val="2612" w14:font="MS Gothic"/>
                  <w14:uncheckedState w14:val="2610" w14:font="MS Gothic"/>
                </w14:checkbox>
              </w:sdtPr>
              <w:sdtContent>
                <w:r w:rsidR="00C30E81">
                  <w:rPr>
                    <w:rFonts w:ascii="MS Gothic" w:eastAsia="MS Gothic" w:hAnsi="MS Gothic" w:cstheme="minorHAnsi" w:hint="eastAsia"/>
                    <w:lang w:eastAsia="en-AU" w:bidi="ar-SA"/>
                  </w:rPr>
                  <w:t>☒</w:t>
                </w:r>
              </w:sdtContent>
            </w:sdt>
          </w:p>
        </w:tc>
        <w:tc>
          <w:tcPr>
            <w:tcW w:w="526" w:type="dxa"/>
            <w:vAlign w:val="center"/>
          </w:tcPr>
          <w:p w14:paraId="3BAACF56"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750164146"/>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26" w:type="dxa"/>
            <w:vAlign w:val="center"/>
          </w:tcPr>
          <w:p w14:paraId="22E0F361" w14:textId="77777777" w:rsidR="00C30E81"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1193502786"/>
                <w14:checkbox>
                  <w14:checked w14:val="0"/>
                  <w14:checkedState w14:val="2612" w14:font="MS Gothic"/>
                  <w14:uncheckedState w14:val="2610" w14:font="MS Gothic"/>
                </w14:checkbox>
              </w:sdtPr>
              <w:sdtContent>
                <w:r w:rsidR="00C30E81">
                  <w:rPr>
                    <w:rFonts w:ascii="MS Gothic" w:eastAsia="MS Gothic" w:hAnsi="MS Gothic" w:cstheme="minorHAnsi" w:hint="eastAsia"/>
                    <w:lang w:eastAsia="en-AU"/>
                  </w:rPr>
                  <w:t>☐</w:t>
                </w:r>
              </w:sdtContent>
            </w:sdt>
          </w:p>
        </w:tc>
        <w:tc>
          <w:tcPr>
            <w:tcW w:w="5668" w:type="dxa"/>
            <w:vAlign w:val="center"/>
          </w:tcPr>
          <w:p w14:paraId="2AE5A19D" w14:textId="77777777" w:rsidR="00C30E81" w:rsidRPr="001D0401" w:rsidRDefault="00C30E81" w:rsidP="00BB1FA3">
            <w:pPr>
              <w:pStyle w:val="TableText"/>
              <w:rPr>
                <w:sz w:val="20"/>
              </w:rPr>
            </w:pPr>
            <w:r w:rsidRPr="001D0401">
              <w:rPr>
                <w:sz w:val="20"/>
              </w:rPr>
              <w:t>transactions and communications. Ensures that Turtle Movers’ online transactions, including bookings, payments, and communications, are legally recognized and secure.</w:t>
            </w:r>
          </w:p>
        </w:tc>
      </w:tr>
    </w:tbl>
    <w:p w14:paraId="2A247097" w14:textId="77777777" w:rsidR="0021261F" w:rsidRDefault="0021261F" w:rsidP="00FD491F">
      <w:pPr>
        <w:rPr>
          <w:rStyle w:val="eop"/>
          <w:rFonts w:cs="Arial"/>
        </w:rPr>
      </w:pPr>
    </w:p>
    <w:p w14:paraId="1FC61C73" w14:textId="77777777" w:rsidR="00C30E81" w:rsidRPr="00820DC6" w:rsidRDefault="00C30E81" w:rsidP="00C30E81">
      <w:pPr>
        <w:rPr>
          <w:szCs w:val="22"/>
        </w:rPr>
      </w:pPr>
    </w:p>
    <w:p w14:paraId="0E3E1FD4" w14:textId="77777777" w:rsidR="00C30E81" w:rsidRPr="00820DC6" w:rsidRDefault="00C30E81" w:rsidP="00C30E81">
      <w:pPr>
        <w:rPr>
          <w:szCs w:val="22"/>
        </w:rPr>
      </w:pPr>
      <w:r w:rsidRPr="00820DC6">
        <w:rPr>
          <w:szCs w:val="22"/>
        </w:rPr>
        <w:t xml:space="preserve">Attorney-General's Department, 2024. Electronic signatures, documents and transactions. Available at: </w:t>
      </w:r>
      <w:hyperlink r:id="rId11" w:history="1">
        <w:r w:rsidRPr="003263EC">
          <w:rPr>
            <w:rStyle w:val="Hyperlink"/>
            <w:szCs w:val="22"/>
          </w:rPr>
          <w:t>https://www.ag.gov.au/legal-system/electronic-signatures-documents-and-transactions</w:t>
        </w:r>
      </w:hyperlink>
      <w:r>
        <w:rPr>
          <w:szCs w:val="22"/>
        </w:rPr>
        <w:t xml:space="preserve"> </w:t>
      </w:r>
      <w:r w:rsidRPr="00820DC6">
        <w:rPr>
          <w:szCs w:val="22"/>
        </w:rPr>
        <w:t>[Accessed 24 September 2024].</w:t>
      </w:r>
    </w:p>
    <w:p w14:paraId="0057B667" w14:textId="77777777" w:rsidR="00C30E81" w:rsidRDefault="00C30E81" w:rsidP="00C30E81">
      <w:pPr>
        <w:rPr>
          <w:sz w:val="2"/>
          <w:szCs w:val="2"/>
        </w:rPr>
      </w:pPr>
    </w:p>
    <w:p w14:paraId="3FFD2B3D" w14:textId="77777777" w:rsidR="00C30E81" w:rsidRDefault="00C30E81" w:rsidP="00C30E81">
      <w:pPr>
        <w:rPr>
          <w:szCs w:val="22"/>
        </w:rPr>
      </w:pPr>
      <w:r w:rsidRPr="00DE1C7F">
        <w:rPr>
          <w:szCs w:val="22"/>
        </w:rPr>
        <w:t xml:space="preserve">Federal Register of Legislation, 2004. Crimes Legislation Amendment Act 2004. Available at: </w:t>
      </w:r>
      <w:hyperlink r:id="rId12" w:history="1">
        <w:r w:rsidRPr="00DE1C7F">
          <w:rPr>
            <w:rStyle w:val="Hyperlink"/>
            <w:szCs w:val="22"/>
          </w:rPr>
          <w:t>https://www.legislation.gov.au/C2004A02124/latest</w:t>
        </w:r>
      </w:hyperlink>
      <w:r w:rsidRPr="00DE1C7F">
        <w:rPr>
          <w:szCs w:val="22"/>
        </w:rPr>
        <w:t xml:space="preserve"> [Accessed 24 September 2024].</w:t>
      </w:r>
    </w:p>
    <w:p w14:paraId="6E70A83D" w14:textId="77777777" w:rsidR="00C30E81" w:rsidRDefault="00C30E81" w:rsidP="00C30E81">
      <w:pPr>
        <w:rPr>
          <w:szCs w:val="22"/>
        </w:rPr>
      </w:pPr>
    </w:p>
    <w:p w14:paraId="72F315A8" w14:textId="77777777" w:rsidR="00C30E81" w:rsidRDefault="00C30E81" w:rsidP="00C30E81">
      <w:pPr>
        <w:rPr>
          <w:szCs w:val="22"/>
        </w:rPr>
      </w:pPr>
      <w:r w:rsidRPr="00235FDA">
        <w:rPr>
          <w:szCs w:val="22"/>
        </w:rPr>
        <w:t xml:space="preserve">Business Queensland, 2024. Work Health and Safety Act 2011. Available at: </w:t>
      </w:r>
      <w:hyperlink r:id="rId13" w:history="1">
        <w:r w:rsidRPr="00AD3AE1">
          <w:rPr>
            <w:rStyle w:val="Hyperlink"/>
            <w:szCs w:val="22"/>
          </w:rPr>
          <w:t>https://www.business.qld.gov.au/running-business/whs/whs-laws/whs-act</w:t>
        </w:r>
      </w:hyperlink>
      <w:r w:rsidRPr="00235FDA">
        <w:rPr>
          <w:szCs w:val="22"/>
        </w:rPr>
        <w:t xml:space="preserve"> [Accessed 24 September 2024].</w:t>
      </w:r>
    </w:p>
    <w:p w14:paraId="7292C4A4" w14:textId="77777777" w:rsidR="00C30E81" w:rsidRDefault="00C30E81" w:rsidP="00C30E81">
      <w:pPr>
        <w:rPr>
          <w:szCs w:val="22"/>
        </w:rPr>
      </w:pPr>
    </w:p>
    <w:p w14:paraId="038EB61A" w14:textId="77777777" w:rsidR="00C30E81" w:rsidRPr="00DE1C7F" w:rsidRDefault="00C30E81" w:rsidP="00C30E81">
      <w:pPr>
        <w:rPr>
          <w:szCs w:val="22"/>
        </w:rPr>
      </w:pPr>
      <w:r w:rsidRPr="00C46073">
        <w:rPr>
          <w:szCs w:val="22"/>
        </w:rPr>
        <w:t xml:space="preserve">Queensland Government, 2011. Work Health and Safety Act 2011. Available at: </w:t>
      </w:r>
      <w:hyperlink r:id="rId14" w:history="1">
        <w:r w:rsidRPr="00C46073">
          <w:rPr>
            <w:rStyle w:val="Hyperlink"/>
            <w:szCs w:val="22"/>
          </w:rPr>
          <w:t>https://www.legislation.qld.gov.au/view/pdf/inforce/current/act-2011-018</w:t>
        </w:r>
      </w:hyperlink>
      <w:r w:rsidRPr="00C46073">
        <w:rPr>
          <w:szCs w:val="22"/>
        </w:rPr>
        <w:t xml:space="preserve"> [Accessed 24 September 2024].</w:t>
      </w:r>
    </w:p>
    <w:p w14:paraId="310CD372" w14:textId="77777777" w:rsidR="00C30E81" w:rsidRDefault="00C30E81" w:rsidP="00FD491F">
      <w:pPr>
        <w:rPr>
          <w:rStyle w:val="eop"/>
          <w:rFonts w:cs="Arial"/>
        </w:rPr>
      </w:pPr>
    </w:p>
    <w:p w14:paraId="005B5346" w14:textId="36D882FB" w:rsidR="00C30E81" w:rsidRDefault="00C30E81" w:rsidP="00C30E81">
      <w:pPr>
        <w:tabs>
          <w:tab w:val="left" w:leader="dot" w:pos="10204"/>
        </w:tabs>
      </w:pPr>
      <w:r>
        <w:t>As we started analysing their operations, we found that this organization only operates in Australia. Here this organization need to check even if there is any possible interaction overseas and then check for relevant laws.</w:t>
      </w:r>
    </w:p>
    <w:p w14:paraId="53700AE1" w14:textId="15B6BD63" w:rsidR="00FD491F" w:rsidRPr="001421A9" w:rsidRDefault="00FD491F" w:rsidP="00FD491F">
      <w:pPr>
        <w:rPr>
          <w:rStyle w:val="eop"/>
          <w:rFonts w:cs="Arial"/>
          <w:color w:val="1F4E79" w:themeColor="accent1" w:themeShade="80"/>
          <w:sz w:val="2"/>
          <w:szCs w:val="2"/>
        </w:rPr>
      </w:pPr>
      <w:r w:rsidRPr="001421A9">
        <w:rPr>
          <w:rStyle w:val="eop"/>
          <w:rFonts w:cs="Arial"/>
          <w:color w:val="1F4E79" w:themeColor="accent1" w:themeShade="80"/>
          <w:sz w:val="2"/>
          <w:szCs w:val="2"/>
        </w:rPr>
        <w:br w:type="page"/>
      </w:r>
    </w:p>
    <w:tbl>
      <w:tblPr>
        <w:tblStyle w:val="TableGrid"/>
        <w:tblW w:w="9639" w:type="dxa"/>
        <w:tblInd w:w="-3" w:type="dxa"/>
        <w:tblLayout w:type="fixed"/>
        <w:tblLook w:val="04A0" w:firstRow="1" w:lastRow="0" w:firstColumn="1" w:lastColumn="0" w:noHBand="0" w:noVBand="1"/>
      </w:tblPr>
      <w:tblGrid>
        <w:gridCol w:w="2121"/>
        <w:gridCol w:w="2667"/>
        <w:gridCol w:w="4851"/>
      </w:tblGrid>
      <w:tr w:rsidR="007564FF" w14:paraId="315925F6" w14:textId="77777777" w:rsidTr="004E357E">
        <w:trPr>
          <w:trHeight w:val="407"/>
        </w:trPr>
        <w:tc>
          <w:tcPr>
            <w:tcW w:w="2121" w:type="dxa"/>
            <w:vMerge w:val="restart"/>
            <w:shd w:val="clear" w:color="auto" w:fill="D9D9D9" w:themeFill="background1" w:themeFillShade="D9"/>
            <w:vAlign w:val="center"/>
          </w:tcPr>
          <w:p w14:paraId="43177CEC" w14:textId="56B12EF0" w:rsidR="007564FF" w:rsidRPr="00FD491F" w:rsidRDefault="007564FF" w:rsidP="00FD491F">
            <w:pPr>
              <w:pStyle w:val="TableText"/>
              <w:jc w:val="center"/>
              <w:rPr>
                <w:rStyle w:val="eop"/>
                <w:b/>
                <w:bCs/>
              </w:rPr>
            </w:pPr>
            <w:r w:rsidRPr="00FD491F">
              <w:rPr>
                <w:rStyle w:val="eop"/>
                <w:b/>
                <w:bCs/>
              </w:rPr>
              <w:lastRenderedPageBreak/>
              <w:t>INTERNATIONAL</w:t>
            </w:r>
          </w:p>
          <w:p w14:paraId="77205075" w14:textId="77777777" w:rsidR="007564FF" w:rsidRPr="00FD491F" w:rsidRDefault="007564FF" w:rsidP="00FD491F">
            <w:pPr>
              <w:pStyle w:val="TableText"/>
              <w:jc w:val="center"/>
              <w:rPr>
                <w:rStyle w:val="eop"/>
                <w:b/>
                <w:bCs/>
              </w:rPr>
            </w:pPr>
            <w:r w:rsidRPr="00FD491F">
              <w:rPr>
                <w:rStyle w:val="eop"/>
                <w:b/>
                <w:bCs/>
              </w:rPr>
              <w:t>CYBER SECURITY</w:t>
            </w:r>
          </w:p>
          <w:p w14:paraId="2DBB99D5" w14:textId="77777777" w:rsidR="007564FF" w:rsidRPr="00FD491F" w:rsidRDefault="007564FF" w:rsidP="00FD491F">
            <w:pPr>
              <w:pStyle w:val="TableText"/>
              <w:jc w:val="center"/>
              <w:rPr>
                <w:rStyle w:val="eop"/>
                <w:b/>
                <w:bCs/>
              </w:rPr>
            </w:pPr>
            <w:r w:rsidRPr="00FD491F">
              <w:rPr>
                <w:rStyle w:val="eop"/>
                <w:b/>
                <w:bCs/>
              </w:rPr>
              <w:t>LEGISLATION</w:t>
            </w:r>
          </w:p>
        </w:tc>
        <w:tc>
          <w:tcPr>
            <w:tcW w:w="2667" w:type="dxa"/>
            <w:vMerge w:val="restart"/>
            <w:shd w:val="clear" w:color="auto" w:fill="D9D9D9" w:themeFill="background1" w:themeFillShade="D9"/>
            <w:vAlign w:val="center"/>
          </w:tcPr>
          <w:p w14:paraId="110947A4" w14:textId="77777777" w:rsidR="007564FF" w:rsidRPr="00FD491F" w:rsidRDefault="007564FF" w:rsidP="00FD491F">
            <w:pPr>
              <w:pStyle w:val="TableText"/>
              <w:jc w:val="center"/>
              <w:rPr>
                <w:rStyle w:val="eop"/>
                <w:b/>
                <w:bCs/>
              </w:rPr>
            </w:pPr>
            <w:r w:rsidRPr="00FD491F">
              <w:rPr>
                <w:rStyle w:val="eop"/>
                <w:b/>
                <w:bCs/>
              </w:rPr>
              <w:t>BUSINESS AREAS/ACTIVITIES AFFECTED</w:t>
            </w:r>
          </w:p>
        </w:tc>
        <w:tc>
          <w:tcPr>
            <w:tcW w:w="4851" w:type="dxa"/>
            <w:vMerge w:val="restart"/>
            <w:shd w:val="clear" w:color="auto" w:fill="D9D9D9" w:themeFill="background1" w:themeFillShade="D9"/>
            <w:vAlign w:val="center"/>
          </w:tcPr>
          <w:p w14:paraId="2C0E0817" w14:textId="77777777" w:rsidR="007564FF" w:rsidRPr="00FD491F" w:rsidRDefault="007564FF" w:rsidP="00FD491F">
            <w:pPr>
              <w:pStyle w:val="TableText"/>
              <w:jc w:val="center"/>
              <w:rPr>
                <w:rStyle w:val="eop"/>
                <w:b/>
                <w:bCs/>
              </w:rPr>
            </w:pPr>
            <w:r w:rsidRPr="00FD491F">
              <w:rPr>
                <w:rStyle w:val="eop"/>
                <w:b/>
                <w:bCs/>
              </w:rPr>
              <w:t>IMPACT on DATA SECURITY</w:t>
            </w:r>
          </w:p>
        </w:tc>
      </w:tr>
      <w:tr w:rsidR="007564FF" w14:paraId="32083169" w14:textId="77777777" w:rsidTr="004E357E">
        <w:trPr>
          <w:cantSplit/>
          <w:trHeight w:val="866"/>
        </w:trPr>
        <w:tc>
          <w:tcPr>
            <w:tcW w:w="2121" w:type="dxa"/>
            <w:vMerge/>
            <w:shd w:val="clear" w:color="auto" w:fill="D9D9D9" w:themeFill="background1" w:themeFillShade="D9"/>
            <w:vAlign w:val="center"/>
          </w:tcPr>
          <w:p w14:paraId="44120C68" w14:textId="77777777" w:rsidR="007564FF" w:rsidRPr="00FD491F" w:rsidRDefault="007564FF" w:rsidP="00FD491F">
            <w:pPr>
              <w:pStyle w:val="TableText"/>
              <w:jc w:val="center"/>
              <w:rPr>
                <w:rStyle w:val="eop"/>
              </w:rPr>
            </w:pPr>
          </w:p>
        </w:tc>
        <w:tc>
          <w:tcPr>
            <w:tcW w:w="2667" w:type="dxa"/>
            <w:vMerge/>
            <w:shd w:val="clear" w:color="auto" w:fill="D9D9D9" w:themeFill="background1" w:themeFillShade="D9"/>
            <w:vAlign w:val="center"/>
          </w:tcPr>
          <w:p w14:paraId="0372DAE9" w14:textId="77777777" w:rsidR="007564FF" w:rsidRPr="00FD491F" w:rsidRDefault="007564FF" w:rsidP="00FD491F">
            <w:pPr>
              <w:pStyle w:val="TableText"/>
              <w:jc w:val="center"/>
              <w:rPr>
                <w:rStyle w:val="eop"/>
              </w:rPr>
            </w:pPr>
          </w:p>
        </w:tc>
        <w:tc>
          <w:tcPr>
            <w:tcW w:w="4851" w:type="dxa"/>
            <w:vMerge/>
            <w:shd w:val="clear" w:color="auto" w:fill="D9D9D9" w:themeFill="background1" w:themeFillShade="D9"/>
            <w:textDirection w:val="btLr"/>
            <w:vAlign w:val="center"/>
          </w:tcPr>
          <w:p w14:paraId="6844CA0D" w14:textId="77777777" w:rsidR="007564FF" w:rsidRPr="00FD491F" w:rsidRDefault="007564FF" w:rsidP="00FD491F">
            <w:pPr>
              <w:pStyle w:val="TableText"/>
              <w:jc w:val="center"/>
              <w:rPr>
                <w:rStyle w:val="eop"/>
              </w:rPr>
            </w:pPr>
          </w:p>
        </w:tc>
      </w:tr>
      <w:tr w:rsidR="007564FF" w14:paraId="59A11A27" w14:textId="77777777" w:rsidTr="004E357E">
        <w:trPr>
          <w:trHeight w:val="200"/>
        </w:trPr>
        <w:tc>
          <w:tcPr>
            <w:tcW w:w="2121" w:type="dxa"/>
            <w:vAlign w:val="center"/>
          </w:tcPr>
          <w:p w14:paraId="7F5C5711" w14:textId="77777777" w:rsidR="007564FF" w:rsidRPr="00FD491F" w:rsidRDefault="007564FF" w:rsidP="00BA4FD9">
            <w:pPr>
              <w:pStyle w:val="TableText"/>
              <w:rPr>
                <w:rStyle w:val="eop"/>
              </w:rPr>
            </w:pPr>
          </w:p>
        </w:tc>
        <w:tc>
          <w:tcPr>
            <w:tcW w:w="2667" w:type="dxa"/>
            <w:vAlign w:val="center"/>
          </w:tcPr>
          <w:p w14:paraId="148523C9" w14:textId="77777777" w:rsidR="007564FF" w:rsidRPr="00FD491F" w:rsidRDefault="007564FF" w:rsidP="00BA4FD9">
            <w:pPr>
              <w:pStyle w:val="TableText"/>
              <w:rPr>
                <w:rStyle w:val="eop"/>
              </w:rPr>
            </w:pPr>
          </w:p>
        </w:tc>
        <w:tc>
          <w:tcPr>
            <w:tcW w:w="4851" w:type="dxa"/>
            <w:vAlign w:val="center"/>
          </w:tcPr>
          <w:p w14:paraId="52BA8C31" w14:textId="77777777" w:rsidR="007564FF" w:rsidRPr="00FD491F" w:rsidRDefault="007564FF" w:rsidP="00BA4FD9">
            <w:pPr>
              <w:pStyle w:val="TableText"/>
              <w:rPr>
                <w:rStyle w:val="eop"/>
              </w:rPr>
            </w:pPr>
          </w:p>
        </w:tc>
      </w:tr>
      <w:tr w:rsidR="007564FF" w14:paraId="52B9EC49" w14:textId="77777777" w:rsidTr="004E357E">
        <w:trPr>
          <w:trHeight w:val="192"/>
        </w:trPr>
        <w:tc>
          <w:tcPr>
            <w:tcW w:w="2121" w:type="dxa"/>
            <w:vAlign w:val="center"/>
          </w:tcPr>
          <w:p w14:paraId="147528A8" w14:textId="77777777" w:rsidR="007564FF" w:rsidRPr="00FD491F" w:rsidRDefault="007564FF" w:rsidP="00BA4FD9">
            <w:pPr>
              <w:pStyle w:val="TableText"/>
              <w:rPr>
                <w:rStyle w:val="eop"/>
              </w:rPr>
            </w:pPr>
          </w:p>
        </w:tc>
        <w:tc>
          <w:tcPr>
            <w:tcW w:w="2667" w:type="dxa"/>
            <w:vAlign w:val="center"/>
          </w:tcPr>
          <w:p w14:paraId="6DA56A61" w14:textId="77777777" w:rsidR="007564FF" w:rsidRPr="00FD491F" w:rsidRDefault="007564FF" w:rsidP="00BA4FD9">
            <w:pPr>
              <w:pStyle w:val="TableText"/>
              <w:rPr>
                <w:rStyle w:val="eop"/>
              </w:rPr>
            </w:pPr>
          </w:p>
        </w:tc>
        <w:tc>
          <w:tcPr>
            <w:tcW w:w="4851" w:type="dxa"/>
            <w:vAlign w:val="center"/>
          </w:tcPr>
          <w:p w14:paraId="7DEEF1A9" w14:textId="77777777" w:rsidR="007564FF" w:rsidRPr="00FD491F" w:rsidRDefault="007564FF" w:rsidP="00BA4FD9">
            <w:pPr>
              <w:pStyle w:val="TableText"/>
              <w:rPr>
                <w:rStyle w:val="eop"/>
              </w:rPr>
            </w:pPr>
          </w:p>
        </w:tc>
      </w:tr>
      <w:tr w:rsidR="007564FF" w14:paraId="3861C860" w14:textId="77777777" w:rsidTr="004E357E">
        <w:trPr>
          <w:trHeight w:val="192"/>
        </w:trPr>
        <w:tc>
          <w:tcPr>
            <w:tcW w:w="2121" w:type="dxa"/>
            <w:vAlign w:val="center"/>
          </w:tcPr>
          <w:p w14:paraId="41AA8B27" w14:textId="77777777" w:rsidR="007564FF" w:rsidRPr="00FD491F" w:rsidRDefault="007564FF" w:rsidP="00BA4FD9">
            <w:pPr>
              <w:pStyle w:val="TableText"/>
              <w:rPr>
                <w:rStyle w:val="eop"/>
              </w:rPr>
            </w:pPr>
          </w:p>
        </w:tc>
        <w:tc>
          <w:tcPr>
            <w:tcW w:w="2667" w:type="dxa"/>
            <w:vAlign w:val="center"/>
          </w:tcPr>
          <w:p w14:paraId="46A940D1" w14:textId="77777777" w:rsidR="007564FF" w:rsidRPr="00FD491F" w:rsidRDefault="007564FF" w:rsidP="00BA4FD9">
            <w:pPr>
              <w:pStyle w:val="TableText"/>
              <w:rPr>
                <w:rStyle w:val="eop"/>
              </w:rPr>
            </w:pPr>
          </w:p>
        </w:tc>
        <w:tc>
          <w:tcPr>
            <w:tcW w:w="4851" w:type="dxa"/>
            <w:vAlign w:val="center"/>
          </w:tcPr>
          <w:p w14:paraId="6628701C" w14:textId="77777777" w:rsidR="007564FF" w:rsidRPr="00FD491F" w:rsidRDefault="007564FF" w:rsidP="00BA4FD9">
            <w:pPr>
              <w:pStyle w:val="TableText"/>
              <w:rPr>
                <w:rStyle w:val="eop"/>
              </w:rPr>
            </w:pPr>
          </w:p>
        </w:tc>
      </w:tr>
      <w:tr w:rsidR="007564FF" w14:paraId="0A4ED209" w14:textId="77777777" w:rsidTr="004E357E">
        <w:trPr>
          <w:trHeight w:val="192"/>
        </w:trPr>
        <w:tc>
          <w:tcPr>
            <w:tcW w:w="2121" w:type="dxa"/>
            <w:vAlign w:val="center"/>
          </w:tcPr>
          <w:p w14:paraId="1A50DB6D" w14:textId="77777777" w:rsidR="007564FF" w:rsidRPr="00FD491F" w:rsidRDefault="007564FF" w:rsidP="00BA4FD9">
            <w:pPr>
              <w:pStyle w:val="TableText"/>
              <w:rPr>
                <w:rStyle w:val="eop"/>
              </w:rPr>
            </w:pPr>
          </w:p>
        </w:tc>
        <w:tc>
          <w:tcPr>
            <w:tcW w:w="2667" w:type="dxa"/>
            <w:vAlign w:val="center"/>
          </w:tcPr>
          <w:p w14:paraId="2AFEA231" w14:textId="77777777" w:rsidR="007564FF" w:rsidRPr="00FD491F" w:rsidRDefault="007564FF" w:rsidP="00BA4FD9">
            <w:pPr>
              <w:pStyle w:val="TableText"/>
              <w:rPr>
                <w:rStyle w:val="eop"/>
              </w:rPr>
            </w:pPr>
          </w:p>
        </w:tc>
        <w:tc>
          <w:tcPr>
            <w:tcW w:w="4851" w:type="dxa"/>
            <w:vAlign w:val="center"/>
          </w:tcPr>
          <w:p w14:paraId="05A0F11E" w14:textId="77777777" w:rsidR="007564FF" w:rsidRPr="00FD491F" w:rsidRDefault="007564FF" w:rsidP="00BA4FD9">
            <w:pPr>
              <w:pStyle w:val="TableText"/>
              <w:rPr>
                <w:rStyle w:val="eop"/>
              </w:rPr>
            </w:pPr>
          </w:p>
        </w:tc>
      </w:tr>
      <w:tr w:rsidR="007564FF" w14:paraId="480FA707" w14:textId="77777777" w:rsidTr="004E357E">
        <w:trPr>
          <w:trHeight w:val="192"/>
        </w:trPr>
        <w:tc>
          <w:tcPr>
            <w:tcW w:w="2121" w:type="dxa"/>
            <w:vAlign w:val="center"/>
          </w:tcPr>
          <w:p w14:paraId="0CDC5759" w14:textId="77777777" w:rsidR="007564FF" w:rsidRPr="00FD491F" w:rsidRDefault="007564FF" w:rsidP="00BA4FD9">
            <w:pPr>
              <w:pStyle w:val="TableText"/>
              <w:rPr>
                <w:rStyle w:val="eop"/>
              </w:rPr>
            </w:pPr>
          </w:p>
        </w:tc>
        <w:tc>
          <w:tcPr>
            <w:tcW w:w="2667" w:type="dxa"/>
            <w:vAlign w:val="center"/>
          </w:tcPr>
          <w:p w14:paraId="7C0FAE05" w14:textId="77777777" w:rsidR="007564FF" w:rsidRPr="00FD491F" w:rsidRDefault="007564FF" w:rsidP="00BA4FD9">
            <w:pPr>
              <w:pStyle w:val="TableText"/>
              <w:rPr>
                <w:rStyle w:val="eop"/>
              </w:rPr>
            </w:pPr>
          </w:p>
        </w:tc>
        <w:tc>
          <w:tcPr>
            <w:tcW w:w="4851" w:type="dxa"/>
            <w:vAlign w:val="center"/>
          </w:tcPr>
          <w:p w14:paraId="0093FAF8" w14:textId="77777777" w:rsidR="007564FF" w:rsidRPr="00FD491F" w:rsidRDefault="007564FF" w:rsidP="00BA4FD9">
            <w:pPr>
              <w:pStyle w:val="TableText"/>
              <w:rPr>
                <w:rStyle w:val="eop"/>
              </w:rPr>
            </w:pPr>
          </w:p>
        </w:tc>
      </w:tr>
      <w:tr w:rsidR="007564FF" w14:paraId="247BC41A" w14:textId="77777777" w:rsidTr="004E357E">
        <w:trPr>
          <w:trHeight w:val="200"/>
        </w:trPr>
        <w:tc>
          <w:tcPr>
            <w:tcW w:w="2121" w:type="dxa"/>
            <w:vAlign w:val="center"/>
          </w:tcPr>
          <w:p w14:paraId="1B879475" w14:textId="77777777" w:rsidR="007564FF" w:rsidRPr="00FD491F" w:rsidRDefault="007564FF" w:rsidP="00BA4FD9">
            <w:pPr>
              <w:pStyle w:val="TableText"/>
              <w:rPr>
                <w:rStyle w:val="eop"/>
              </w:rPr>
            </w:pPr>
          </w:p>
        </w:tc>
        <w:tc>
          <w:tcPr>
            <w:tcW w:w="2667" w:type="dxa"/>
            <w:vAlign w:val="center"/>
          </w:tcPr>
          <w:p w14:paraId="3B571470" w14:textId="5D8D0A19" w:rsidR="007564FF" w:rsidRPr="00BA4FD9" w:rsidRDefault="007564FF" w:rsidP="00BA4FD9">
            <w:pPr>
              <w:pStyle w:val="TableText"/>
              <w:rPr>
                <w:rStyle w:val="eop"/>
                <w:sz w:val="20"/>
              </w:rPr>
            </w:pPr>
          </w:p>
        </w:tc>
        <w:tc>
          <w:tcPr>
            <w:tcW w:w="4851" w:type="dxa"/>
            <w:vAlign w:val="center"/>
          </w:tcPr>
          <w:p w14:paraId="16B7CE8D" w14:textId="77777777" w:rsidR="007564FF" w:rsidRPr="00FD491F" w:rsidRDefault="007564FF" w:rsidP="00BA4FD9">
            <w:pPr>
              <w:pStyle w:val="TableText"/>
              <w:rPr>
                <w:rStyle w:val="eop"/>
              </w:rPr>
            </w:pPr>
          </w:p>
        </w:tc>
      </w:tr>
    </w:tbl>
    <w:p w14:paraId="3B1EDADC" w14:textId="77777777" w:rsidR="00CB7391" w:rsidRDefault="00CB7391" w:rsidP="00FD491F">
      <w:pPr>
        <w:rPr>
          <w:rStyle w:val="eop"/>
          <w:rFonts w:cs="Arial"/>
          <w:b/>
        </w:rPr>
      </w:pPr>
    </w:p>
    <w:p w14:paraId="7163D7F3" w14:textId="77777777" w:rsidR="00C30E81" w:rsidRDefault="00C30E81" w:rsidP="00C30E81">
      <w:pPr>
        <w:tabs>
          <w:tab w:val="left" w:leader="dot" w:pos="10204"/>
        </w:tabs>
        <w:ind w:left="567"/>
      </w:pPr>
      <w:r>
        <w:t xml:space="preserve">This time among acts and other legislative instruments, I found </w:t>
      </w:r>
      <w:r w:rsidRPr="00801C0E">
        <w:t>Privacy Act 1988</w:t>
      </w:r>
      <w:r>
        <w:t xml:space="preserve"> </w:t>
      </w:r>
      <w:r w:rsidRPr="00801C0E">
        <w:t>the Australian Consumer Law (ACL)</w:t>
      </w:r>
      <w:r>
        <w:t xml:space="preserve"> having interdependency. The connection found here is that the </w:t>
      </w:r>
      <w:r w:rsidRPr="00FE05F1">
        <w:t xml:space="preserve">Privacy Act </w:t>
      </w:r>
      <w:r>
        <w:t>assures about</w:t>
      </w:r>
      <w:r w:rsidRPr="00FE05F1">
        <w:t xml:space="preserve"> personal data protection, while compliance with the ACL</w:t>
      </w:r>
      <w:r>
        <w:t xml:space="preserve"> is</w:t>
      </w:r>
      <w:r w:rsidRPr="00FE05F1">
        <w:t xml:space="preserve"> ensur</w:t>
      </w:r>
      <w:r>
        <w:t>ing</w:t>
      </w:r>
      <w:r w:rsidRPr="00FE05F1">
        <w:t xml:space="preserve"> that customers can trust the service</w:t>
      </w:r>
      <w:r>
        <w:t xml:space="preserve"> and having their own rights</w:t>
      </w:r>
      <w:r w:rsidRPr="00FE05F1">
        <w:t xml:space="preserve">. </w:t>
      </w:r>
      <w:r>
        <w:t xml:space="preserve">If this organization faces an online security failure, this will impact both data privacy and consumer rights, remembering that company needs to </w:t>
      </w:r>
      <w:proofErr w:type="gramStart"/>
      <w:r>
        <w:t>maintain  its</w:t>
      </w:r>
      <w:proofErr w:type="gramEnd"/>
      <w:r>
        <w:t xml:space="preserve"> compliance across both legal frameworks.</w:t>
      </w:r>
    </w:p>
    <w:p w14:paraId="1E607D9D" w14:textId="77777777" w:rsidR="00C30E81" w:rsidRDefault="00C30E81" w:rsidP="00C30E81">
      <w:pPr>
        <w:tabs>
          <w:tab w:val="left" w:leader="dot" w:pos="10204"/>
        </w:tabs>
        <w:ind w:left="567"/>
      </w:pPr>
    </w:p>
    <w:p w14:paraId="76BFBF15" w14:textId="77777777" w:rsidR="00C30E81" w:rsidRDefault="00C30E81" w:rsidP="00C30E81">
      <w:pPr>
        <w:tabs>
          <w:tab w:val="left" w:leader="dot" w:pos="10204"/>
        </w:tabs>
        <w:ind w:left="567"/>
      </w:pPr>
      <w:bookmarkStart w:id="9" w:name="_Hlk178411040"/>
      <w:r w:rsidRPr="00011CEB">
        <w:t xml:space="preserve">Office of the Australian Information Commissioner (OAIC) 2023, </w:t>
      </w:r>
      <w:r w:rsidRPr="00011CEB">
        <w:rPr>
          <w:i/>
          <w:iCs/>
        </w:rPr>
        <w:t>About the Notifiable Data Breaches scheme</w:t>
      </w:r>
      <w:r w:rsidRPr="00011CEB">
        <w:t xml:space="preserve">, OAIC, viewed 24 September 2024, </w:t>
      </w:r>
      <w:hyperlink r:id="rId15" w:tgtFrame="_new" w:history="1">
        <w:r w:rsidRPr="00011CEB">
          <w:rPr>
            <w:rStyle w:val="Hyperlink"/>
          </w:rPr>
          <w:t>https://www.oaic.gov.au/privacy/notifiable-data-breaches/about-the-notifiable-data-breaches-scheme</w:t>
        </w:r>
      </w:hyperlink>
    </w:p>
    <w:p w14:paraId="35127AAC" w14:textId="77777777" w:rsidR="00C30E81" w:rsidRDefault="00C30E81" w:rsidP="00C30E81">
      <w:pPr>
        <w:tabs>
          <w:tab w:val="left" w:leader="dot" w:pos="10204"/>
        </w:tabs>
        <w:ind w:left="567"/>
      </w:pPr>
    </w:p>
    <w:p w14:paraId="20F8DDA5" w14:textId="77777777" w:rsidR="00C30E81" w:rsidRDefault="00C30E81" w:rsidP="00C30E81">
      <w:pPr>
        <w:tabs>
          <w:tab w:val="left" w:leader="dot" w:pos="10204"/>
        </w:tabs>
        <w:ind w:left="567"/>
      </w:pPr>
      <w:r w:rsidRPr="00011CEB">
        <w:t xml:space="preserve">Australian Government 2023, </w:t>
      </w:r>
      <w:r w:rsidRPr="00011CEB">
        <w:rPr>
          <w:i/>
          <w:iCs/>
        </w:rPr>
        <w:t>Criminal Code Act 1995</w:t>
      </w:r>
      <w:r w:rsidRPr="00011CEB">
        <w:t xml:space="preserve">, Attorney-General's Department, viewed 24 September 2024, </w:t>
      </w:r>
      <w:hyperlink r:id="rId16" w:tgtFrame="_new" w:history="1">
        <w:r w:rsidRPr="00011CEB">
          <w:rPr>
            <w:rStyle w:val="Hyperlink"/>
          </w:rPr>
          <w:t>https://www.ag.gov.au/crime/publications/commonwealth-criminal-code-guide-practitioners-draft/criminal-code-act-1995</w:t>
        </w:r>
      </w:hyperlink>
      <w:r w:rsidRPr="00011CEB">
        <w:t>.</w:t>
      </w:r>
    </w:p>
    <w:bookmarkEnd w:id="9"/>
    <w:p w14:paraId="065BCF86" w14:textId="77777777" w:rsidR="00C30E81" w:rsidRDefault="00C30E81" w:rsidP="00C30E81">
      <w:pPr>
        <w:tabs>
          <w:tab w:val="left" w:leader="dot" w:pos="10204"/>
        </w:tabs>
        <w:ind w:left="567"/>
      </w:pPr>
    </w:p>
    <w:p w14:paraId="0B34ED39" w14:textId="77777777" w:rsidR="00C30E81" w:rsidRDefault="00C30E81" w:rsidP="00C30E81">
      <w:pPr>
        <w:tabs>
          <w:tab w:val="left" w:leader="dot" w:pos="10204"/>
        </w:tabs>
        <w:ind w:left="567"/>
      </w:pPr>
      <w:r w:rsidRPr="00BC3C8C">
        <w:t xml:space="preserve">Australian Government 2023, </w:t>
      </w:r>
      <w:r w:rsidRPr="00BC3C8C">
        <w:rPr>
          <w:i/>
          <w:iCs/>
        </w:rPr>
        <w:t>Australian Consumer Law</w:t>
      </w:r>
      <w:r w:rsidRPr="00BC3C8C">
        <w:t xml:space="preserve">, Consumer Affairs, viewed 24 September 2024, </w:t>
      </w:r>
      <w:hyperlink r:id="rId17" w:tgtFrame="_new" w:history="1">
        <w:r w:rsidRPr="00BC3C8C">
          <w:rPr>
            <w:rStyle w:val="Hyperlink"/>
          </w:rPr>
          <w:t>https://consumer.gov.au/australian-consumer-law</w:t>
        </w:r>
      </w:hyperlink>
    </w:p>
    <w:p w14:paraId="57835B4B" w14:textId="77777777" w:rsidR="00BC0286" w:rsidRPr="00BC0286" w:rsidRDefault="00BC0286" w:rsidP="00BC0286">
      <w:pPr>
        <w:rPr>
          <w:rStyle w:val="eop"/>
          <w:rFonts w:cs="Arial"/>
        </w:rPr>
      </w:pPr>
      <w:r w:rsidRPr="00BC0286">
        <w:rPr>
          <w:rStyle w:val="eop"/>
          <w:rFonts w:cs="Arial"/>
        </w:rPr>
        <w:t xml:space="preserve">I do believe that the Office of the Australia Information Commissioner (OAIC) is the one can contribute to the security of business data operations of this organization. There are </w:t>
      </w:r>
      <w:r w:rsidRPr="00BC0286">
        <w:rPr>
          <w:rStyle w:val="eop"/>
          <w:rFonts w:cs="Arial"/>
        </w:rPr>
        <w:lastRenderedPageBreak/>
        <w:t>guidance and resources being provided by OAIC to aid this business to enhance their understanding of obligations they have got under Act and scheme mentioned before. They have been providing with best practices for data protection, incident response plans and more in event of a data breach. Its guidelines will help the organization to enhance data protection, their compliance leading to building trust.</w:t>
      </w:r>
    </w:p>
    <w:p w14:paraId="65524361" w14:textId="77777777" w:rsidR="00BC0286" w:rsidRPr="00BC0286" w:rsidRDefault="00BC0286" w:rsidP="00BC0286">
      <w:pPr>
        <w:rPr>
          <w:rStyle w:val="eop"/>
          <w:rFonts w:cs="Arial"/>
        </w:rPr>
      </w:pPr>
      <w:r w:rsidRPr="00BC0286">
        <w:rPr>
          <w:rStyle w:val="eop"/>
          <w:rFonts w:cs="Arial"/>
        </w:rPr>
        <w:t>Office of the Australian Information Commissioner (OAIC) 2023, About the OAIC, viewed 24 September 2024, https://www.oaic.gov.au/about-the-OAIC.</w:t>
      </w:r>
    </w:p>
    <w:p w14:paraId="6B584272" w14:textId="77777777" w:rsidR="00796C2E" w:rsidRDefault="00796C2E" w:rsidP="00FD491F">
      <w:pPr>
        <w:rPr>
          <w:rStyle w:val="eop"/>
          <w:rFonts w:cs="Arial"/>
          <w:color w:val="1F4E79" w:themeColor="accent1" w:themeShade="80"/>
        </w:rPr>
      </w:pPr>
    </w:p>
    <w:p w14:paraId="03E1925C" w14:textId="77777777" w:rsidR="00796C2E" w:rsidRDefault="00796C2E" w:rsidP="00796C2E">
      <w:r>
        <w:t xml:space="preserve">The Privacy Law has been subjecting to a reform in recent years. They have stated by enhancing the data security and destruction obligations </w:t>
      </w:r>
      <w:proofErr w:type="gramStart"/>
      <w:r>
        <w:t>in order to</w:t>
      </w:r>
      <w:proofErr w:type="gramEnd"/>
      <w:r>
        <w:t xml:space="preserve"> ensure a secure personal data storing and handling practices and also its proper destruction when no longer needed. This will benefit both organizations by minimizing risks associated with data breaches by implementing stronger security measures. Moreover, they are going to have more efficient operation when they will receive clear updated guidelines on data destruction, they will ensure that only necessary data is retained. Furthermore, they have decided to expand enforcement powers of courts for enforcing privacy laws. This can include the ability to impose higher penalties for non-compliance. If there are going to be higher penalties rates, this will make both organizations motivated to prioritize data privacy preventing facing any fines. Lastly, they are planning to increase transparency and accountability in how organizations handle data, which will also make auditing process more convenient. This will benefit both organizations by improving their reputation and build consumer confidence.</w:t>
      </w:r>
    </w:p>
    <w:p w14:paraId="7FB87D74" w14:textId="77777777" w:rsidR="00796C2E" w:rsidRDefault="00796C2E" w:rsidP="00796C2E">
      <w:r w:rsidRPr="00433AB3">
        <w:t xml:space="preserve">Russell Kennedy 2024, </w:t>
      </w:r>
      <w:r w:rsidRPr="00433AB3">
        <w:rPr>
          <w:i/>
          <w:iCs/>
        </w:rPr>
        <w:t>New privacy legislation in 2024: Government responds to proposed reforms to Australia’s privacy laws</w:t>
      </w:r>
      <w:r w:rsidRPr="00433AB3">
        <w:t xml:space="preserve">, viewed 24 September 2024, </w:t>
      </w:r>
      <w:hyperlink r:id="rId18" w:tgtFrame="_new" w:history="1">
        <w:r w:rsidRPr="00433AB3">
          <w:rPr>
            <w:rStyle w:val="Hyperlink"/>
          </w:rPr>
          <w:t>https://www.russellkennedy.com.au/insights-events/insights/new-privacy-legislation-in-2024-government-responds-to-proposed-reforms-to-australia-s-privacy-laws</w:t>
        </w:r>
      </w:hyperlink>
      <w:r w:rsidRPr="00433AB3">
        <w:t>.</w:t>
      </w:r>
    </w:p>
    <w:p w14:paraId="63B1C785" w14:textId="77777777" w:rsidR="00796C2E" w:rsidRDefault="00796C2E" w:rsidP="00796C2E">
      <w:r w:rsidRPr="00433AB3">
        <w:t xml:space="preserve">Jones Day 2024, </w:t>
      </w:r>
      <w:r w:rsidRPr="00433AB3">
        <w:rPr>
          <w:i/>
          <w:iCs/>
        </w:rPr>
        <w:t>US Congress reintroduces new comprehensive federal privacy law</w:t>
      </w:r>
      <w:r w:rsidRPr="00433AB3">
        <w:t xml:space="preserve">, viewed 24 September 2024, </w:t>
      </w:r>
      <w:hyperlink r:id="rId19" w:tgtFrame="_new" w:history="1">
        <w:r w:rsidRPr="00433AB3">
          <w:rPr>
            <w:rStyle w:val="Hyperlink"/>
          </w:rPr>
          <w:t>https://www.jonesday.com/en/insights/2024/04/us-congress-reintroduces-new-comprehensive-federal-privacy-law</w:t>
        </w:r>
      </w:hyperlink>
      <w:r w:rsidRPr="00433AB3">
        <w:t>.</w:t>
      </w:r>
    </w:p>
    <w:p w14:paraId="3640273D" w14:textId="77777777" w:rsidR="00796C2E" w:rsidRDefault="00796C2E" w:rsidP="00796C2E">
      <w:r w:rsidRPr="009974F6">
        <w:t xml:space="preserve">PwC Australia 2023, </w:t>
      </w:r>
      <w:r w:rsidRPr="009974F6">
        <w:rPr>
          <w:i/>
          <w:iCs/>
        </w:rPr>
        <w:t>Privacy Act review report</w:t>
      </w:r>
      <w:r w:rsidRPr="009974F6">
        <w:t xml:space="preserve">, viewed 24 September 2024, </w:t>
      </w:r>
      <w:hyperlink r:id="rId20" w:tgtFrame="_new" w:history="1">
        <w:r w:rsidRPr="009974F6">
          <w:rPr>
            <w:rStyle w:val="Hyperlink"/>
          </w:rPr>
          <w:t>https://www.pwc.com.au/cyber-security-digital-trust/2023-privacy-act-review-report.html</w:t>
        </w:r>
      </w:hyperlink>
      <w:r w:rsidRPr="009974F6">
        <w:t>.</w:t>
      </w:r>
    </w:p>
    <w:p w14:paraId="19198A76" w14:textId="77777777" w:rsidR="00796C2E" w:rsidRPr="00CB7391" w:rsidRDefault="00796C2E" w:rsidP="00FD491F">
      <w:pPr>
        <w:rPr>
          <w:rStyle w:val="eop"/>
          <w:rFonts w:cs="Arial"/>
          <w:b/>
          <w:color w:val="1F4E79" w:themeColor="accent1" w:themeShade="80"/>
        </w:rPr>
      </w:pPr>
    </w:p>
    <w:p w14:paraId="2459C81A" w14:textId="77777777" w:rsidR="00796C2E" w:rsidRDefault="00796C2E" w:rsidP="00796C2E">
      <w:pPr>
        <w:tabs>
          <w:tab w:val="left" w:leader="dot" w:pos="10204"/>
        </w:tabs>
        <w:ind w:left="567"/>
      </w:pPr>
      <w:bookmarkStart w:id="10" w:name="_Hlk178412421"/>
      <w:r>
        <w:t xml:space="preserve">There are going to be some changes in consumer laws like Australian consumer Law and Privacy Act. They have announced that reforms will make stricter on unfair contract terms to identify them as illegal ones. This will prevent organizations being only into their own favourable agreements, ensure fairer competition. Moreover, they have mentioned that they will enforce more new regulations those will require businesses to ensure their products satisfy safety standards prior to entering the market. This will encourage both businesses to enhance their compliances in order to </w:t>
      </w:r>
      <w:r>
        <w:lastRenderedPageBreak/>
        <w:t>prevent any fines. This will not only about fines, but the stricter data protection and surveillance by the laws can lead to better security practices which will protect both organizations from data breaches and other cyber threats. Lastly, this will lead to an increase in trust being made by both organizations’ trust.</w:t>
      </w:r>
    </w:p>
    <w:p w14:paraId="235E51A2" w14:textId="77777777" w:rsidR="00796C2E" w:rsidRDefault="00796C2E" w:rsidP="00796C2E">
      <w:pPr>
        <w:tabs>
          <w:tab w:val="left" w:leader="dot" w:pos="10204"/>
        </w:tabs>
        <w:ind w:left="567"/>
      </w:pPr>
    </w:p>
    <w:p w14:paraId="746E7290" w14:textId="77777777" w:rsidR="00796C2E" w:rsidRDefault="00796C2E" w:rsidP="00796C2E">
      <w:pPr>
        <w:tabs>
          <w:tab w:val="left" w:leader="dot" w:pos="10204"/>
        </w:tabs>
        <w:ind w:left="567"/>
      </w:pPr>
      <w:r w:rsidRPr="001B3729">
        <w:t xml:space="preserve">Australian Competition and Consumer Commission (ACCC) 2023, </w:t>
      </w:r>
      <w:r w:rsidRPr="001B3729">
        <w:rPr>
          <w:i/>
          <w:iCs/>
        </w:rPr>
        <w:t>Contracts</w:t>
      </w:r>
      <w:r w:rsidRPr="001B3729">
        <w:t xml:space="preserve">, viewed 24 September 2024, </w:t>
      </w:r>
      <w:hyperlink r:id="rId21" w:tgtFrame="_new" w:history="1">
        <w:r w:rsidRPr="001B3729">
          <w:rPr>
            <w:rStyle w:val="Hyperlink"/>
          </w:rPr>
          <w:t>https://www.accc.gov.au/business/selling-products-and-services/contracts</w:t>
        </w:r>
      </w:hyperlink>
      <w:r w:rsidRPr="001B3729">
        <w:t>.</w:t>
      </w:r>
    </w:p>
    <w:p w14:paraId="4C2DFFCA" w14:textId="77777777" w:rsidR="00796C2E" w:rsidRDefault="00796C2E" w:rsidP="00796C2E">
      <w:pPr>
        <w:tabs>
          <w:tab w:val="left" w:leader="dot" w:pos="10204"/>
        </w:tabs>
        <w:ind w:left="567"/>
      </w:pPr>
      <w:r w:rsidRPr="001B3729">
        <w:t xml:space="preserve">Australian Competition and Consumer Commission (ACCC) 2023, </w:t>
      </w:r>
      <w:r w:rsidRPr="001B3729">
        <w:rPr>
          <w:i/>
          <w:iCs/>
        </w:rPr>
        <w:t>Unfair contract terms: A guide for businesses and legal practitioners</w:t>
      </w:r>
      <w:r w:rsidRPr="001B3729">
        <w:t xml:space="preserve">, viewed 24 September 2024, </w:t>
      </w:r>
      <w:hyperlink r:id="rId22" w:tgtFrame="_new" w:history="1">
        <w:r w:rsidRPr="001B3729">
          <w:rPr>
            <w:rStyle w:val="Hyperlink"/>
          </w:rPr>
          <w:t>https://www.accc.gov.au/system/files/Unfair%20contract%20terms%20-%20A%20guide%20for%20businesses%20and%20legal%20practitioners.pdf</w:t>
        </w:r>
      </w:hyperlink>
      <w:r w:rsidRPr="001B3729">
        <w:t>.</w:t>
      </w:r>
    </w:p>
    <w:p w14:paraId="1BBABD6E" w14:textId="77777777" w:rsidR="00796C2E" w:rsidRDefault="00796C2E" w:rsidP="00796C2E">
      <w:pPr>
        <w:tabs>
          <w:tab w:val="left" w:leader="dot" w:pos="10204"/>
        </w:tabs>
        <w:ind w:left="567"/>
      </w:pPr>
      <w:r w:rsidRPr="001B3729">
        <w:t xml:space="preserve">Australian Government Department of Home Affairs 2021, </w:t>
      </w:r>
      <w:r w:rsidRPr="001B3729">
        <w:rPr>
          <w:i/>
          <w:iCs/>
        </w:rPr>
        <w:t>Surveillance Legislation Amendment (Identify and Disrupt) Act 2021</w:t>
      </w:r>
      <w:r w:rsidRPr="001B3729">
        <w:t xml:space="preserve">, viewed 24 September 2024, </w:t>
      </w:r>
      <w:hyperlink r:id="rId23" w:tgtFrame="_new" w:history="1">
        <w:r w:rsidRPr="001B3729">
          <w:rPr>
            <w:rStyle w:val="Hyperlink"/>
          </w:rPr>
          <w:t>https://www.homeaffairs.gov.au/about-us/our-portfolios/national-security/lawful-access-telecommunications/surveillance-legislation-amendment-identify-and-disrupt-act-2021</w:t>
        </w:r>
      </w:hyperlink>
      <w:r w:rsidRPr="001B3729">
        <w:t>.</w:t>
      </w:r>
    </w:p>
    <w:p w14:paraId="6601DEA7" w14:textId="77777777" w:rsidR="00796C2E" w:rsidRDefault="00796C2E" w:rsidP="00796C2E">
      <w:pPr>
        <w:tabs>
          <w:tab w:val="left" w:leader="dot" w:pos="10204"/>
        </w:tabs>
        <w:ind w:left="567"/>
      </w:pPr>
      <w:r w:rsidRPr="001F2F16">
        <w:t xml:space="preserve">Australian Government 2024, </w:t>
      </w:r>
      <w:r w:rsidRPr="001F2F16">
        <w:rPr>
          <w:i/>
          <w:iCs/>
        </w:rPr>
        <w:t>Reform Australia’s electronic surveillance framework</w:t>
      </w:r>
      <w:r w:rsidRPr="001F2F16">
        <w:t xml:space="preserve">, viewed 24 September 2024, </w:t>
      </w:r>
      <w:hyperlink r:id="rId24" w:tgtFrame="_new" w:history="1">
        <w:r w:rsidRPr="001F2F16">
          <w:rPr>
            <w:rStyle w:val="Hyperlink"/>
          </w:rPr>
          <w:t>https://www.ag.gov.au/crime/telecommunications-interception-and-surveillance/reform-australias-electronic-surveillance-framework</w:t>
        </w:r>
      </w:hyperlink>
    </w:p>
    <w:bookmarkEnd w:id="10"/>
    <w:p w14:paraId="51CDD431" w14:textId="50D478BA" w:rsidR="00BA4FD9" w:rsidRDefault="00BA4FD9" w:rsidP="00FD491F">
      <w:pPr>
        <w:rPr>
          <w:rStyle w:val="eop"/>
          <w:rFonts w:cs="Arial"/>
          <w:color w:val="1F4E79" w:themeColor="accent1" w:themeShade="80"/>
        </w:rPr>
      </w:pPr>
      <w:r>
        <w:rPr>
          <w:rStyle w:val="eop"/>
          <w:rFonts w:cs="Arial"/>
          <w:color w:val="1F4E79" w:themeColor="accent1" w:themeShade="80"/>
        </w:rPr>
        <w:br w:type="page"/>
      </w:r>
    </w:p>
    <w:p w14:paraId="6C046805" w14:textId="77777777" w:rsidR="006E6FF8" w:rsidRPr="00F74393" w:rsidRDefault="006E6FF8" w:rsidP="00F74393">
      <w:pPr>
        <w:pStyle w:val="Heading2"/>
        <w:rPr>
          <w:rStyle w:val="eop"/>
        </w:rPr>
      </w:pPr>
      <w:bookmarkStart w:id="11" w:name="_Toc124768028"/>
      <w:r w:rsidRPr="00F74393">
        <w:rPr>
          <w:rStyle w:val="eop"/>
        </w:rPr>
        <w:lastRenderedPageBreak/>
        <w:t>3.1 Regulators</w:t>
      </w:r>
      <w:bookmarkEnd w:id="11"/>
    </w:p>
    <w:p w14:paraId="73742B32" w14:textId="77777777" w:rsidR="00BA4FD9" w:rsidRPr="00BA4FD9" w:rsidRDefault="00BA4FD9" w:rsidP="00BA4FD9">
      <w:pPr>
        <w:rPr>
          <w:color w:val="1F4E79" w:themeColor="accent1" w:themeShade="80"/>
        </w:rPr>
      </w:pPr>
    </w:p>
    <w:tbl>
      <w:tblPr>
        <w:tblStyle w:val="TableGrid1"/>
        <w:tblW w:w="9214" w:type="dxa"/>
        <w:tblInd w:w="-3" w:type="dxa"/>
        <w:tblLook w:val="04A0" w:firstRow="1" w:lastRow="0" w:firstColumn="1" w:lastColumn="0" w:noHBand="0" w:noVBand="1"/>
      </w:tblPr>
      <w:tblGrid>
        <w:gridCol w:w="2977"/>
        <w:gridCol w:w="2977"/>
        <w:gridCol w:w="3260"/>
      </w:tblGrid>
      <w:tr w:rsidR="006E6FF8" w:rsidRPr="006E6FF8" w14:paraId="1731414D" w14:textId="77777777" w:rsidTr="00FD491F">
        <w:tc>
          <w:tcPr>
            <w:tcW w:w="2977" w:type="dxa"/>
            <w:shd w:val="clear" w:color="auto" w:fill="D9D9D9" w:themeFill="background1" w:themeFillShade="D9"/>
            <w:vAlign w:val="center"/>
          </w:tcPr>
          <w:p w14:paraId="6D0C936A" w14:textId="77777777" w:rsidR="006E6FF8" w:rsidRPr="00FD491F" w:rsidRDefault="006E6FF8" w:rsidP="00FD491F">
            <w:pPr>
              <w:pStyle w:val="TableText"/>
              <w:jc w:val="center"/>
              <w:rPr>
                <w:b/>
                <w:bCs/>
              </w:rPr>
            </w:pPr>
            <w:r w:rsidRPr="00FD491F">
              <w:rPr>
                <w:b/>
                <w:bCs/>
              </w:rPr>
              <w:t>REGULATOR</w:t>
            </w:r>
          </w:p>
        </w:tc>
        <w:tc>
          <w:tcPr>
            <w:tcW w:w="2977" w:type="dxa"/>
            <w:shd w:val="clear" w:color="auto" w:fill="D9D9D9" w:themeFill="background1" w:themeFillShade="D9"/>
            <w:vAlign w:val="center"/>
          </w:tcPr>
          <w:p w14:paraId="16802DC4" w14:textId="77777777" w:rsidR="006E6FF8" w:rsidRPr="00FD491F" w:rsidRDefault="006E6FF8" w:rsidP="00FD491F">
            <w:pPr>
              <w:pStyle w:val="TableText"/>
              <w:jc w:val="center"/>
              <w:rPr>
                <w:b/>
                <w:bCs/>
              </w:rPr>
            </w:pPr>
            <w:r w:rsidRPr="00FD491F">
              <w:rPr>
                <w:b/>
                <w:bCs/>
              </w:rPr>
              <w:t>ROLE</w:t>
            </w:r>
          </w:p>
        </w:tc>
        <w:tc>
          <w:tcPr>
            <w:tcW w:w="3260" w:type="dxa"/>
            <w:shd w:val="clear" w:color="auto" w:fill="D9D9D9" w:themeFill="background1" w:themeFillShade="D9"/>
            <w:vAlign w:val="center"/>
          </w:tcPr>
          <w:p w14:paraId="4E686D2D" w14:textId="77777777" w:rsidR="006E6FF8" w:rsidRPr="00FD491F" w:rsidRDefault="006E6FF8" w:rsidP="00FD491F">
            <w:pPr>
              <w:pStyle w:val="TableText"/>
              <w:jc w:val="center"/>
              <w:rPr>
                <w:b/>
                <w:bCs/>
              </w:rPr>
            </w:pPr>
            <w:r w:rsidRPr="00FD491F">
              <w:rPr>
                <w:b/>
                <w:bCs/>
              </w:rPr>
              <w:t>SCOPE</w:t>
            </w:r>
          </w:p>
        </w:tc>
      </w:tr>
      <w:tr w:rsidR="00A71785" w:rsidRPr="006E6FF8" w14:paraId="295CA739" w14:textId="77777777" w:rsidTr="00FD491F">
        <w:tc>
          <w:tcPr>
            <w:tcW w:w="2977" w:type="dxa"/>
            <w:shd w:val="clear" w:color="auto" w:fill="F2F2F2" w:themeFill="background1" w:themeFillShade="F2"/>
          </w:tcPr>
          <w:p w14:paraId="57A2D44E" w14:textId="03B8DC7E" w:rsidR="00A71785" w:rsidRPr="00FD491F" w:rsidRDefault="00A71785" w:rsidP="00A71785">
            <w:pPr>
              <w:pStyle w:val="TableText"/>
            </w:pPr>
            <w:r w:rsidRPr="00341CE1">
              <w:t xml:space="preserve">Australian Prudential Regulation Authority (APRA) </w:t>
            </w:r>
          </w:p>
        </w:tc>
        <w:tc>
          <w:tcPr>
            <w:tcW w:w="2977" w:type="dxa"/>
          </w:tcPr>
          <w:p w14:paraId="1CB78A0E" w14:textId="65EF7A6E" w:rsidR="00A71785" w:rsidRPr="00FD491F" w:rsidRDefault="00A71785" w:rsidP="00A71785">
            <w:pPr>
              <w:pStyle w:val="TableText"/>
            </w:pPr>
            <w:r>
              <w:t>It supervises</w:t>
            </w:r>
            <w:r w:rsidRPr="00A720EC">
              <w:t xml:space="preserve"> financial institutions to </w:t>
            </w:r>
            <w:r>
              <w:t>enhance their</w:t>
            </w:r>
            <w:r w:rsidRPr="00A720EC">
              <w:t xml:space="preserve"> stability and enforce prudential standards.</w:t>
            </w:r>
          </w:p>
        </w:tc>
        <w:tc>
          <w:tcPr>
            <w:tcW w:w="3260" w:type="dxa"/>
          </w:tcPr>
          <w:p w14:paraId="48380D22" w14:textId="2F38B1B1" w:rsidR="00A71785" w:rsidRPr="00FD491F" w:rsidRDefault="00A71785" w:rsidP="00A71785">
            <w:pPr>
              <w:pStyle w:val="TableText"/>
            </w:pPr>
            <w:r>
              <w:t>It c</w:t>
            </w:r>
            <w:r w:rsidRPr="0000168B">
              <w:t xml:space="preserve">overs banks, insurers, and superannuation funds, focusing on risk management and </w:t>
            </w:r>
            <w:r>
              <w:t xml:space="preserve">their </w:t>
            </w:r>
            <w:r w:rsidRPr="0000168B">
              <w:t>cybersecurity.</w:t>
            </w:r>
          </w:p>
        </w:tc>
      </w:tr>
      <w:tr w:rsidR="00A71785" w:rsidRPr="006E6FF8" w14:paraId="65303225" w14:textId="77777777" w:rsidTr="00FD491F">
        <w:tc>
          <w:tcPr>
            <w:tcW w:w="2977" w:type="dxa"/>
            <w:shd w:val="clear" w:color="auto" w:fill="F2F2F2" w:themeFill="background1" w:themeFillShade="F2"/>
          </w:tcPr>
          <w:p w14:paraId="6287EF53" w14:textId="4C743F66" w:rsidR="00A71785" w:rsidRPr="00FD491F" w:rsidRDefault="00A71785" w:rsidP="00A71785">
            <w:pPr>
              <w:pStyle w:val="TableText"/>
            </w:pPr>
            <w:r w:rsidRPr="00341CE1">
              <w:t>Australian Securities and Investments Commission (ASIC)</w:t>
            </w:r>
          </w:p>
        </w:tc>
        <w:tc>
          <w:tcPr>
            <w:tcW w:w="2977" w:type="dxa"/>
          </w:tcPr>
          <w:p w14:paraId="13F53725" w14:textId="22B1055F" w:rsidR="00A71785" w:rsidRPr="00FD491F" w:rsidRDefault="00A71785" w:rsidP="00A71785">
            <w:pPr>
              <w:pStyle w:val="TableText"/>
            </w:pPr>
            <w:r>
              <w:t>Its role is to r</w:t>
            </w:r>
            <w:r w:rsidRPr="00A44BF8">
              <w:t>egulates companies and financial services to ensure market integrity and investor protection.</w:t>
            </w:r>
          </w:p>
        </w:tc>
        <w:tc>
          <w:tcPr>
            <w:tcW w:w="3260" w:type="dxa"/>
          </w:tcPr>
          <w:p w14:paraId="415140D0" w14:textId="7C27D4C4" w:rsidR="00A71785" w:rsidRPr="00FD491F" w:rsidRDefault="00A71785" w:rsidP="00A71785">
            <w:pPr>
              <w:pStyle w:val="TableText"/>
            </w:pPr>
            <w:r>
              <w:t>It g</w:t>
            </w:r>
            <w:r w:rsidRPr="002716CB">
              <w:t xml:space="preserve">overns corporations, financial markets, and service providers to </w:t>
            </w:r>
            <w:r>
              <w:t xml:space="preserve">create a fair environment. </w:t>
            </w:r>
          </w:p>
        </w:tc>
      </w:tr>
      <w:tr w:rsidR="00A71785" w:rsidRPr="006E6FF8" w14:paraId="099132F6" w14:textId="77777777" w:rsidTr="00FD491F">
        <w:tc>
          <w:tcPr>
            <w:tcW w:w="2977" w:type="dxa"/>
            <w:shd w:val="clear" w:color="auto" w:fill="F2F2F2" w:themeFill="background1" w:themeFillShade="F2"/>
          </w:tcPr>
          <w:p w14:paraId="05009355" w14:textId="50E60FCD" w:rsidR="00A71785" w:rsidRPr="00FD491F" w:rsidRDefault="00A71785" w:rsidP="00A71785">
            <w:pPr>
              <w:pStyle w:val="TableText"/>
            </w:pPr>
            <w:r w:rsidRPr="00341CE1">
              <w:t xml:space="preserve">Australian Competition and Consumer Commission (ACCC) </w:t>
            </w:r>
          </w:p>
        </w:tc>
        <w:tc>
          <w:tcPr>
            <w:tcW w:w="2977" w:type="dxa"/>
          </w:tcPr>
          <w:p w14:paraId="0220C7D9" w14:textId="24F91DD1" w:rsidR="00A71785" w:rsidRPr="00FD491F" w:rsidRDefault="00A71785" w:rsidP="00A71785">
            <w:pPr>
              <w:pStyle w:val="TableText"/>
            </w:pPr>
            <w:r>
              <w:t>It e</w:t>
            </w:r>
            <w:r w:rsidRPr="00AA0050">
              <w:t>nsures</w:t>
            </w:r>
            <w:r>
              <w:t xml:space="preserve"> that there is a</w:t>
            </w:r>
            <w:r w:rsidRPr="00AA0050">
              <w:t xml:space="preserve"> fair competition and </w:t>
            </w:r>
            <w:r>
              <w:t xml:space="preserve">it always trying to </w:t>
            </w:r>
            <w:r w:rsidRPr="00AA0050">
              <w:t>protect consumers by enforcing trade practices</w:t>
            </w:r>
            <w:r>
              <w:t xml:space="preserve"> and other rules</w:t>
            </w:r>
            <w:r w:rsidRPr="00AA0050">
              <w:t>.</w:t>
            </w:r>
          </w:p>
        </w:tc>
        <w:tc>
          <w:tcPr>
            <w:tcW w:w="3260" w:type="dxa"/>
          </w:tcPr>
          <w:p w14:paraId="3E9F8A80" w14:textId="03F99573" w:rsidR="00A71785" w:rsidRPr="00FD491F" w:rsidRDefault="00A71785" w:rsidP="00A71785">
            <w:pPr>
              <w:pStyle w:val="TableText"/>
            </w:pPr>
            <w:r>
              <w:t>It a</w:t>
            </w:r>
            <w:r w:rsidRPr="00456A9F">
              <w:t xml:space="preserve">pplies to all sectors, focusing on </w:t>
            </w:r>
            <w:r>
              <w:t>those</w:t>
            </w:r>
            <w:r w:rsidRPr="00456A9F">
              <w:t xml:space="preserve"> rights</w:t>
            </w:r>
            <w:r>
              <w:t xml:space="preserve"> belonging to the customer</w:t>
            </w:r>
            <w:r w:rsidRPr="00456A9F">
              <w:t>, competition</w:t>
            </w:r>
            <w:r>
              <w:t>s happening in market</w:t>
            </w:r>
            <w:r w:rsidRPr="00456A9F">
              <w:t xml:space="preserve">, and </w:t>
            </w:r>
            <w:r>
              <w:t xml:space="preserve">prevention of any </w:t>
            </w:r>
            <w:r w:rsidRPr="00456A9F">
              <w:t>anti-competitive behaviours.</w:t>
            </w:r>
          </w:p>
        </w:tc>
      </w:tr>
      <w:tr w:rsidR="00A71785" w:rsidRPr="006E6FF8" w14:paraId="6505CE68" w14:textId="77777777" w:rsidTr="00FD491F">
        <w:tc>
          <w:tcPr>
            <w:tcW w:w="2977" w:type="dxa"/>
            <w:shd w:val="clear" w:color="auto" w:fill="F2F2F2" w:themeFill="background1" w:themeFillShade="F2"/>
          </w:tcPr>
          <w:p w14:paraId="225CC569" w14:textId="729B4877" w:rsidR="00A71785" w:rsidRPr="00FD491F" w:rsidRDefault="00A71785" w:rsidP="00A71785">
            <w:pPr>
              <w:pStyle w:val="TableText"/>
            </w:pPr>
            <w:r w:rsidRPr="00341CE1">
              <w:t>Australian Energy Sector Cyber Security Framework (AESCSF)</w:t>
            </w:r>
          </w:p>
        </w:tc>
        <w:tc>
          <w:tcPr>
            <w:tcW w:w="2977" w:type="dxa"/>
          </w:tcPr>
          <w:p w14:paraId="5C0E0FE7" w14:textId="4A37EEAC" w:rsidR="00A71785" w:rsidRPr="00FD491F" w:rsidRDefault="00A71785" w:rsidP="00A71785">
            <w:pPr>
              <w:pStyle w:val="TableText"/>
            </w:pPr>
            <w:r>
              <w:t>It is here to e</w:t>
            </w:r>
            <w:r w:rsidRPr="003F441B">
              <w:t>nhance</w:t>
            </w:r>
            <w:r>
              <w:t xml:space="preserve"> </w:t>
            </w:r>
            <w:r w:rsidRPr="003F441B">
              <w:t>cybersecurity resilience for the energy sector.</w:t>
            </w:r>
          </w:p>
        </w:tc>
        <w:tc>
          <w:tcPr>
            <w:tcW w:w="3260" w:type="dxa"/>
          </w:tcPr>
          <w:p w14:paraId="22850B0E" w14:textId="5ECC169F" w:rsidR="00A71785" w:rsidRPr="00FD491F" w:rsidRDefault="00A71785" w:rsidP="00A71785">
            <w:pPr>
              <w:pStyle w:val="TableText"/>
            </w:pPr>
            <w:r>
              <w:t>It aims is about</w:t>
            </w:r>
            <w:r w:rsidRPr="003F441B">
              <w:t xml:space="preserve"> energy providers, focusing on </w:t>
            </w:r>
            <w:r>
              <w:t xml:space="preserve"> helping them </w:t>
            </w:r>
            <w:r w:rsidRPr="003F441B">
              <w:t xml:space="preserve">managing cyber risks and protecting </w:t>
            </w:r>
            <w:r>
              <w:t xml:space="preserve">their </w:t>
            </w:r>
            <w:r w:rsidRPr="003F441B">
              <w:t>critical infrastructure.</w:t>
            </w:r>
          </w:p>
        </w:tc>
      </w:tr>
      <w:tr w:rsidR="00A71785" w:rsidRPr="006E6FF8" w14:paraId="24D6676F" w14:textId="77777777" w:rsidTr="00FD491F">
        <w:tc>
          <w:tcPr>
            <w:tcW w:w="2977" w:type="dxa"/>
            <w:shd w:val="clear" w:color="auto" w:fill="F2F2F2" w:themeFill="background1" w:themeFillShade="F2"/>
          </w:tcPr>
          <w:p w14:paraId="2ACC6012" w14:textId="7094029A" w:rsidR="00A71785" w:rsidRPr="00FD491F" w:rsidRDefault="00A71785" w:rsidP="00A71785">
            <w:pPr>
              <w:pStyle w:val="TableText"/>
            </w:pPr>
            <w:r w:rsidRPr="00341CE1">
              <w:t>Protective Service Manual (Australian Government rules for cybersecurity)</w:t>
            </w:r>
          </w:p>
        </w:tc>
        <w:tc>
          <w:tcPr>
            <w:tcW w:w="2977" w:type="dxa"/>
          </w:tcPr>
          <w:p w14:paraId="7D8E68C7" w14:textId="7934C407" w:rsidR="00A71785" w:rsidRPr="00FD491F" w:rsidRDefault="00A71785" w:rsidP="00A71785">
            <w:pPr>
              <w:pStyle w:val="TableText"/>
            </w:pPr>
            <w:r>
              <w:t>It has e</w:t>
            </w:r>
            <w:r w:rsidRPr="00FE4438">
              <w:t>stablished</w:t>
            </w:r>
            <w:r>
              <w:t xml:space="preserve"> </w:t>
            </w:r>
            <w:r w:rsidRPr="00FE4438">
              <w:t xml:space="preserve">cybersecurity rules for entities </w:t>
            </w:r>
            <w:r>
              <w:t xml:space="preserve">under supervision of </w:t>
            </w:r>
            <w:r w:rsidRPr="00FE4438">
              <w:t>Australian government to ensure information protection.</w:t>
            </w:r>
            <w:r w:rsidRPr="00FE4438">
              <w:tab/>
            </w:r>
          </w:p>
        </w:tc>
        <w:tc>
          <w:tcPr>
            <w:tcW w:w="3260" w:type="dxa"/>
          </w:tcPr>
          <w:p w14:paraId="5B569D1E" w14:textId="78514AEF" w:rsidR="00A71785" w:rsidRPr="00FD491F" w:rsidRDefault="00A71785" w:rsidP="00A71785">
            <w:pPr>
              <w:pStyle w:val="TableText"/>
            </w:pPr>
            <w:r>
              <w:t xml:space="preserve">It usually </w:t>
            </w:r>
            <w:r w:rsidRPr="005F7CC2">
              <w:t xml:space="preserve">Applies to </w:t>
            </w:r>
            <w:r>
              <w:t xml:space="preserve">those sectors or agencies having direct interactions with </w:t>
            </w:r>
            <w:r w:rsidRPr="005F7CC2">
              <w:t>government, focusing on safeguarding data, personnel</w:t>
            </w:r>
            <w:r>
              <w:t xml:space="preserve"> safety</w:t>
            </w:r>
            <w:r w:rsidRPr="005F7CC2">
              <w:t>, and physical security.</w:t>
            </w:r>
          </w:p>
        </w:tc>
      </w:tr>
    </w:tbl>
    <w:p w14:paraId="623A42F5" w14:textId="77777777" w:rsidR="006E6FF8" w:rsidRDefault="006E6FF8" w:rsidP="006E6FF8"/>
    <w:p w14:paraId="70279BB3" w14:textId="77777777" w:rsidR="00047EC9" w:rsidRPr="000575DE" w:rsidRDefault="00047EC9" w:rsidP="00F74393">
      <w:pPr>
        <w:pStyle w:val="Heading1"/>
        <w:ind w:left="567" w:hanging="567"/>
        <w:rPr>
          <w:rStyle w:val="eop"/>
          <w:rFonts w:cs="Arial"/>
          <w:color w:val="1F4E79" w:themeColor="accent1" w:themeShade="80"/>
        </w:rPr>
      </w:pPr>
      <w:bookmarkStart w:id="12" w:name="_Toc124768029"/>
      <w:r>
        <w:rPr>
          <w:rStyle w:val="eop"/>
          <w:rFonts w:cs="Arial"/>
          <w:szCs w:val="22"/>
        </w:rPr>
        <w:t>4</w:t>
      </w:r>
      <w:r>
        <w:rPr>
          <w:rStyle w:val="eop"/>
          <w:rFonts w:cs="Arial"/>
          <w:szCs w:val="22"/>
        </w:rPr>
        <w:tab/>
      </w:r>
      <w:r w:rsidR="008B70B4">
        <w:rPr>
          <w:rStyle w:val="eop"/>
          <w:rFonts w:cs="Arial"/>
          <w:szCs w:val="22"/>
        </w:rPr>
        <w:t xml:space="preserve">Cyber Security </w:t>
      </w:r>
      <w:r w:rsidR="0021261F">
        <w:rPr>
          <w:rStyle w:val="eop"/>
          <w:rFonts w:cs="Arial"/>
          <w:szCs w:val="22"/>
        </w:rPr>
        <w:t xml:space="preserve">Findings and </w:t>
      </w:r>
      <w:r w:rsidR="008B70B4">
        <w:rPr>
          <w:rStyle w:val="eop"/>
          <w:rFonts w:cs="Arial"/>
          <w:szCs w:val="22"/>
        </w:rPr>
        <w:t>Recommendations</w:t>
      </w:r>
      <w:bookmarkEnd w:id="12"/>
    </w:p>
    <w:p w14:paraId="57F8DF30" w14:textId="77777777" w:rsidR="00AB0065" w:rsidRPr="00924121" w:rsidRDefault="00AB0065" w:rsidP="00AB0065">
      <w:pPr>
        <w:pStyle w:val="ListParagraph"/>
        <w:numPr>
          <w:ilvl w:val="0"/>
          <w:numId w:val="50"/>
        </w:numPr>
        <w:tabs>
          <w:tab w:val="left" w:leader="dot" w:pos="10204"/>
        </w:tabs>
        <w:rPr>
          <w:szCs w:val="20"/>
        </w:rPr>
      </w:pPr>
      <w:bookmarkStart w:id="13" w:name="_Hlk178436296"/>
      <w:r w:rsidRPr="00924121">
        <w:rPr>
          <w:szCs w:val="20"/>
        </w:rPr>
        <w:t xml:space="preserve">As I have previously listed here, there are lots of Australian and international regulations and standards need to be discovered and then have investigations on them to find their requested requirements and </w:t>
      </w:r>
      <w:r>
        <w:t xml:space="preserve">receive </w:t>
      </w:r>
      <w:r w:rsidRPr="00924121">
        <w:rPr>
          <w:szCs w:val="20"/>
        </w:rPr>
        <w:t xml:space="preserve">suggested </w:t>
      </w:r>
      <w:r>
        <w:t xml:space="preserve">policies or </w:t>
      </w:r>
      <w:r w:rsidRPr="00924121">
        <w:rPr>
          <w:szCs w:val="20"/>
        </w:rPr>
        <w:t>techniques</w:t>
      </w:r>
      <w:r>
        <w:t xml:space="preserve"> to be added</w:t>
      </w:r>
      <w:r w:rsidRPr="00924121">
        <w:rPr>
          <w:szCs w:val="20"/>
        </w:rPr>
        <w:t xml:space="preserve"> in procedures. In this way, both organizations can assure that they have found all relevant regulations and standards, and they know about them in all aspects. This will prevent any possible mistake</w:t>
      </w:r>
      <w:r>
        <w:t xml:space="preserve"> which can lead to serious </w:t>
      </w:r>
      <w:r w:rsidRPr="00924121">
        <w:rPr>
          <w:szCs w:val="20"/>
        </w:rPr>
        <w:lastRenderedPageBreak/>
        <w:t>legal consequences</w:t>
      </w:r>
      <w:r>
        <w:t xml:space="preserve"> or financial loses. </w:t>
      </w:r>
      <w:r w:rsidRPr="00924121">
        <w:rPr>
          <w:szCs w:val="20"/>
        </w:rPr>
        <w:t>When checking the scenarios presented, only Angelonia Fashion has got international operations, and second organization doesn’t have any operation in overseas</w:t>
      </w:r>
      <w:r>
        <w:t xml:space="preserve"> directly</w:t>
      </w:r>
      <w:r w:rsidRPr="00924121">
        <w:rPr>
          <w:szCs w:val="20"/>
        </w:rPr>
        <w:t xml:space="preserve">. The Angelonia Fashion need also review their presence and find out in each region what possible conventions, regulations and standards they are facing with. </w:t>
      </w:r>
      <w:r>
        <w:t xml:space="preserve">They have not specifically mentioned which countries they are operating in. For example, Budapest convention is the one they need to have compliance if they are operating in Europe. </w:t>
      </w:r>
      <w:r w:rsidRPr="00924121">
        <w:rPr>
          <w:szCs w:val="20"/>
        </w:rPr>
        <w:t xml:space="preserve">They need to review their policies by found regulations and enhance their practices further. Their business will certainly require adopting in each region as all laws are not always suitable for another region. For example, their website may subject to the change based on the location it is being used in. After this we have got upcoming reforms in the Privacy, consumer and </w:t>
      </w:r>
      <w:r w:rsidRPr="00216E42">
        <w:t>surveillance legislation</w:t>
      </w:r>
      <w:r>
        <w:t>. These reforms will have impact on the operation of both organizations. They will certainly need to make changes to the current practices, and this will costly and complex for them as I mentioned before (maybe it is not always about money, but it can be also about time), but they will benefit from a more efficient and safer operation. As mentioned before, safeguarding the personal information with new updates in these three legislative instruments will enhance their reputation as they are respecting customers and staffs with valuing importance of protecting their data.</w:t>
      </w:r>
    </w:p>
    <w:bookmarkEnd w:id="13"/>
    <w:p w14:paraId="25E20EF0" w14:textId="727DD211" w:rsidR="00BA4FD9" w:rsidRDefault="00BA4FD9" w:rsidP="00047EC9">
      <w:pPr>
        <w:rPr>
          <w:rStyle w:val="eop"/>
          <w:rFonts w:cs="Arial"/>
          <w:color w:val="1F4E79" w:themeColor="accent1" w:themeShade="80"/>
        </w:rPr>
      </w:pPr>
      <w:r>
        <w:rPr>
          <w:rStyle w:val="eop"/>
          <w:rFonts w:cs="Arial"/>
          <w:color w:val="1F4E79" w:themeColor="accent1" w:themeShade="80"/>
        </w:rPr>
        <w:br w:type="page"/>
      </w:r>
    </w:p>
    <w:p w14:paraId="6C63C408" w14:textId="77777777" w:rsidR="00047EC9" w:rsidRPr="000575DE" w:rsidRDefault="00047EC9" w:rsidP="00F74393">
      <w:pPr>
        <w:pStyle w:val="Heading1"/>
        <w:ind w:left="567" w:hanging="567"/>
        <w:rPr>
          <w:rStyle w:val="eop"/>
          <w:rFonts w:cs="Arial"/>
          <w:color w:val="1F4E79" w:themeColor="accent1" w:themeShade="80"/>
        </w:rPr>
      </w:pPr>
      <w:bookmarkStart w:id="14" w:name="_Toc124768030"/>
      <w:r>
        <w:rPr>
          <w:rStyle w:val="eop"/>
          <w:rFonts w:cs="Arial"/>
          <w:szCs w:val="22"/>
        </w:rPr>
        <w:lastRenderedPageBreak/>
        <w:t>5</w:t>
      </w:r>
      <w:r>
        <w:rPr>
          <w:rStyle w:val="eop"/>
          <w:rFonts w:cs="Arial"/>
          <w:szCs w:val="22"/>
        </w:rPr>
        <w:tab/>
      </w:r>
      <w:r w:rsidR="008B70B4">
        <w:rPr>
          <w:rStyle w:val="eop"/>
          <w:rFonts w:cs="Arial"/>
          <w:szCs w:val="22"/>
        </w:rPr>
        <w:t>Privacy Policies and Best Practices Review</w:t>
      </w:r>
      <w:bookmarkEnd w:id="14"/>
    </w:p>
    <w:p w14:paraId="089AF182" w14:textId="77777777" w:rsidR="00047EC9" w:rsidRDefault="00047EC9" w:rsidP="00BA4FD9">
      <w:pPr>
        <w:rPr>
          <w:rStyle w:val="eop"/>
          <w:rFonts w:cs="Arial"/>
          <w:color w:val="1F4E79" w:themeColor="accent1" w:themeShade="80"/>
        </w:rPr>
      </w:pPr>
      <w:r>
        <w:rPr>
          <w:rStyle w:val="eop"/>
          <w:rFonts w:cs="Arial"/>
          <w:color w:val="1F4E79" w:themeColor="accent1" w:themeShade="80"/>
        </w:rPr>
        <w:t>Introductory paragraph.</w:t>
      </w:r>
    </w:p>
    <w:p w14:paraId="331544FC" w14:textId="38181598" w:rsidR="00CB7391" w:rsidRDefault="00CB7391" w:rsidP="00BA4FD9">
      <w:pPr>
        <w:rPr>
          <w:rStyle w:val="eop"/>
          <w:rFonts w:cs="Arial"/>
          <w:color w:val="1F4E79" w:themeColor="accent1" w:themeShade="80"/>
        </w:rPr>
      </w:pPr>
      <w:r w:rsidRPr="00207AC2">
        <w:rPr>
          <w:rStyle w:val="eop"/>
          <w:rFonts w:cs="Arial"/>
          <w:color w:val="1F4E79" w:themeColor="accent1" w:themeShade="80"/>
        </w:rPr>
        <w:t>Examine the privacy documentation provided. Review policy compliance across the organisation against current standards.</w:t>
      </w:r>
    </w:p>
    <w:p w14:paraId="0F012D3B" w14:textId="77777777" w:rsidR="00BA4FD9" w:rsidRPr="00207AC2" w:rsidRDefault="00BA4FD9" w:rsidP="00BA4FD9">
      <w:pPr>
        <w:rPr>
          <w:rStyle w:val="eop"/>
          <w:rFonts w:cs="Arial"/>
          <w:color w:val="1F4E79" w:themeColor="accent1" w:themeShade="80"/>
        </w:rPr>
      </w:pPr>
    </w:p>
    <w:tbl>
      <w:tblPr>
        <w:tblStyle w:val="TableGrid"/>
        <w:tblW w:w="10204" w:type="dxa"/>
        <w:tblInd w:w="-3" w:type="dxa"/>
        <w:tblLayout w:type="fixed"/>
        <w:tblLook w:val="04A0" w:firstRow="1" w:lastRow="0" w:firstColumn="1" w:lastColumn="0" w:noHBand="0" w:noVBand="1"/>
      </w:tblPr>
      <w:tblGrid>
        <w:gridCol w:w="1134"/>
        <w:gridCol w:w="2127"/>
        <w:gridCol w:w="4250"/>
        <w:gridCol w:w="709"/>
        <w:gridCol w:w="567"/>
        <w:gridCol w:w="567"/>
        <w:gridCol w:w="850"/>
      </w:tblGrid>
      <w:tr w:rsidR="00615D42" w:rsidRPr="00BA4FD9" w14:paraId="41CB4630" w14:textId="77777777" w:rsidTr="00BB1FA3">
        <w:trPr>
          <w:trHeight w:val="371"/>
        </w:trPr>
        <w:tc>
          <w:tcPr>
            <w:tcW w:w="10204" w:type="dxa"/>
            <w:gridSpan w:val="7"/>
            <w:shd w:val="clear" w:color="auto" w:fill="D9D9D9" w:themeFill="background1" w:themeFillShade="D9"/>
            <w:vAlign w:val="center"/>
          </w:tcPr>
          <w:p w14:paraId="5324B1F1" w14:textId="77777777" w:rsidR="00615D42" w:rsidRPr="00BA4FD9" w:rsidRDefault="00615D42" w:rsidP="00BB1FA3">
            <w:pPr>
              <w:pStyle w:val="TableText"/>
              <w:jc w:val="center"/>
              <w:rPr>
                <w:rStyle w:val="eop"/>
                <w:b/>
                <w:bCs/>
              </w:rPr>
            </w:pPr>
            <w:r>
              <w:rPr>
                <w:rStyle w:val="eop"/>
                <w:b/>
                <w:bCs/>
              </w:rPr>
              <w:t>Organization 2</w:t>
            </w:r>
          </w:p>
        </w:tc>
      </w:tr>
      <w:tr w:rsidR="00615D42" w:rsidRPr="00BA4FD9" w14:paraId="3651FB57" w14:textId="77777777" w:rsidTr="00BB1FA3">
        <w:trPr>
          <w:trHeight w:val="371"/>
        </w:trPr>
        <w:tc>
          <w:tcPr>
            <w:tcW w:w="1134" w:type="dxa"/>
            <w:vMerge w:val="restart"/>
            <w:shd w:val="clear" w:color="auto" w:fill="D9D9D9" w:themeFill="background1" w:themeFillShade="D9"/>
            <w:vAlign w:val="center"/>
          </w:tcPr>
          <w:p w14:paraId="2E507EE6" w14:textId="77777777" w:rsidR="00615D42" w:rsidRPr="00BA4FD9" w:rsidRDefault="00615D42" w:rsidP="00BB1FA3">
            <w:pPr>
              <w:pStyle w:val="TableText"/>
              <w:jc w:val="center"/>
              <w:rPr>
                <w:rStyle w:val="eop"/>
                <w:b/>
                <w:bCs/>
              </w:rPr>
            </w:pPr>
            <w:r w:rsidRPr="00BA4FD9">
              <w:rPr>
                <w:rStyle w:val="eop"/>
                <w:b/>
                <w:bCs/>
              </w:rPr>
              <w:t>POLICY</w:t>
            </w:r>
          </w:p>
        </w:tc>
        <w:tc>
          <w:tcPr>
            <w:tcW w:w="2127" w:type="dxa"/>
            <w:vMerge w:val="restart"/>
            <w:shd w:val="clear" w:color="auto" w:fill="D9D9D9" w:themeFill="background1" w:themeFillShade="D9"/>
            <w:vAlign w:val="center"/>
          </w:tcPr>
          <w:p w14:paraId="612100C3" w14:textId="77777777" w:rsidR="00615D42" w:rsidRPr="00BA4FD9" w:rsidRDefault="00615D42" w:rsidP="00BB1FA3">
            <w:pPr>
              <w:pStyle w:val="TableText"/>
              <w:jc w:val="center"/>
              <w:rPr>
                <w:rStyle w:val="eop"/>
                <w:b/>
                <w:bCs/>
              </w:rPr>
            </w:pPr>
            <w:r w:rsidRPr="00BA4FD9">
              <w:rPr>
                <w:rStyle w:val="eop"/>
                <w:b/>
                <w:bCs/>
              </w:rPr>
              <w:t>STANDARDS APPs</w:t>
            </w:r>
          </w:p>
        </w:tc>
        <w:tc>
          <w:tcPr>
            <w:tcW w:w="4250" w:type="dxa"/>
            <w:vMerge w:val="restart"/>
            <w:shd w:val="clear" w:color="auto" w:fill="D9D9D9" w:themeFill="background1" w:themeFillShade="D9"/>
            <w:vAlign w:val="center"/>
          </w:tcPr>
          <w:p w14:paraId="4A27366B" w14:textId="77777777" w:rsidR="00615D42" w:rsidRPr="00BA4FD9" w:rsidRDefault="00615D42" w:rsidP="00BB1FA3">
            <w:pPr>
              <w:pStyle w:val="TableText"/>
              <w:jc w:val="center"/>
              <w:rPr>
                <w:rStyle w:val="eop"/>
                <w:b/>
                <w:bCs/>
              </w:rPr>
            </w:pPr>
            <w:r w:rsidRPr="00BA4FD9">
              <w:rPr>
                <w:rStyle w:val="eop"/>
                <w:b/>
                <w:bCs/>
              </w:rPr>
              <w:t>REVIEW DETAILS</w:t>
            </w:r>
          </w:p>
        </w:tc>
        <w:tc>
          <w:tcPr>
            <w:tcW w:w="2693" w:type="dxa"/>
            <w:gridSpan w:val="4"/>
            <w:shd w:val="clear" w:color="auto" w:fill="D9D9D9" w:themeFill="background1" w:themeFillShade="D9"/>
            <w:vAlign w:val="center"/>
          </w:tcPr>
          <w:p w14:paraId="5D5F9131" w14:textId="77777777" w:rsidR="00615D42" w:rsidRPr="00BA4FD9" w:rsidRDefault="00615D42" w:rsidP="00BB1FA3">
            <w:pPr>
              <w:pStyle w:val="TableText"/>
              <w:jc w:val="center"/>
              <w:rPr>
                <w:rStyle w:val="eop"/>
                <w:b/>
                <w:bCs/>
              </w:rPr>
            </w:pPr>
            <w:r w:rsidRPr="00BA4FD9">
              <w:rPr>
                <w:rStyle w:val="eop"/>
                <w:b/>
                <w:bCs/>
              </w:rPr>
              <w:t>COMPLIANCE</w:t>
            </w:r>
          </w:p>
        </w:tc>
      </w:tr>
      <w:tr w:rsidR="00615D42" w:rsidRPr="00BA4FD9" w14:paraId="57908C9E" w14:textId="77777777" w:rsidTr="00BB1FA3">
        <w:trPr>
          <w:cantSplit/>
          <w:trHeight w:val="1374"/>
        </w:trPr>
        <w:tc>
          <w:tcPr>
            <w:tcW w:w="1134" w:type="dxa"/>
            <w:vMerge/>
            <w:shd w:val="clear" w:color="auto" w:fill="D9D9D9" w:themeFill="background1" w:themeFillShade="D9"/>
            <w:vAlign w:val="center"/>
          </w:tcPr>
          <w:p w14:paraId="0223F9B9" w14:textId="77777777" w:rsidR="00615D42" w:rsidRPr="00BA4FD9" w:rsidRDefault="00615D42" w:rsidP="00BB1FA3">
            <w:pPr>
              <w:pStyle w:val="TableText"/>
              <w:rPr>
                <w:rStyle w:val="eop"/>
              </w:rPr>
            </w:pPr>
          </w:p>
        </w:tc>
        <w:tc>
          <w:tcPr>
            <w:tcW w:w="2127" w:type="dxa"/>
            <w:vMerge/>
            <w:shd w:val="clear" w:color="auto" w:fill="D9D9D9" w:themeFill="background1" w:themeFillShade="D9"/>
            <w:vAlign w:val="center"/>
          </w:tcPr>
          <w:p w14:paraId="392FDBC4" w14:textId="77777777" w:rsidR="00615D42" w:rsidRPr="00BA4FD9" w:rsidRDefault="00615D42" w:rsidP="00BB1FA3">
            <w:pPr>
              <w:pStyle w:val="TableText"/>
              <w:rPr>
                <w:rStyle w:val="eop"/>
              </w:rPr>
            </w:pPr>
          </w:p>
        </w:tc>
        <w:tc>
          <w:tcPr>
            <w:tcW w:w="4250" w:type="dxa"/>
            <w:vMerge/>
            <w:shd w:val="clear" w:color="auto" w:fill="D9D9D9" w:themeFill="background1" w:themeFillShade="D9"/>
            <w:textDirection w:val="btLr"/>
          </w:tcPr>
          <w:p w14:paraId="7C0EB276" w14:textId="77777777" w:rsidR="00615D42" w:rsidRPr="00BA4FD9" w:rsidRDefault="00615D42" w:rsidP="00BB1FA3">
            <w:pPr>
              <w:pStyle w:val="TableText"/>
              <w:rPr>
                <w:rStyle w:val="eop"/>
              </w:rPr>
            </w:pPr>
          </w:p>
        </w:tc>
        <w:tc>
          <w:tcPr>
            <w:tcW w:w="709" w:type="dxa"/>
            <w:shd w:val="clear" w:color="auto" w:fill="F2F2F2" w:themeFill="background1" w:themeFillShade="F2"/>
            <w:textDirection w:val="btLr"/>
            <w:vAlign w:val="center"/>
          </w:tcPr>
          <w:p w14:paraId="5AE15BEA" w14:textId="77777777" w:rsidR="00615D42" w:rsidRPr="00BA4FD9" w:rsidRDefault="00615D42" w:rsidP="00BB1FA3">
            <w:pPr>
              <w:pStyle w:val="TableText"/>
              <w:rPr>
                <w:rStyle w:val="eop"/>
                <w:b/>
                <w:bCs/>
                <w:sz w:val="20"/>
              </w:rPr>
            </w:pPr>
            <w:r>
              <w:rPr>
                <w:rStyle w:val="eop"/>
                <w:b/>
                <w:bCs/>
                <w:sz w:val="20"/>
              </w:rPr>
              <w:t xml:space="preserve"> </w:t>
            </w:r>
            <w:r w:rsidRPr="00BA4FD9">
              <w:rPr>
                <w:rStyle w:val="eop"/>
                <w:b/>
                <w:bCs/>
                <w:sz w:val="20"/>
              </w:rPr>
              <w:t>Full</w:t>
            </w:r>
          </w:p>
        </w:tc>
        <w:tc>
          <w:tcPr>
            <w:tcW w:w="567" w:type="dxa"/>
            <w:shd w:val="clear" w:color="auto" w:fill="F2F2F2" w:themeFill="background1" w:themeFillShade="F2"/>
            <w:textDirection w:val="btLr"/>
            <w:vAlign w:val="center"/>
          </w:tcPr>
          <w:p w14:paraId="12901460" w14:textId="77777777" w:rsidR="00615D42" w:rsidRPr="00BA4FD9" w:rsidRDefault="00615D42" w:rsidP="00BB1FA3">
            <w:pPr>
              <w:pStyle w:val="TableText"/>
              <w:rPr>
                <w:rStyle w:val="eop"/>
                <w:b/>
                <w:bCs/>
                <w:sz w:val="20"/>
              </w:rPr>
            </w:pPr>
            <w:r>
              <w:rPr>
                <w:rStyle w:val="eop"/>
                <w:b/>
                <w:bCs/>
                <w:sz w:val="20"/>
              </w:rPr>
              <w:t xml:space="preserve"> </w:t>
            </w:r>
            <w:r w:rsidRPr="00BA4FD9">
              <w:rPr>
                <w:rStyle w:val="eop"/>
                <w:b/>
                <w:bCs/>
                <w:sz w:val="20"/>
              </w:rPr>
              <w:t>Partial</w:t>
            </w:r>
          </w:p>
        </w:tc>
        <w:tc>
          <w:tcPr>
            <w:tcW w:w="567" w:type="dxa"/>
            <w:shd w:val="clear" w:color="auto" w:fill="F2F2F2" w:themeFill="background1" w:themeFillShade="F2"/>
            <w:textDirection w:val="btLr"/>
            <w:vAlign w:val="center"/>
          </w:tcPr>
          <w:p w14:paraId="3C6A5DB9" w14:textId="77777777" w:rsidR="00615D42" w:rsidRPr="00BA4FD9" w:rsidRDefault="00615D42" w:rsidP="00BB1FA3">
            <w:pPr>
              <w:pStyle w:val="TableText"/>
              <w:rPr>
                <w:rStyle w:val="eop"/>
                <w:b/>
                <w:bCs/>
                <w:sz w:val="20"/>
              </w:rPr>
            </w:pPr>
            <w:r>
              <w:rPr>
                <w:rStyle w:val="eop"/>
                <w:b/>
                <w:bCs/>
                <w:sz w:val="20"/>
              </w:rPr>
              <w:t xml:space="preserve"> </w:t>
            </w:r>
            <w:r w:rsidRPr="00BA4FD9">
              <w:rPr>
                <w:rStyle w:val="eop"/>
                <w:b/>
                <w:bCs/>
                <w:sz w:val="20"/>
              </w:rPr>
              <w:t>Poor</w:t>
            </w:r>
          </w:p>
        </w:tc>
        <w:tc>
          <w:tcPr>
            <w:tcW w:w="850" w:type="dxa"/>
            <w:shd w:val="clear" w:color="auto" w:fill="F2F2F2" w:themeFill="background1" w:themeFillShade="F2"/>
            <w:textDirection w:val="btLr"/>
            <w:vAlign w:val="center"/>
          </w:tcPr>
          <w:p w14:paraId="579A5A8C" w14:textId="77777777" w:rsidR="00615D42" w:rsidRPr="00BA4FD9" w:rsidRDefault="00615D42" w:rsidP="00BB1FA3">
            <w:pPr>
              <w:pStyle w:val="TableText"/>
              <w:rPr>
                <w:rStyle w:val="eop"/>
                <w:b/>
                <w:bCs/>
                <w:sz w:val="20"/>
              </w:rPr>
            </w:pPr>
            <w:r>
              <w:rPr>
                <w:rStyle w:val="eop"/>
                <w:b/>
                <w:bCs/>
                <w:sz w:val="20"/>
              </w:rPr>
              <w:t xml:space="preserve"> </w:t>
            </w:r>
            <w:r w:rsidRPr="00BA4FD9">
              <w:rPr>
                <w:rStyle w:val="eop"/>
                <w:b/>
                <w:bCs/>
                <w:sz w:val="20"/>
              </w:rPr>
              <w:t>Non-</w:t>
            </w:r>
            <w:r>
              <w:rPr>
                <w:rStyle w:val="eop"/>
                <w:b/>
                <w:bCs/>
                <w:sz w:val="20"/>
              </w:rPr>
              <w:br/>
              <w:t xml:space="preserve"> </w:t>
            </w:r>
            <w:r w:rsidRPr="00BA4FD9">
              <w:rPr>
                <w:rStyle w:val="eop"/>
                <w:b/>
                <w:bCs/>
                <w:sz w:val="20"/>
              </w:rPr>
              <w:t>Compliance</w:t>
            </w:r>
          </w:p>
        </w:tc>
      </w:tr>
      <w:tr w:rsidR="00615D42" w:rsidRPr="00BA4FD9" w14:paraId="777C6D06" w14:textId="77777777" w:rsidTr="00BB1FA3">
        <w:trPr>
          <w:trHeight w:val="200"/>
        </w:trPr>
        <w:tc>
          <w:tcPr>
            <w:tcW w:w="1134" w:type="dxa"/>
            <w:vMerge w:val="restart"/>
            <w:shd w:val="clear" w:color="auto" w:fill="F2F2F2" w:themeFill="background1" w:themeFillShade="F2"/>
            <w:vAlign w:val="center"/>
          </w:tcPr>
          <w:p w14:paraId="5F6F687B" w14:textId="77777777" w:rsidR="00615D42" w:rsidRPr="00BA4FD9" w:rsidRDefault="00615D42" w:rsidP="00BB1FA3">
            <w:pPr>
              <w:pStyle w:val="TableText"/>
              <w:rPr>
                <w:rStyle w:val="eop"/>
              </w:rPr>
            </w:pPr>
            <w:r w:rsidRPr="00BA4FD9">
              <w:rPr>
                <w:rStyle w:val="eop"/>
              </w:rPr>
              <w:t>Privacy Policy</w:t>
            </w:r>
          </w:p>
        </w:tc>
        <w:tc>
          <w:tcPr>
            <w:tcW w:w="2127" w:type="dxa"/>
          </w:tcPr>
          <w:p w14:paraId="500823C7" w14:textId="77777777" w:rsidR="00615D42" w:rsidRPr="00B65987" w:rsidRDefault="00615D42" w:rsidP="00BB1FA3">
            <w:pPr>
              <w:pStyle w:val="TableText"/>
              <w:rPr>
                <w:rStyle w:val="eop"/>
              </w:rPr>
            </w:pPr>
            <w:r w:rsidRPr="00B65987">
              <w:rPr>
                <w:rStyle w:val="eop"/>
              </w:rPr>
              <w:t>APP 1</w:t>
            </w:r>
          </w:p>
        </w:tc>
        <w:tc>
          <w:tcPr>
            <w:tcW w:w="4250" w:type="dxa"/>
          </w:tcPr>
          <w:p w14:paraId="6351751D" w14:textId="77777777" w:rsidR="00615D42" w:rsidRPr="00BA4FD9" w:rsidRDefault="00615D42" w:rsidP="00BB1FA3">
            <w:pPr>
              <w:pStyle w:val="TableText"/>
              <w:rPr>
                <w:rStyle w:val="eop"/>
              </w:rPr>
            </w:pPr>
            <w:r>
              <w:rPr>
                <w:rStyle w:val="eop"/>
              </w:rPr>
              <w:t>The first part (introduction) revealed that</w:t>
            </w:r>
            <w:r w:rsidRPr="00B65987">
              <w:rPr>
                <w:rStyle w:val="eop"/>
              </w:rPr>
              <w:t xml:space="preserve"> </w:t>
            </w:r>
            <w:r>
              <w:rPr>
                <w:rStyle w:val="eop"/>
              </w:rPr>
              <w:t>there is</w:t>
            </w:r>
            <w:r w:rsidRPr="00B65987">
              <w:rPr>
                <w:rStyle w:val="eop"/>
              </w:rPr>
              <w:t xml:space="preserve"> compliance with the Australian Privacy Act 1988.</w:t>
            </w:r>
          </w:p>
        </w:tc>
        <w:tc>
          <w:tcPr>
            <w:tcW w:w="709" w:type="dxa"/>
            <w:vAlign w:val="center"/>
          </w:tcPr>
          <w:p w14:paraId="4706C1FC"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671018417"/>
                <w14:checkbox>
                  <w14:checked w14:val="1"/>
                  <w14:checkedState w14:val="2612" w14:font="MS Gothic"/>
                  <w14:uncheckedState w14:val="2610" w14:font="MS Gothic"/>
                </w14:checkbox>
              </w:sdtPr>
              <w:sdtContent>
                <w:r w:rsidR="00615D42">
                  <w:rPr>
                    <w:rFonts w:ascii="MS Gothic" w:eastAsia="MS Gothic" w:hAnsi="MS Gothic" w:cstheme="minorHAnsi" w:hint="eastAsia"/>
                    <w:lang w:eastAsia="en-AU" w:bidi="ar-SA"/>
                  </w:rPr>
                  <w:t>☒</w:t>
                </w:r>
              </w:sdtContent>
            </w:sdt>
          </w:p>
        </w:tc>
        <w:tc>
          <w:tcPr>
            <w:tcW w:w="567" w:type="dxa"/>
            <w:vAlign w:val="center"/>
          </w:tcPr>
          <w:p w14:paraId="694CC253"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213007018"/>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c>
          <w:tcPr>
            <w:tcW w:w="567" w:type="dxa"/>
            <w:vAlign w:val="center"/>
          </w:tcPr>
          <w:p w14:paraId="40C7EBEE"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936796230"/>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c>
          <w:tcPr>
            <w:tcW w:w="850" w:type="dxa"/>
            <w:vAlign w:val="center"/>
          </w:tcPr>
          <w:p w14:paraId="50B2D404"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554920487"/>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r>
      <w:tr w:rsidR="00615D42" w:rsidRPr="00BA4FD9" w14:paraId="69BD42EC" w14:textId="77777777" w:rsidTr="00BB1FA3">
        <w:trPr>
          <w:trHeight w:val="192"/>
        </w:trPr>
        <w:tc>
          <w:tcPr>
            <w:tcW w:w="1134" w:type="dxa"/>
            <w:vMerge/>
            <w:shd w:val="clear" w:color="auto" w:fill="F2F2F2" w:themeFill="background1" w:themeFillShade="F2"/>
            <w:vAlign w:val="center"/>
          </w:tcPr>
          <w:p w14:paraId="7B6F7BA2" w14:textId="77777777" w:rsidR="00615D42" w:rsidRPr="00BA4FD9" w:rsidRDefault="00615D42" w:rsidP="00BB1FA3">
            <w:pPr>
              <w:pStyle w:val="TableText"/>
              <w:rPr>
                <w:rStyle w:val="eop"/>
              </w:rPr>
            </w:pPr>
          </w:p>
        </w:tc>
        <w:tc>
          <w:tcPr>
            <w:tcW w:w="2127" w:type="dxa"/>
          </w:tcPr>
          <w:p w14:paraId="7EE6EAD0" w14:textId="77777777" w:rsidR="00615D42" w:rsidRPr="00BA4FD9" w:rsidRDefault="00615D42" w:rsidP="00BB1FA3">
            <w:pPr>
              <w:pStyle w:val="TableText"/>
              <w:rPr>
                <w:rStyle w:val="eop"/>
              </w:rPr>
            </w:pPr>
            <w:r>
              <w:rPr>
                <w:rStyle w:val="eop"/>
              </w:rPr>
              <w:t>APP 5</w:t>
            </w:r>
          </w:p>
        </w:tc>
        <w:tc>
          <w:tcPr>
            <w:tcW w:w="4250" w:type="dxa"/>
          </w:tcPr>
          <w:p w14:paraId="7BCB1C3A" w14:textId="77777777" w:rsidR="00615D42" w:rsidRPr="00BA4FD9" w:rsidRDefault="00615D42" w:rsidP="00BB1FA3">
            <w:pPr>
              <w:pStyle w:val="TableText"/>
              <w:rPr>
                <w:rStyle w:val="eop"/>
              </w:rPr>
            </w:pPr>
            <w:r>
              <w:rPr>
                <w:rStyle w:val="eop"/>
              </w:rPr>
              <w:t>They have</w:t>
            </w:r>
            <w:r w:rsidRPr="00B65987">
              <w:rPr>
                <w:rStyle w:val="eop"/>
              </w:rPr>
              <w:t xml:space="preserve"> list</w:t>
            </w:r>
            <w:r>
              <w:rPr>
                <w:rStyle w:val="eop"/>
              </w:rPr>
              <w:t xml:space="preserve">ed </w:t>
            </w:r>
            <w:r w:rsidRPr="00B65987">
              <w:rPr>
                <w:rStyle w:val="eop"/>
              </w:rPr>
              <w:t>the types of personal information collected, which is important for transparency,</w:t>
            </w:r>
            <w:r>
              <w:rPr>
                <w:rStyle w:val="eop"/>
              </w:rPr>
              <w:t xml:space="preserve"> but t</w:t>
            </w:r>
            <w:r w:rsidRPr="004934E2">
              <w:rPr>
                <w:rStyle w:val="eop"/>
              </w:rPr>
              <w:t xml:space="preserve">he policy </w:t>
            </w:r>
            <w:r>
              <w:rPr>
                <w:rStyle w:val="eop"/>
              </w:rPr>
              <w:t>is missing</w:t>
            </w:r>
            <w:r w:rsidRPr="004934E2">
              <w:rPr>
                <w:rStyle w:val="eop"/>
              </w:rPr>
              <w:t xml:space="preserve"> details on how individuals are informed about the collection of their information, especially if collected indirectly</w:t>
            </w:r>
            <w:r>
              <w:rPr>
                <w:rStyle w:val="eop"/>
              </w:rPr>
              <w:t>.</w:t>
            </w:r>
          </w:p>
        </w:tc>
        <w:tc>
          <w:tcPr>
            <w:tcW w:w="709" w:type="dxa"/>
            <w:vAlign w:val="center"/>
          </w:tcPr>
          <w:p w14:paraId="3A06E836"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728141035"/>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c>
          <w:tcPr>
            <w:tcW w:w="567" w:type="dxa"/>
            <w:vAlign w:val="center"/>
          </w:tcPr>
          <w:p w14:paraId="3607454C"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50600111"/>
                <w14:checkbox>
                  <w14:checked w14:val="1"/>
                  <w14:checkedState w14:val="2612" w14:font="MS Gothic"/>
                  <w14:uncheckedState w14:val="2610" w14:font="MS Gothic"/>
                </w14:checkbox>
              </w:sdtPr>
              <w:sdtContent>
                <w:r w:rsidR="00615D42">
                  <w:rPr>
                    <w:rFonts w:ascii="MS Gothic" w:eastAsia="MS Gothic" w:hAnsi="MS Gothic" w:cstheme="minorHAnsi" w:hint="eastAsia"/>
                    <w:lang w:eastAsia="en-AU" w:bidi="ar-SA"/>
                  </w:rPr>
                  <w:t>☒</w:t>
                </w:r>
              </w:sdtContent>
            </w:sdt>
          </w:p>
        </w:tc>
        <w:tc>
          <w:tcPr>
            <w:tcW w:w="567" w:type="dxa"/>
            <w:vAlign w:val="center"/>
          </w:tcPr>
          <w:p w14:paraId="4FFA3ABE"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699000145"/>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c>
          <w:tcPr>
            <w:tcW w:w="850" w:type="dxa"/>
            <w:vAlign w:val="center"/>
          </w:tcPr>
          <w:p w14:paraId="4DAC6576"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719270696"/>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r>
      <w:tr w:rsidR="00615D42" w:rsidRPr="00BA4FD9" w14:paraId="464C3064" w14:textId="77777777" w:rsidTr="00BB1FA3">
        <w:trPr>
          <w:trHeight w:val="192"/>
        </w:trPr>
        <w:tc>
          <w:tcPr>
            <w:tcW w:w="1134" w:type="dxa"/>
            <w:vMerge/>
            <w:shd w:val="clear" w:color="auto" w:fill="F2F2F2" w:themeFill="background1" w:themeFillShade="F2"/>
            <w:vAlign w:val="center"/>
          </w:tcPr>
          <w:p w14:paraId="1CBD3685" w14:textId="77777777" w:rsidR="00615D42" w:rsidRPr="00BA4FD9" w:rsidRDefault="00615D42" w:rsidP="00BB1FA3">
            <w:pPr>
              <w:pStyle w:val="TableText"/>
              <w:rPr>
                <w:rStyle w:val="eop"/>
              </w:rPr>
            </w:pPr>
          </w:p>
        </w:tc>
        <w:tc>
          <w:tcPr>
            <w:tcW w:w="2127" w:type="dxa"/>
          </w:tcPr>
          <w:p w14:paraId="21E15D8A" w14:textId="77777777" w:rsidR="00615D42" w:rsidRPr="00BA4FD9" w:rsidRDefault="00615D42" w:rsidP="00BB1FA3">
            <w:pPr>
              <w:pStyle w:val="TableText"/>
              <w:rPr>
                <w:rStyle w:val="eop"/>
              </w:rPr>
            </w:pPr>
            <w:r>
              <w:rPr>
                <w:rStyle w:val="eop"/>
              </w:rPr>
              <w:t>APP 6</w:t>
            </w:r>
          </w:p>
        </w:tc>
        <w:tc>
          <w:tcPr>
            <w:tcW w:w="4250" w:type="dxa"/>
          </w:tcPr>
          <w:p w14:paraId="5DCE4D13" w14:textId="77777777" w:rsidR="00615D42" w:rsidRPr="00BA4FD9" w:rsidRDefault="00615D42" w:rsidP="00BB1FA3">
            <w:pPr>
              <w:pStyle w:val="TableText"/>
              <w:rPr>
                <w:rStyle w:val="eop"/>
              </w:rPr>
            </w:pPr>
            <w:r w:rsidRPr="002F3D25">
              <w:rPr>
                <w:rStyle w:val="eop"/>
              </w:rPr>
              <w:t>The</w:t>
            </w:r>
            <w:r>
              <w:rPr>
                <w:rStyle w:val="eop"/>
              </w:rPr>
              <w:t>y have</w:t>
            </w:r>
            <w:r w:rsidRPr="002F3D25">
              <w:rPr>
                <w:rStyle w:val="eop"/>
              </w:rPr>
              <w:t xml:space="preserve"> descr</w:t>
            </w:r>
            <w:r>
              <w:rPr>
                <w:rStyle w:val="eop"/>
              </w:rPr>
              <w:t>ibed the process</w:t>
            </w:r>
            <w:r w:rsidRPr="002F3D25">
              <w:rPr>
                <w:rStyle w:val="eop"/>
              </w:rPr>
              <w:t xml:space="preserve"> of how data is collected </w:t>
            </w:r>
            <w:r>
              <w:rPr>
                <w:rStyle w:val="eop"/>
              </w:rPr>
              <w:t>on</w:t>
            </w:r>
            <w:r w:rsidRPr="002F3D25">
              <w:rPr>
                <w:rStyle w:val="eop"/>
              </w:rPr>
              <w:t xml:space="preserve"> online transactions </w:t>
            </w:r>
            <w:r>
              <w:rPr>
                <w:rStyle w:val="eop"/>
              </w:rPr>
              <w:t xml:space="preserve">but </w:t>
            </w:r>
            <w:r w:rsidRPr="002F3D25">
              <w:rPr>
                <w:rStyle w:val="eop"/>
              </w:rPr>
              <w:t>the policy states that consent is obtained for third-party data sharing, it could clarify the specific situations that require this disclosure.</w:t>
            </w:r>
          </w:p>
        </w:tc>
        <w:tc>
          <w:tcPr>
            <w:tcW w:w="709" w:type="dxa"/>
            <w:vAlign w:val="center"/>
          </w:tcPr>
          <w:p w14:paraId="4E6FB8DA"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631745976"/>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c>
          <w:tcPr>
            <w:tcW w:w="567" w:type="dxa"/>
            <w:vAlign w:val="center"/>
          </w:tcPr>
          <w:p w14:paraId="2F137311"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610400096"/>
                <w14:checkbox>
                  <w14:checked w14:val="1"/>
                  <w14:checkedState w14:val="2612" w14:font="MS Gothic"/>
                  <w14:uncheckedState w14:val="2610" w14:font="MS Gothic"/>
                </w14:checkbox>
              </w:sdtPr>
              <w:sdtContent>
                <w:r w:rsidR="00615D42">
                  <w:rPr>
                    <w:rFonts w:ascii="MS Gothic" w:eastAsia="MS Gothic" w:hAnsi="MS Gothic" w:cstheme="minorHAnsi" w:hint="eastAsia"/>
                    <w:lang w:eastAsia="en-AU" w:bidi="ar-SA"/>
                  </w:rPr>
                  <w:t>☒</w:t>
                </w:r>
              </w:sdtContent>
            </w:sdt>
          </w:p>
        </w:tc>
        <w:tc>
          <w:tcPr>
            <w:tcW w:w="567" w:type="dxa"/>
            <w:vAlign w:val="center"/>
          </w:tcPr>
          <w:p w14:paraId="18320DEC"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2078170742"/>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c>
          <w:tcPr>
            <w:tcW w:w="850" w:type="dxa"/>
            <w:vAlign w:val="center"/>
          </w:tcPr>
          <w:p w14:paraId="534CD9CB"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499781612"/>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r>
      <w:tr w:rsidR="00615D42" w:rsidRPr="00BA4FD9" w14:paraId="741543ED" w14:textId="77777777" w:rsidTr="00BB1FA3">
        <w:trPr>
          <w:trHeight w:val="192"/>
        </w:trPr>
        <w:tc>
          <w:tcPr>
            <w:tcW w:w="1134" w:type="dxa"/>
            <w:vMerge/>
            <w:shd w:val="clear" w:color="auto" w:fill="F2F2F2" w:themeFill="background1" w:themeFillShade="F2"/>
            <w:vAlign w:val="center"/>
          </w:tcPr>
          <w:p w14:paraId="73E93887" w14:textId="77777777" w:rsidR="00615D42" w:rsidRPr="00BA4FD9" w:rsidRDefault="00615D42" w:rsidP="00BB1FA3">
            <w:pPr>
              <w:pStyle w:val="TableText"/>
              <w:rPr>
                <w:rStyle w:val="eop"/>
              </w:rPr>
            </w:pPr>
          </w:p>
        </w:tc>
        <w:tc>
          <w:tcPr>
            <w:tcW w:w="2127" w:type="dxa"/>
          </w:tcPr>
          <w:p w14:paraId="552A88D4" w14:textId="77777777" w:rsidR="00615D42" w:rsidRPr="00BA4FD9" w:rsidRDefault="00615D42" w:rsidP="00BB1FA3">
            <w:pPr>
              <w:pStyle w:val="TableText"/>
              <w:rPr>
                <w:rStyle w:val="eop"/>
              </w:rPr>
            </w:pPr>
            <w:r>
              <w:rPr>
                <w:rStyle w:val="eop"/>
              </w:rPr>
              <w:t>APP 7</w:t>
            </w:r>
          </w:p>
        </w:tc>
        <w:tc>
          <w:tcPr>
            <w:tcW w:w="4250" w:type="dxa"/>
          </w:tcPr>
          <w:p w14:paraId="5BD01B89" w14:textId="77777777" w:rsidR="00615D42" w:rsidRPr="00BA4FD9" w:rsidRDefault="00615D42" w:rsidP="00BB1FA3">
            <w:pPr>
              <w:pStyle w:val="TableText"/>
              <w:rPr>
                <w:rStyle w:val="eop"/>
              </w:rPr>
            </w:pPr>
            <w:r>
              <w:rPr>
                <w:rStyle w:val="eop"/>
              </w:rPr>
              <w:t>They have mentioned their</w:t>
            </w:r>
            <w:r w:rsidRPr="002F3D25">
              <w:rPr>
                <w:rStyle w:val="eop"/>
              </w:rPr>
              <w:t xml:space="preserve"> purposes for data collection, which aligns with APP 6</w:t>
            </w:r>
            <w:r>
              <w:rPr>
                <w:rStyle w:val="eop"/>
              </w:rPr>
              <w:t xml:space="preserve">. The </w:t>
            </w:r>
            <w:r w:rsidRPr="009F6A68">
              <w:rPr>
                <w:rStyle w:val="eop"/>
              </w:rPr>
              <w:t xml:space="preserve">policy </w:t>
            </w:r>
            <w:r>
              <w:rPr>
                <w:rStyle w:val="eop"/>
              </w:rPr>
              <w:t>said they are</w:t>
            </w:r>
            <w:r w:rsidRPr="009F6A68">
              <w:rPr>
                <w:rStyle w:val="eop"/>
              </w:rPr>
              <w:t xml:space="preserve"> using data for marketing but does not specify how individuals can </w:t>
            </w:r>
            <w:r>
              <w:rPr>
                <w:rStyle w:val="eop"/>
              </w:rPr>
              <w:t>stop their data usage in this process.</w:t>
            </w:r>
            <w:r w:rsidRPr="009F6A68">
              <w:rPr>
                <w:rStyle w:val="eop"/>
              </w:rPr>
              <w:t xml:space="preserve"> </w:t>
            </w:r>
          </w:p>
        </w:tc>
        <w:tc>
          <w:tcPr>
            <w:tcW w:w="709" w:type="dxa"/>
            <w:vAlign w:val="center"/>
          </w:tcPr>
          <w:p w14:paraId="59BD2D89"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510955381"/>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c>
          <w:tcPr>
            <w:tcW w:w="567" w:type="dxa"/>
            <w:vAlign w:val="center"/>
          </w:tcPr>
          <w:p w14:paraId="4988C7A5"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457106647"/>
                <w14:checkbox>
                  <w14:checked w14:val="1"/>
                  <w14:checkedState w14:val="2612" w14:font="MS Gothic"/>
                  <w14:uncheckedState w14:val="2610" w14:font="MS Gothic"/>
                </w14:checkbox>
              </w:sdtPr>
              <w:sdtContent>
                <w:r w:rsidR="00615D42">
                  <w:rPr>
                    <w:rFonts w:ascii="MS Gothic" w:eastAsia="MS Gothic" w:hAnsi="MS Gothic" w:cstheme="minorHAnsi" w:hint="eastAsia"/>
                    <w:lang w:eastAsia="en-AU" w:bidi="ar-SA"/>
                  </w:rPr>
                  <w:t>☒</w:t>
                </w:r>
              </w:sdtContent>
            </w:sdt>
          </w:p>
        </w:tc>
        <w:tc>
          <w:tcPr>
            <w:tcW w:w="567" w:type="dxa"/>
            <w:vAlign w:val="center"/>
          </w:tcPr>
          <w:p w14:paraId="1F5FEDD8"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788854564"/>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c>
          <w:tcPr>
            <w:tcW w:w="850" w:type="dxa"/>
            <w:vAlign w:val="center"/>
          </w:tcPr>
          <w:p w14:paraId="3E343656"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951007238"/>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r>
      <w:tr w:rsidR="00615D42" w:rsidRPr="00BA4FD9" w14:paraId="7D95572F" w14:textId="77777777" w:rsidTr="00BB1FA3">
        <w:trPr>
          <w:trHeight w:val="192"/>
        </w:trPr>
        <w:tc>
          <w:tcPr>
            <w:tcW w:w="1134" w:type="dxa"/>
            <w:vMerge/>
            <w:shd w:val="clear" w:color="auto" w:fill="F2F2F2" w:themeFill="background1" w:themeFillShade="F2"/>
            <w:vAlign w:val="center"/>
          </w:tcPr>
          <w:p w14:paraId="6EDBCE43" w14:textId="77777777" w:rsidR="00615D42" w:rsidRPr="00BA4FD9" w:rsidRDefault="00615D42" w:rsidP="00BB1FA3">
            <w:pPr>
              <w:pStyle w:val="TableText"/>
              <w:rPr>
                <w:rStyle w:val="eop"/>
              </w:rPr>
            </w:pPr>
          </w:p>
        </w:tc>
        <w:tc>
          <w:tcPr>
            <w:tcW w:w="2127" w:type="dxa"/>
          </w:tcPr>
          <w:p w14:paraId="0184C13A" w14:textId="77777777" w:rsidR="00615D42" w:rsidRPr="00831DEC" w:rsidRDefault="00615D42" w:rsidP="00BB1FA3">
            <w:pPr>
              <w:pStyle w:val="TableText"/>
              <w:rPr>
                <w:rStyle w:val="eop"/>
                <w:sz w:val="20"/>
              </w:rPr>
            </w:pPr>
            <w:r w:rsidRPr="00831DEC">
              <w:rPr>
                <w:rStyle w:val="eop"/>
                <w:color w:val="000000" w:themeColor="text1"/>
                <w:sz w:val="20"/>
              </w:rPr>
              <w:t>APP 6</w:t>
            </w:r>
          </w:p>
        </w:tc>
        <w:tc>
          <w:tcPr>
            <w:tcW w:w="4250" w:type="dxa"/>
          </w:tcPr>
          <w:p w14:paraId="5CF57C4D" w14:textId="77777777" w:rsidR="00615D42" w:rsidRPr="00BA4FD9" w:rsidRDefault="00615D42" w:rsidP="00BB1FA3">
            <w:pPr>
              <w:pStyle w:val="TableText"/>
              <w:rPr>
                <w:rStyle w:val="eop"/>
              </w:rPr>
            </w:pPr>
            <w:r>
              <w:rPr>
                <w:rStyle w:val="eop"/>
              </w:rPr>
              <w:t>They have c</w:t>
            </w:r>
            <w:r w:rsidRPr="00951944">
              <w:rPr>
                <w:rStyle w:val="eop"/>
              </w:rPr>
              <w:t xml:space="preserve">learly </w:t>
            </w:r>
            <w:r>
              <w:rPr>
                <w:rStyle w:val="eop"/>
              </w:rPr>
              <w:t>mentioned</w:t>
            </w:r>
            <w:r w:rsidRPr="00951944">
              <w:rPr>
                <w:rStyle w:val="eop"/>
              </w:rPr>
              <w:t xml:space="preserve"> that personal data is not shared without consent, except under legal obligations.</w:t>
            </w:r>
            <w:r>
              <w:rPr>
                <w:rStyle w:val="eop"/>
              </w:rPr>
              <w:t xml:space="preserve"> I do believe that </w:t>
            </w:r>
            <w:r>
              <w:t>the</w:t>
            </w:r>
            <w:r w:rsidRPr="00951944">
              <w:t xml:space="preserve"> circumstances under which data may be shared without </w:t>
            </w:r>
            <w:r w:rsidRPr="00951944">
              <w:lastRenderedPageBreak/>
              <w:t xml:space="preserve">consent could be more </w:t>
            </w:r>
            <w:r>
              <w:t>specifically</w:t>
            </w:r>
            <w:r w:rsidRPr="00951944">
              <w:t xml:space="preserve"> defined.</w:t>
            </w:r>
          </w:p>
        </w:tc>
        <w:tc>
          <w:tcPr>
            <w:tcW w:w="709" w:type="dxa"/>
            <w:vAlign w:val="center"/>
          </w:tcPr>
          <w:p w14:paraId="50AE7296"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774250347"/>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c>
          <w:tcPr>
            <w:tcW w:w="567" w:type="dxa"/>
            <w:vAlign w:val="center"/>
          </w:tcPr>
          <w:p w14:paraId="4F6EB6EA"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235204208"/>
                <w14:checkbox>
                  <w14:checked w14:val="1"/>
                  <w14:checkedState w14:val="2612" w14:font="MS Gothic"/>
                  <w14:uncheckedState w14:val="2610" w14:font="MS Gothic"/>
                </w14:checkbox>
              </w:sdtPr>
              <w:sdtContent>
                <w:r w:rsidR="00615D42">
                  <w:rPr>
                    <w:rFonts w:ascii="MS Gothic" w:eastAsia="MS Gothic" w:hAnsi="MS Gothic" w:cstheme="minorHAnsi" w:hint="eastAsia"/>
                    <w:lang w:eastAsia="en-AU" w:bidi="ar-SA"/>
                  </w:rPr>
                  <w:t>☒</w:t>
                </w:r>
              </w:sdtContent>
            </w:sdt>
          </w:p>
        </w:tc>
        <w:tc>
          <w:tcPr>
            <w:tcW w:w="567" w:type="dxa"/>
            <w:vAlign w:val="center"/>
          </w:tcPr>
          <w:p w14:paraId="656C015A"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541356777"/>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c>
          <w:tcPr>
            <w:tcW w:w="850" w:type="dxa"/>
            <w:vAlign w:val="center"/>
          </w:tcPr>
          <w:p w14:paraId="7B7CCB6F" w14:textId="77777777" w:rsidR="00615D42" w:rsidRPr="00BA4FD9" w:rsidRDefault="00000000" w:rsidP="00BB1FA3">
            <w:pPr>
              <w:pStyle w:val="TableText"/>
              <w:jc w:val="center"/>
              <w:rPr>
                <w:rStyle w:val="eop"/>
              </w:rPr>
            </w:pPr>
            <w:sdt>
              <w:sdtPr>
                <w:rPr>
                  <w:rFonts w:asciiTheme="minorHAnsi" w:eastAsia="MS Gothic" w:hAnsiTheme="minorHAnsi" w:cstheme="minorHAnsi" w:hint="eastAsia"/>
                  <w:lang w:eastAsia="en-AU" w:bidi="ar-SA"/>
                </w:rPr>
                <w:id w:val="-1625847074"/>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r>
      <w:tr w:rsidR="00615D42" w14:paraId="58468F4D" w14:textId="77777777" w:rsidTr="00BB1FA3">
        <w:trPr>
          <w:trHeight w:val="192"/>
        </w:trPr>
        <w:tc>
          <w:tcPr>
            <w:tcW w:w="1134" w:type="dxa"/>
            <w:shd w:val="clear" w:color="auto" w:fill="F2F2F2" w:themeFill="background1" w:themeFillShade="F2"/>
            <w:vAlign w:val="center"/>
          </w:tcPr>
          <w:p w14:paraId="653E9BA3" w14:textId="77777777" w:rsidR="00615D42" w:rsidRPr="00BA4FD9" w:rsidRDefault="00615D42" w:rsidP="00BB1FA3">
            <w:pPr>
              <w:pStyle w:val="TableText"/>
              <w:rPr>
                <w:rStyle w:val="eop"/>
              </w:rPr>
            </w:pPr>
          </w:p>
        </w:tc>
        <w:tc>
          <w:tcPr>
            <w:tcW w:w="2127" w:type="dxa"/>
          </w:tcPr>
          <w:p w14:paraId="2DE595E8" w14:textId="77777777" w:rsidR="00615D42" w:rsidRPr="00831DEC" w:rsidRDefault="00615D42" w:rsidP="00BB1FA3">
            <w:pPr>
              <w:pStyle w:val="TableText"/>
              <w:rPr>
                <w:rStyle w:val="eop"/>
                <w:color w:val="000000" w:themeColor="text1"/>
                <w:sz w:val="20"/>
              </w:rPr>
            </w:pPr>
            <w:r>
              <w:rPr>
                <w:rStyle w:val="eop"/>
                <w:color w:val="000000" w:themeColor="text1"/>
                <w:sz w:val="20"/>
              </w:rPr>
              <w:t>APP 11</w:t>
            </w:r>
          </w:p>
        </w:tc>
        <w:tc>
          <w:tcPr>
            <w:tcW w:w="4250" w:type="dxa"/>
          </w:tcPr>
          <w:p w14:paraId="5BB4A904" w14:textId="77777777" w:rsidR="00615D42" w:rsidRDefault="00615D42" w:rsidP="00BB1FA3">
            <w:pPr>
              <w:pStyle w:val="TableText"/>
              <w:rPr>
                <w:rStyle w:val="eop"/>
              </w:rPr>
            </w:pPr>
            <w:r w:rsidRPr="00831DEC">
              <w:rPr>
                <w:rStyle w:val="eop"/>
              </w:rPr>
              <w:t>The policy mentions secure retention and destruction of data, complying with APP 11</w:t>
            </w:r>
            <w:r>
              <w:rPr>
                <w:rStyle w:val="eop"/>
              </w:rPr>
              <w:t xml:space="preserve">. </w:t>
            </w:r>
            <w:r w:rsidRPr="00831DEC">
              <w:t xml:space="preserve">It </w:t>
            </w:r>
            <w:r>
              <w:t>can be an advantage</w:t>
            </w:r>
            <w:r w:rsidRPr="00831DEC">
              <w:t xml:space="preserve"> </w:t>
            </w:r>
            <w:r>
              <w:t xml:space="preserve">if they provide </w:t>
            </w:r>
            <w:r w:rsidRPr="00831DEC">
              <w:t xml:space="preserve">more detail on the retention periods for </w:t>
            </w:r>
            <w:r>
              <w:t>various</w:t>
            </w:r>
            <w:r w:rsidRPr="00831DEC">
              <w:t xml:space="preserve"> types of data, </w:t>
            </w:r>
            <w:r>
              <w:t>in addition to</w:t>
            </w:r>
            <w:r w:rsidRPr="00831DEC">
              <w:t xml:space="preserve"> methods of secure disposal.</w:t>
            </w:r>
          </w:p>
        </w:tc>
        <w:tc>
          <w:tcPr>
            <w:tcW w:w="709" w:type="dxa"/>
            <w:vAlign w:val="center"/>
          </w:tcPr>
          <w:p w14:paraId="3CC4E016" w14:textId="77777777" w:rsidR="00615D42"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939147460"/>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c>
          <w:tcPr>
            <w:tcW w:w="567" w:type="dxa"/>
            <w:vAlign w:val="center"/>
          </w:tcPr>
          <w:p w14:paraId="67D57977" w14:textId="77777777" w:rsidR="00615D42"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779259320"/>
                <w14:checkbox>
                  <w14:checked w14:val="1"/>
                  <w14:checkedState w14:val="2612" w14:font="MS Gothic"/>
                  <w14:uncheckedState w14:val="2610" w14:font="MS Gothic"/>
                </w14:checkbox>
              </w:sdtPr>
              <w:sdtContent>
                <w:r w:rsidR="00615D42">
                  <w:rPr>
                    <w:rFonts w:ascii="MS Gothic" w:eastAsia="MS Gothic" w:hAnsi="MS Gothic" w:cstheme="minorHAnsi" w:hint="eastAsia"/>
                    <w:lang w:eastAsia="en-AU" w:bidi="ar-SA"/>
                  </w:rPr>
                  <w:t>☒</w:t>
                </w:r>
              </w:sdtContent>
            </w:sdt>
          </w:p>
        </w:tc>
        <w:tc>
          <w:tcPr>
            <w:tcW w:w="567" w:type="dxa"/>
            <w:vAlign w:val="center"/>
          </w:tcPr>
          <w:p w14:paraId="03A1C365" w14:textId="77777777" w:rsidR="00615D42"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2133620349"/>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rPr>
                  <w:t>☐</w:t>
                </w:r>
              </w:sdtContent>
            </w:sdt>
          </w:p>
        </w:tc>
        <w:tc>
          <w:tcPr>
            <w:tcW w:w="850" w:type="dxa"/>
            <w:vAlign w:val="center"/>
          </w:tcPr>
          <w:p w14:paraId="6FD1A226" w14:textId="77777777" w:rsidR="00615D42" w:rsidRDefault="00000000" w:rsidP="00BB1FA3">
            <w:pPr>
              <w:pStyle w:val="TableText"/>
              <w:jc w:val="center"/>
              <w:rPr>
                <w:rFonts w:asciiTheme="minorHAnsi" w:eastAsia="MS Gothic" w:hAnsiTheme="minorHAnsi" w:cstheme="minorHAnsi"/>
                <w:lang w:eastAsia="en-AU" w:bidi="ar-SA"/>
              </w:rPr>
            </w:pPr>
            <w:sdt>
              <w:sdtPr>
                <w:rPr>
                  <w:rFonts w:asciiTheme="minorHAnsi" w:eastAsia="MS Gothic" w:hAnsiTheme="minorHAnsi" w:cstheme="minorHAnsi" w:hint="eastAsia"/>
                  <w:lang w:eastAsia="en-AU" w:bidi="ar-SA"/>
                </w:rPr>
                <w:id w:val="-683363436"/>
                <w14:checkbox>
                  <w14:checked w14:val="0"/>
                  <w14:checkedState w14:val="2612" w14:font="MS Gothic"/>
                  <w14:uncheckedState w14:val="2610" w14:font="MS Gothic"/>
                </w14:checkbox>
              </w:sdtPr>
              <w:sdtContent>
                <w:r w:rsidR="00615D42">
                  <w:rPr>
                    <w:rFonts w:ascii="MS Gothic" w:eastAsia="MS Gothic" w:hAnsi="MS Gothic" w:cstheme="minorHAnsi" w:hint="eastAsia"/>
                    <w:lang w:eastAsia="en-AU" w:bidi="ar-SA"/>
                  </w:rPr>
                  <w:t>☐</w:t>
                </w:r>
              </w:sdtContent>
            </w:sdt>
          </w:p>
        </w:tc>
      </w:tr>
    </w:tbl>
    <w:p w14:paraId="79BC4489" w14:textId="77777777" w:rsidR="00615D42" w:rsidRDefault="00615D42" w:rsidP="00615D42">
      <w:pPr>
        <w:ind w:left="567" w:hanging="567"/>
      </w:pPr>
      <w:r w:rsidRPr="006B51EF">
        <w:t xml:space="preserve">Office of the Australian Information Commissioner (OAIC) 2023, </w:t>
      </w:r>
      <w:r w:rsidRPr="006B51EF">
        <w:rPr>
          <w:i/>
          <w:iCs/>
        </w:rPr>
        <w:t>Australian Privacy Principles</w:t>
      </w:r>
      <w:r w:rsidRPr="006B51EF">
        <w:t xml:space="preserve">, viewed 24 September 2024, </w:t>
      </w:r>
      <w:hyperlink r:id="rId25" w:tgtFrame="_new" w:history="1">
        <w:r w:rsidRPr="006B51EF">
          <w:rPr>
            <w:rStyle w:val="Hyperlink"/>
          </w:rPr>
          <w:t>https://www.oaic.gov.au/privacy/australian-privacy-principles</w:t>
        </w:r>
      </w:hyperlink>
      <w:r w:rsidRPr="006B51EF">
        <w:t>.</w:t>
      </w:r>
    </w:p>
    <w:p w14:paraId="469E34B5" w14:textId="77777777" w:rsidR="00615D42" w:rsidRDefault="00615D42" w:rsidP="00615D42">
      <w:pPr>
        <w:ind w:left="567" w:hanging="567"/>
      </w:pPr>
    </w:p>
    <w:p w14:paraId="3E58D4C0" w14:textId="77777777" w:rsidR="00615D42" w:rsidRDefault="00615D42" w:rsidP="00615D42">
      <w:pPr>
        <w:ind w:left="567" w:hanging="567"/>
      </w:pPr>
      <w:r w:rsidRPr="006B51EF">
        <w:t xml:space="preserve">Office of the Australian Information Commissioner (OAIC) 2023, </w:t>
      </w:r>
      <w:r w:rsidRPr="006B51EF">
        <w:rPr>
          <w:i/>
          <w:iCs/>
        </w:rPr>
        <w:t>Read the Australian Privacy Principles</w:t>
      </w:r>
      <w:r w:rsidRPr="006B51EF">
        <w:t xml:space="preserve">, viewed 24 September 2024, </w:t>
      </w:r>
      <w:hyperlink r:id="rId26" w:tgtFrame="_new" w:history="1">
        <w:r w:rsidRPr="006B51EF">
          <w:rPr>
            <w:rStyle w:val="Hyperlink"/>
          </w:rPr>
          <w:t>https://www.oaic.gov.au/privacy/australian-privacy-principles/read-the-australian-privacy-principles</w:t>
        </w:r>
      </w:hyperlink>
      <w:r w:rsidRPr="006B51EF">
        <w:t>.</w:t>
      </w:r>
    </w:p>
    <w:p w14:paraId="378363FF" w14:textId="77777777" w:rsidR="00BA4FD9" w:rsidRDefault="00BA4FD9" w:rsidP="00BA4FD9">
      <w:pPr>
        <w:rPr>
          <w:rStyle w:val="eop"/>
          <w:rFonts w:cs="Arial"/>
          <w:color w:val="1F4E79" w:themeColor="accent1" w:themeShade="80"/>
        </w:rPr>
      </w:pPr>
    </w:p>
    <w:p w14:paraId="011E2998" w14:textId="4373092B" w:rsidR="00BA4FD9" w:rsidRPr="006F0800" w:rsidRDefault="006F0800" w:rsidP="00BA4FD9">
      <w:pPr>
        <w:rPr>
          <w:rStyle w:val="eop"/>
          <w:rFonts w:cs="Arial"/>
        </w:rPr>
      </w:pPr>
      <w:r w:rsidRPr="006F0800">
        <w:rPr>
          <w:rStyle w:val="eop"/>
          <w:rFonts w:cs="Arial"/>
        </w:rPr>
        <w:t>Yellow highlighted ones are for organization 1</w:t>
      </w:r>
    </w:p>
    <w:tbl>
      <w:tblPr>
        <w:tblStyle w:val="TableGrid"/>
        <w:tblW w:w="9637" w:type="dxa"/>
        <w:tblInd w:w="-3" w:type="dxa"/>
        <w:tblLook w:val="04A0" w:firstRow="1" w:lastRow="0" w:firstColumn="1" w:lastColumn="0" w:noHBand="0" w:noVBand="1"/>
      </w:tblPr>
      <w:tblGrid>
        <w:gridCol w:w="2127"/>
        <w:gridCol w:w="3543"/>
        <w:gridCol w:w="3967"/>
      </w:tblGrid>
      <w:tr w:rsidR="00CB7391" w14:paraId="239DC132" w14:textId="77777777" w:rsidTr="00BA4FD9">
        <w:trPr>
          <w:trHeight w:val="481"/>
        </w:trPr>
        <w:tc>
          <w:tcPr>
            <w:tcW w:w="2127" w:type="dxa"/>
            <w:shd w:val="clear" w:color="auto" w:fill="D9D9D9" w:themeFill="background1" w:themeFillShade="D9"/>
            <w:vAlign w:val="center"/>
          </w:tcPr>
          <w:p w14:paraId="794EFD90" w14:textId="77777777" w:rsidR="00CB7391" w:rsidRPr="00850139" w:rsidRDefault="00CB7391" w:rsidP="00BA4FD9">
            <w:pPr>
              <w:pStyle w:val="TableText"/>
              <w:jc w:val="center"/>
              <w:rPr>
                <w:rStyle w:val="eop"/>
                <w:b/>
                <w:sz w:val="20"/>
              </w:rPr>
            </w:pPr>
            <w:r>
              <w:rPr>
                <w:rStyle w:val="eop"/>
                <w:b/>
                <w:sz w:val="20"/>
              </w:rPr>
              <w:t xml:space="preserve">BEST </w:t>
            </w:r>
            <w:r w:rsidRPr="00850139">
              <w:rPr>
                <w:rStyle w:val="eop"/>
                <w:b/>
                <w:sz w:val="20"/>
              </w:rPr>
              <w:t>PRACTICES</w:t>
            </w:r>
          </w:p>
        </w:tc>
        <w:tc>
          <w:tcPr>
            <w:tcW w:w="3543" w:type="dxa"/>
            <w:shd w:val="clear" w:color="auto" w:fill="D9D9D9" w:themeFill="background1" w:themeFillShade="D9"/>
            <w:vAlign w:val="center"/>
          </w:tcPr>
          <w:p w14:paraId="6662756C" w14:textId="77777777" w:rsidR="00CB7391" w:rsidRPr="00850139" w:rsidRDefault="00CB7391" w:rsidP="00BA4FD9">
            <w:pPr>
              <w:pStyle w:val="TableText"/>
              <w:jc w:val="center"/>
              <w:rPr>
                <w:rStyle w:val="eop"/>
                <w:b/>
                <w:sz w:val="20"/>
              </w:rPr>
            </w:pPr>
            <w:r w:rsidRPr="00850139">
              <w:rPr>
                <w:rStyle w:val="eop"/>
                <w:b/>
                <w:sz w:val="20"/>
              </w:rPr>
              <w:t>EVALUATION</w:t>
            </w:r>
            <w:r w:rsidR="006E6FF8">
              <w:rPr>
                <w:rStyle w:val="eop"/>
                <w:b/>
                <w:sz w:val="20"/>
              </w:rPr>
              <w:t>/SHORTCOMINGS</w:t>
            </w:r>
          </w:p>
        </w:tc>
        <w:tc>
          <w:tcPr>
            <w:tcW w:w="3967" w:type="dxa"/>
            <w:shd w:val="clear" w:color="auto" w:fill="D9D9D9" w:themeFill="background1" w:themeFillShade="D9"/>
            <w:vAlign w:val="center"/>
          </w:tcPr>
          <w:p w14:paraId="6A3F90AA" w14:textId="77777777" w:rsidR="00CB7391" w:rsidRPr="00850139" w:rsidRDefault="00CB7391" w:rsidP="00BA4FD9">
            <w:pPr>
              <w:pStyle w:val="TableText"/>
              <w:jc w:val="center"/>
              <w:rPr>
                <w:rStyle w:val="eop"/>
                <w:b/>
                <w:sz w:val="20"/>
              </w:rPr>
            </w:pPr>
            <w:r w:rsidRPr="00850139">
              <w:rPr>
                <w:rStyle w:val="eop"/>
                <w:b/>
                <w:sz w:val="20"/>
              </w:rPr>
              <w:t>PROPOSED IMPROVEMENTS</w:t>
            </w:r>
          </w:p>
        </w:tc>
      </w:tr>
      <w:tr w:rsidR="00615D42" w14:paraId="72A5BC5C" w14:textId="77777777" w:rsidTr="00BA4FD9">
        <w:tc>
          <w:tcPr>
            <w:tcW w:w="2127" w:type="dxa"/>
          </w:tcPr>
          <w:p w14:paraId="7609632B" w14:textId="627C771F" w:rsidR="00615D42" w:rsidRDefault="00615D42" w:rsidP="00615D42">
            <w:pPr>
              <w:pStyle w:val="TableText"/>
              <w:rPr>
                <w:rStyle w:val="eop"/>
              </w:rPr>
            </w:pPr>
            <w:r w:rsidRPr="00066051">
              <w:rPr>
                <w:highlight w:val="yellow"/>
              </w:rPr>
              <w:t xml:space="preserve">Establishing secure password policy, proper classification of sensitive data, Encryption of sensitive data in rest and transit, control access to sensitive data, minimization of data collection, Implement a Robust Data Security System, </w:t>
            </w:r>
          </w:p>
        </w:tc>
        <w:tc>
          <w:tcPr>
            <w:tcW w:w="3543" w:type="dxa"/>
          </w:tcPr>
          <w:p w14:paraId="612E57D0" w14:textId="5BF2BC7F" w:rsidR="00615D42" w:rsidRDefault="00615D42" w:rsidP="00615D42">
            <w:pPr>
              <w:pStyle w:val="TableText"/>
              <w:rPr>
                <w:rStyle w:val="eop"/>
              </w:rPr>
            </w:pPr>
            <w:r w:rsidRPr="00066051">
              <w:rPr>
                <w:highlight w:val="yellow"/>
              </w:rPr>
              <w:t>No regular audits and enforcement mechanisms, outdated or incorrect classifications of data, outdated or incorrect classifications, Poor key management practices for encrypted data, misunderstanding of employees about necessary data, one time training event conducted,</w:t>
            </w:r>
          </w:p>
        </w:tc>
        <w:tc>
          <w:tcPr>
            <w:tcW w:w="3967" w:type="dxa"/>
          </w:tcPr>
          <w:p w14:paraId="0A3644FB" w14:textId="77777777" w:rsidR="00615D42" w:rsidRPr="00066051" w:rsidRDefault="00615D42" w:rsidP="00615D42">
            <w:pPr>
              <w:pStyle w:val="TableText"/>
              <w:rPr>
                <w:highlight w:val="yellow"/>
              </w:rPr>
            </w:pPr>
            <w:r w:rsidRPr="00066051">
              <w:rPr>
                <w:highlight w:val="yellow"/>
              </w:rPr>
              <w:t xml:space="preserve">Implementing MFA, Password Audit, Regular review for classification of sensitive data, developing clear guidelines on data classification, implementing Automated tools for data classification, Key Management System, conducting regular audits, </w:t>
            </w:r>
          </w:p>
          <w:p w14:paraId="49EBB5AE" w14:textId="5F0119CA" w:rsidR="00615D42" w:rsidRDefault="00615D42" w:rsidP="00615D42">
            <w:pPr>
              <w:pStyle w:val="TableText"/>
              <w:rPr>
                <w:rStyle w:val="eop"/>
              </w:rPr>
            </w:pPr>
            <w:r w:rsidRPr="00066051">
              <w:rPr>
                <w:highlight w:val="yellow"/>
              </w:rPr>
              <w:t>Implementing encryption algorithms, Implementing Role based Access Control, Zero Trust policy, developing clear data collection guidelines, Ongoing Privacy Training Programs</w:t>
            </w:r>
          </w:p>
        </w:tc>
      </w:tr>
      <w:tr w:rsidR="00615D42" w14:paraId="4305BBAE" w14:textId="77777777" w:rsidTr="00BA4FD9">
        <w:tc>
          <w:tcPr>
            <w:tcW w:w="2127" w:type="dxa"/>
          </w:tcPr>
          <w:p w14:paraId="5B3801B1" w14:textId="48473499" w:rsidR="00615D42" w:rsidRDefault="00615D42" w:rsidP="00615D42">
            <w:pPr>
              <w:pStyle w:val="TableText"/>
              <w:rPr>
                <w:rStyle w:val="eop"/>
              </w:rPr>
            </w:pPr>
            <w:r w:rsidRPr="00066051">
              <w:rPr>
                <w:highlight w:val="yellow"/>
              </w:rPr>
              <w:t xml:space="preserve">Timely Handling of Refunds and Faulty Products, 24-hour response to client’s questions, </w:t>
            </w:r>
            <w:proofErr w:type="gramStart"/>
            <w:r w:rsidRPr="00066051">
              <w:rPr>
                <w:highlight w:val="yellow"/>
              </w:rPr>
              <w:t>Not</w:t>
            </w:r>
            <w:proofErr w:type="gramEnd"/>
            <w:r w:rsidRPr="00066051">
              <w:rPr>
                <w:highlight w:val="yellow"/>
              </w:rPr>
              <w:t xml:space="preserve"> </w:t>
            </w:r>
            <w:r w:rsidRPr="00066051">
              <w:rPr>
                <w:highlight w:val="yellow"/>
              </w:rPr>
              <w:lastRenderedPageBreak/>
              <w:t>assuming all clients need the same thing, Adapt to customer behaving styles and discover communication channels available, honest communication, Avoiding Close-ended Responses when dealing with clients, Priority is always the customer’s issue</w:t>
            </w:r>
          </w:p>
        </w:tc>
        <w:tc>
          <w:tcPr>
            <w:tcW w:w="3543" w:type="dxa"/>
          </w:tcPr>
          <w:p w14:paraId="0EA5CF47" w14:textId="6EB99FBB" w:rsidR="00615D42" w:rsidRDefault="00615D42" w:rsidP="00615D42">
            <w:pPr>
              <w:pStyle w:val="TableText"/>
              <w:rPr>
                <w:rStyle w:val="eop"/>
              </w:rPr>
            </w:pPr>
            <w:r w:rsidRPr="00066051">
              <w:rPr>
                <w:highlight w:val="yellow"/>
              </w:rPr>
              <w:lastRenderedPageBreak/>
              <w:t xml:space="preserve">No clear deadlines for refunds or product replacements, </w:t>
            </w:r>
            <w:proofErr w:type="gramStart"/>
            <w:r w:rsidRPr="00066051">
              <w:rPr>
                <w:highlight w:val="yellow"/>
              </w:rPr>
              <w:t>No</w:t>
            </w:r>
            <w:proofErr w:type="gramEnd"/>
            <w:r w:rsidRPr="00066051">
              <w:rPr>
                <w:highlight w:val="yellow"/>
              </w:rPr>
              <w:t xml:space="preserve"> clear instructions on how to personalize service for each customer, Not enough training for staff to </w:t>
            </w:r>
            <w:r w:rsidRPr="00066051">
              <w:rPr>
                <w:highlight w:val="yellow"/>
              </w:rPr>
              <w:lastRenderedPageBreak/>
              <w:t>recognize different communication styles, Rush in resolving and overpromising solutions that cannot be delivered in reality</w:t>
            </w:r>
          </w:p>
        </w:tc>
        <w:tc>
          <w:tcPr>
            <w:tcW w:w="3967" w:type="dxa"/>
          </w:tcPr>
          <w:p w14:paraId="0A0D8075" w14:textId="6231B414" w:rsidR="00615D42" w:rsidRDefault="00615D42" w:rsidP="00615D42">
            <w:pPr>
              <w:pStyle w:val="TableText"/>
              <w:rPr>
                <w:rStyle w:val="eop"/>
              </w:rPr>
            </w:pPr>
            <w:r w:rsidRPr="00066051">
              <w:rPr>
                <w:highlight w:val="yellow"/>
              </w:rPr>
              <w:lastRenderedPageBreak/>
              <w:t xml:space="preserve">Set clear timeframes for refunds and replacements, Automatic responses and resolution timeframes, train staff for service personalization based on the customer’s needs, Ongoing </w:t>
            </w:r>
            <w:r w:rsidRPr="00066051">
              <w:rPr>
                <w:highlight w:val="yellow"/>
              </w:rPr>
              <w:lastRenderedPageBreak/>
              <w:t>employee training systems, establishing incident response plan,</w:t>
            </w:r>
          </w:p>
        </w:tc>
      </w:tr>
      <w:tr w:rsidR="00615D42" w14:paraId="11016625" w14:textId="77777777" w:rsidTr="00BA4FD9">
        <w:tc>
          <w:tcPr>
            <w:tcW w:w="2127" w:type="dxa"/>
          </w:tcPr>
          <w:p w14:paraId="4DFDDE5F" w14:textId="27D659E1" w:rsidR="00615D42" w:rsidRDefault="00615D42" w:rsidP="00615D42">
            <w:pPr>
              <w:pStyle w:val="TableText"/>
              <w:rPr>
                <w:rStyle w:val="eop"/>
              </w:rPr>
            </w:pPr>
            <w:r>
              <w:lastRenderedPageBreak/>
              <w:t>Enforcing strong passwords, employing Encryption for their data especially sensitive one, compulsory Privacy Training,  back up data, protecting data from Insider threats</w:t>
            </w:r>
          </w:p>
        </w:tc>
        <w:tc>
          <w:tcPr>
            <w:tcW w:w="3543" w:type="dxa"/>
          </w:tcPr>
          <w:p w14:paraId="1F48CC63" w14:textId="6542D4D1" w:rsidR="00615D42" w:rsidRDefault="00615D42" w:rsidP="00615D42">
            <w:pPr>
              <w:pStyle w:val="TableText"/>
              <w:rPr>
                <w:rStyle w:val="eop"/>
              </w:rPr>
            </w:pPr>
            <w:r>
              <w:t xml:space="preserve">Not enough and still can be compromised through phishing and brute force attacks,  no details on encryption method and how encryption key is managed, missing mention of training frequency, no information on how often backups are performed, did not mention what type of endpoint security system are in use, no mention on example of data control </w:t>
            </w:r>
          </w:p>
        </w:tc>
        <w:tc>
          <w:tcPr>
            <w:tcW w:w="3967" w:type="dxa"/>
          </w:tcPr>
          <w:p w14:paraId="46D5BEB1" w14:textId="4FEB4C16" w:rsidR="00615D42" w:rsidRDefault="00615D42" w:rsidP="00615D42">
            <w:pPr>
              <w:pStyle w:val="TableText"/>
              <w:rPr>
                <w:rStyle w:val="eop"/>
              </w:rPr>
            </w:pPr>
            <w:r>
              <w:t xml:space="preserve">Add MFA, stating advanced encryption methods, detail regular privacy training updates, tested backups, practices for monitoring insider threats, </w:t>
            </w:r>
          </w:p>
        </w:tc>
      </w:tr>
      <w:tr w:rsidR="00615D42" w14:paraId="49140DF5" w14:textId="77777777" w:rsidTr="00BA4FD9">
        <w:tc>
          <w:tcPr>
            <w:tcW w:w="2127" w:type="dxa"/>
          </w:tcPr>
          <w:p w14:paraId="7DB844BF" w14:textId="10D2D2FE" w:rsidR="00615D42" w:rsidRDefault="00615D42" w:rsidP="00615D42">
            <w:pPr>
              <w:pStyle w:val="TableText"/>
              <w:rPr>
                <w:rStyle w:val="eop"/>
              </w:rPr>
            </w:pPr>
            <w:r>
              <w:t xml:space="preserve">User endpoint security systems to protect data, conducting proper disposal of electronic and physical copies of personal data, implement a trifecta of Technical, physical and administrative control, </w:t>
            </w:r>
          </w:p>
        </w:tc>
        <w:tc>
          <w:tcPr>
            <w:tcW w:w="3543" w:type="dxa"/>
          </w:tcPr>
          <w:p w14:paraId="21325324" w14:textId="02F51C70" w:rsidR="00615D42" w:rsidRDefault="00615D42" w:rsidP="00615D42">
            <w:pPr>
              <w:pStyle w:val="TableText"/>
              <w:rPr>
                <w:rStyle w:val="eop"/>
              </w:rPr>
            </w:pPr>
            <w:r>
              <w:t>No mention on how these controls being audited, lack of policies on secure deletion, lacks mitigating strategies for third party partners such as security contracts, doesn’t mention testing the backups regularly to ensure it is working, no detail about practices to handle customers questions</w:t>
            </w:r>
          </w:p>
        </w:tc>
        <w:tc>
          <w:tcPr>
            <w:tcW w:w="3967" w:type="dxa"/>
          </w:tcPr>
          <w:p w14:paraId="22AC5A61" w14:textId="1050B714" w:rsidR="00615D42" w:rsidRDefault="00615D42" w:rsidP="00615D42">
            <w:pPr>
              <w:pStyle w:val="TableText"/>
              <w:rPr>
                <w:rStyle w:val="eop"/>
              </w:rPr>
            </w:pPr>
            <w:r>
              <w:t xml:space="preserve">information on auditing physical and technical controls, specifying standards of endpoint security software or tool, establishing incident response plan and associated practices, </w:t>
            </w:r>
          </w:p>
        </w:tc>
      </w:tr>
    </w:tbl>
    <w:p w14:paraId="21685E3A" w14:textId="4BDEC837" w:rsidR="00BA4FD9" w:rsidRDefault="00BA4FD9" w:rsidP="00CB7391">
      <w:pPr>
        <w:pStyle w:val="paragraph"/>
        <w:spacing w:before="0" w:beforeAutospacing="0" w:after="0" w:afterAutospacing="0" w:line="360" w:lineRule="auto"/>
        <w:textAlignment w:val="baseline"/>
        <w:rPr>
          <w:rStyle w:val="eop"/>
          <w:rFonts w:ascii="Arial" w:hAnsi="Arial" w:cs="Arial"/>
          <w:b/>
          <w:szCs w:val="22"/>
        </w:rPr>
      </w:pPr>
      <w:r>
        <w:rPr>
          <w:rStyle w:val="eop"/>
          <w:rFonts w:ascii="Arial" w:hAnsi="Arial" w:cs="Arial"/>
          <w:b/>
          <w:szCs w:val="22"/>
        </w:rPr>
        <w:br w:type="page"/>
      </w:r>
    </w:p>
    <w:p w14:paraId="0A3381BB" w14:textId="77777777" w:rsidR="00047EC9" w:rsidRPr="000575DE" w:rsidRDefault="00045D37" w:rsidP="00842385">
      <w:pPr>
        <w:pStyle w:val="Heading1"/>
        <w:ind w:left="567" w:hanging="567"/>
        <w:rPr>
          <w:rStyle w:val="eop"/>
          <w:rFonts w:cs="Arial"/>
          <w:color w:val="1F4E79" w:themeColor="accent1" w:themeShade="80"/>
        </w:rPr>
      </w:pPr>
      <w:bookmarkStart w:id="15" w:name="_Toc124768031"/>
      <w:r>
        <w:rPr>
          <w:rStyle w:val="eop"/>
          <w:rFonts w:cs="Arial"/>
          <w:szCs w:val="22"/>
        </w:rPr>
        <w:lastRenderedPageBreak/>
        <w:t>6</w:t>
      </w:r>
      <w:r w:rsidR="00047EC9">
        <w:rPr>
          <w:rStyle w:val="eop"/>
          <w:rFonts w:cs="Arial"/>
          <w:szCs w:val="22"/>
        </w:rPr>
        <w:tab/>
      </w:r>
      <w:r w:rsidR="008B70B4" w:rsidRPr="008B70B4">
        <w:rPr>
          <w:rStyle w:val="eop"/>
          <w:rFonts w:cs="Arial"/>
          <w:szCs w:val="22"/>
        </w:rPr>
        <w:t xml:space="preserve">Privacy </w:t>
      </w:r>
      <w:r w:rsidR="0021261F">
        <w:rPr>
          <w:rStyle w:val="eop"/>
          <w:rFonts w:cs="Arial"/>
          <w:szCs w:val="22"/>
        </w:rPr>
        <w:t xml:space="preserve">Compliance Findings and </w:t>
      </w:r>
      <w:r w:rsidR="008B70B4">
        <w:rPr>
          <w:rStyle w:val="eop"/>
          <w:rFonts w:cs="Arial"/>
          <w:szCs w:val="22"/>
        </w:rPr>
        <w:t>Recommendations</w:t>
      </w:r>
      <w:bookmarkEnd w:id="15"/>
    </w:p>
    <w:p w14:paraId="30579BC6" w14:textId="22025B94" w:rsidR="00047EC9" w:rsidRPr="001B3202" w:rsidRDefault="001B3202" w:rsidP="00BA4FD9">
      <w:pPr>
        <w:rPr>
          <w:rStyle w:val="eop"/>
          <w:rFonts w:cs="Arial"/>
        </w:rPr>
      </w:pPr>
      <w:r w:rsidRPr="001B3202">
        <w:rPr>
          <w:rStyle w:val="eop"/>
          <w:rFonts w:cs="Arial"/>
        </w:rPr>
        <w:t>After reviewing the Turtle Movers, I found that they are complying with Australian laws in most aspects. Their privacy policy covers most necessary aspects to meet legal standards. However, I don’t believe it will continue to be fully compliant in the long term, especially as they operate across Australia. It is obvious that they need to enhance their compliance to the Australian laws and standards. As I have mentioned before, establishing response planes along with regular audits, operation will be more secure and efficient. There is also always a need for data minimization practices to review the data they collect. In this way, they can assure that they retain only essential information. Furthermore, they need to enforce more advanced encryption and password policy with more specific requirements.</w:t>
      </w:r>
    </w:p>
    <w:p w14:paraId="32549517" w14:textId="75C7D548" w:rsidR="001B6BD1" w:rsidRDefault="00045D37" w:rsidP="00842385">
      <w:pPr>
        <w:pStyle w:val="Heading1"/>
        <w:ind w:left="567" w:hanging="567"/>
        <w:rPr>
          <w:rStyle w:val="eop"/>
          <w:rFonts w:cs="Arial"/>
          <w:color w:val="1F4E79" w:themeColor="accent1" w:themeShade="80"/>
        </w:rPr>
      </w:pPr>
      <w:bookmarkStart w:id="16" w:name="_Toc83251853"/>
      <w:bookmarkStart w:id="17" w:name="_Toc124768032"/>
      <w:r>
        <w:rPr>
          <w:rStyle w:val="eop"/>
          <w:rFonts w:cs="Arial"/>
          <w:szCs w:val="22"/>
        </w:rPr>
        <w:t>7</w:t>
      </w:r>
      <w:r w:rsidR="00F71A95">
        <w:rPr>
          <w:rStyle w:val="eop"/>
          <w:rFonts w:cs="Arial"/>
          <w:szCs w:val="22"/>
        </w:rPr>
        <w:tab/>
      </w:r>
      <w:bookmarkEnd w:id="16"/>
      <w:r w:rsidR="008B70B4">
        <w:rPr>
          <w:rStyle w:val="eop"/>
          <w:rFonts w:cs="Arial"/>
          <w:szCs w:val="22"/>
        </w:rPr>
        <w:t>Ethic</w:t>
      </w:r>
      <w:r w:rsidR="006E6FF8">
        <w:rPr>
          <w:rStyle w:val="eop"/>
          <w:rFonts w:cs="Arial"/>
          <w:szCs w:val="22"/>
        </w:rPr>
        <w:t xml:space="preserve">al </w:t>
      </w:r>
      <w:proofErr w:type="gramStart"/>
      <w:r w:rsidR="006E6FF8">
        <w:rPr>
          <w:rStyle w:val="eop"/>
          <w:rFonts w:cs="Arial"/>
          <w:szCs w:val="22"/>
        </w:rPr>
        <w:t>behaviour</w:t>
      </w:r>
      <w:proofErr w:type="gramEnd"/>
      <w:r w:rsidR="006E6FF8">
        <w:rPr>
          <w:rStyle w:val="eop"/>
          <w:rFonts w:cs="Arial"/>
          <w:szCs w:val="22"/>
        </w:rPr>
        <w:t xml:space="preserve"> in cyber security</w:t>
      </w:r>
      <w:bookmarkEnd w:id="17"/>
      <w:r w:rsidR="008B70B4">
        <w:rPr>
          <w:rStyle w:val="eop"/>
          <w:rFonts w:cs="Arial"/>
          <w:szCs w:val="22"/>
        </w:rPr>
        <w:t xml:space="preserve"> </w:t>
      </w:r>
    </w:p>
    <w:p w14:paraId="64DA1D16" w14:textId="77777777" w:rsidR="00842385" w:rsidRDefault="00842385" w:rsidP="004A4FB7">
      <w:pPr>
        <w:rPr>
          <w:rStyle w:val="eop"/>
          <w:rFonts w:cs="Arial"/>
          <w:color w:val="1F4E79" w:themeColor="accent1" w:themeShade="80"/>
        </w:rPr>
      </w:pPr>
    </w:p>
    <w:p w14:paraId="05E769F7" w14:textId="17D587CF" w:rsidR="006E6FF8" w:rsidRPr="00842385" w:rsidRDefault="006E6FF8" w:rsidP="00F74393">
      <w:pPr>
        <w:pStyle w:val="Heading2"/>
        <w:rPr>
          <w:rStyle w:val="eop"/>
          <w:color w:val="auto"/>
        </w:rPr>
      </w:pPr>
      <w:bookmarkStart w:id="18" w:name="_Toc124768033"/>
      <w:r w:rsidRPr="001B6BD1">
        <w:rPr>
          <w:rStyle w:val="eop"/>
        </w:rPr>
        <w:t>7.1</w:t>
      </w:r>
      <w:r w:rsidRPr="001B6BD1">
        <w:rPr>
          <w:rStyle w:val="eop"/>
        </w:rPr>
        <w:tab/>
        <w:t>Code of Practice (</w:t>
      </w:r>
      <w:r w:rsidR="001B6BD1">
        <w:rPr>
          <w:rStyle w:val="eop"/>
        </w:rPr>
        <w:t>for only one of the two organisations</w:t>
      </w:r>
      <w:r w:rsidRPr="001B6BD1">
        <w:rPr>
          <w:rStyle w:val="eop"/>
        </w:rPr>
        <w:t>)</w:t>
      </w:r>
      <w:bookmarkEnd w:id="18"/>
    </w:p>
    <w:p w14:paraId="7D9419F6" w14:textId="77777777" w:rsidR="00D222E5" w:rsidRDefault="00D222E5" w:rsidP="00D222E5">
      <w:pPr>
        <w:ind w:left="567"/>
      </w:pPr>
    </w:p>
    <w:p w14:paraId="35B4F066" w14:textId="77777777" w:rsidR="00D222E5" w:rsidRPr="004549FB" w:rsidRDefault="00D222E5" w:rsidP="00D222E5">
      <w:pPr>
        <w:ind w:left="567"/>
        <w:rPr>
          <w:sz w:val="32"/>
          <w:szCs w:val="36"/>
        </w:rPr>
      </w:pPr>
      <w:bookmarkStart w:id="19" w:name="_Hlk178441417"/>
      <w:r w:rsidRPr="004549FB">
        <w:rPr>
          <w:sz w:val="32"/>
          <w:szCs w:val="36"/>
          <w:highlight w:val="yellow"/>
        </w:rPr>
        <w:t>Ethics Code of Practice</w:t>
      </w:r>
      <w:r w:rsidRPr="004549FB">
        <w:rPr>
          <w:sz w:val="32"/>
          <w:szCs w:val="36"/>
        </w:rPr>
        <w:t xml:space="preserve"> </w:t>
      </w:r>
    </w:p>
    <w:p w14:paraId="7977409C" w14:textId="77777777" w:rsidR="00D222E5" w:rsidRPr="004549FB" w:rsidRDefault="00D222E5" w:rsidP="00D222E5">
      <w:pPr>
        <w:ind w:left="567"/>
        <w:rPr>
          <w:sz w:val="28"/>
          <w:szCs w:val="32"/>
        </w:rPr>
      </w:pPr>
      <w:r w:rsidRPr="004549FB">
        <w:rPr>
          <w:sz w:val="28"/>
          <w:szCs w:val="32"/>
          <w:highlight w:val="yellow"/>
        </w:rPr>
        <w:t>Introduction</w:t>
      </w:r>
    </w:p>
    <w:p w14:paraId="6EF68C6B" w14:textId="77777777" w:rsidR="00D222E5" w:rsidRDefault="00D222E5" w:rsidP="00D222E5">
      <w:pPr>
        <w:ind w:left="567"/>
      </w:pPr>
      <w:r>
        <w:t>Technicians working in Angelonia Fashion are committed to give hand to each other and maintain highest standards of below ethical conduct in their operations. This Ethics Code of Practices contains guidelines regarding employees, especially ones dealing with cyber security, for protecting the company’s data, systems, reputation and actors including customers and staffs.</w:t>
      </w:r>
    </w:p>
    <w:p w14:paraId="0375C682" w14:textId="77777777" w:rsidR="00D222E5" w:rsidRDefault="00D222E5" w:rsidP="00D222E5">
      <w:pPr>
        <w:ind w:left="567"/>
      </w:pPr>
    </w:p>
    <w:p w14:paraId="584D106A" w14:textId="77777777" w:rsidR="00D222E5" w:rsidRPr="00D22FB7" w:rsidRDefault="00D222E5" w:rsidP="00D222E5">
      <w:pPr>
        <w:pStyle w:val="ListParagraph"/>
        <w:rPr>
          <w:sz w:val="44"/>
          <w:szCs w:val="48"/>
        </w:rPr>
      </w:pPr>
      <w:r w:rsidRPr="00D22FB7">
        <w:rPr>
          <w:sz w:val="44"/>
          <w:szCs w:val="48"/>
          <w:highlight w:val="yellow"/>
        </w:rPr>
        <w:t>Core Values</w:t>
      </w:r>
    </w:p>
    <w:p w14:paraId="1F7B8C46" w14:textId="77777777" w:rsidR="00D222E5" w:rsidRPr="00D22FB7" w:rsidRDefault="00D222E5" w:rsidP="00D222E5">
      <w:pPr>
        <w:pStyle w:val="ListParagraph"/>
        <w:rPr>
          <w:sz w:val="28"/>
          <w:szCs w:val="32"/>
        </w:rPr>
      </w:pPr>
      <w:r w:rsidRPr="00D22FB7">
        <w:rPr>
          <w:sz w:val="28"/>
          <w:szCs w:val="32"/>
          <w:highlight w:val="yellow"/>
        </w:rPr>
        <w:t>Integrity and Honesty</w:t>
      </w:r>
    </w:p>
    <w:p w14:paraId="61C12422" w14:textId="77777777" w:rsidR="00D222E5" w:rsidRPr="00D22FB7" w:rsidRDefault="00D222E5" w:rsidP="00D222E5">
      <w:pPr>
        <w:pStyle w:val="ListParagraph"/>
        <w:numPr>
          <w:ilvl w:val="0"/>
          <w:numId w:val="51"/>
        </w:numPr>
        <w:rPr>
          <w:sz w:val="24"/>
          <w:szCs w:val="28"/>
        </w:rPr>
      </w:pPr>
      <w:r w:rsidRPr="00D22FB7">
        <w:rPr>
          <w:sz w:val="24"/>
          <w:szCs w:val="28"/>
        </w:rPr>
        <w:t>Everyone needs to act with honesty in all of their professional activities.</w:t>
      </w:r>
    </w:p>
    <w:p w14:paraId="499409DD" w14:textId="77777777" w:rsidR="00D222E5" w:rsidRPr="00D22FB7" w:rsidRDefault="00D222E5" w:rsidP="00D222E5">
      <w:pPr>
        <w:pStyle w:val="ListParagraph"/>
        <w:numPr>
          <w:ilvl w:val="0"/>
          <w:numId w:val="51"/>
        </w:numPr>
        <w:rPr>
          <w:sz w:val="24"/>
          <w:szCs w:val="28"/>
        </w:rPr>
      </w:pPr>
      <w:r w:rsidRPr="00D22FB7">
        <w:rPr>
          <w:sz w:val="24"/>
          <w:szCs w:val="28"/>
        </w:rPr>
        <w:t>Everyone needs to assure about transparency in all actions and decisions being made.</w:t>
      </w:r>
    </w:p>
    <w:p w14:paraId="4F4B3123" w14:textId="77777777" w:rsidR="00D222E5" w:rsidRPr="00D22FB7" w:rsidRDefault="00D222E5" w:rsidP="00D222E5">
      <w:pPr>
        <w:pStyle w:val="ListParagraph"/>
        <w:rPr>
          <w:sz w:val="32"/>
          <w:szCs w:val="36"/>
        </w:rPr>
      </w:pPr>
      <w:r w:rsidRPr="00D22FB7">
        <w:rPr>
          <w:sz w:val="32"/>
          <w:szCs w:val="36"/>
          <w:highlight w:val="yellow"/>
        </w:rPr>
        <w:t>Confidentiality</w:t>
      </w:r>
    </w:p>
    <w:p w14:paraId="12A8DAFE" w14:textId="77777777" w:rsidR="00D222E5" w:rsidRPr="00D90D5F" w:rsidRDefault="00D222E5" w:rsidP="00D222E5">
      <w:pPr>
        <w:pStyle w:val="ListParagraph"/>
        <w:numPr>
          <w:ilvl w:val="0"/>
          <w:numId w:val="51"/>
        </w:numPr>
      </w:pPr>
      <w:r w:rsidRPr="00D90D5F">
        <w:t>Everyone is supposed to protect confidentiality of all critical information such as clients’ data, organization’s financial records or other important data.</w:t>
      </w:r>
    </w:p>
    <w:p w14:paraId="72E5FC7D" w14:textId="77777777" w:rsidR="00D222E5" w:rsidRPr="00D22FB7" w:rsidRDefault="00D222E5" w:rsidP="00D222E5">
      <w:pPr>
        <w:pStyle w:val="ListParagraph"/>
        <w:numPr>
          <w:ilvl w:val="0"/>
          <w:numId w:val="51"/>
        </w:numPr>
        <w:rPr>
          <w:sz w:val="20"/>
          <w:szCs w:val="22"/>
        </w:rPr>
      </w:pPr>
      <w:r w:rsidRPr="00D22FB7">
        <w:rPr>
          <w:sz w:val="20"/>
          <w:szCs w:val="22"/>
        </w:rPr>
        <w:t>Employers are required to prevent disclosing any confidential information without prior permission</w:t>
      </w:r>
    </w:p>
    <w:p w14:paraId="7C144CC7" w14:textId="77777777" w:rsidR="00D222E5" w:rsidRPr="00D22FB7" w:rsidRDefault="00D222E5" w:rsidP="00D222E5">
      <w:pPr>
        <w:pStyle w:val="ListParagraph"/>
        <w:rPr>
          <w:sz w:val="28"/>
          <w:szCs w:val="32"/>
        </w:rPr>
      </w:pPr>
      <w:r w:rsidRPr="00D22FB7">
        <w:rPr>
          <w:sz w:val="28"/>
          <w:szCs w:val="32"/>
          <w:highlight w:val="yellow"/>
        </w:rPr>
        <w:lastRenderedPageBreak/>
        <w:t>Compliance with Regulations</w:t>
      </w:r>
    </w:p>
    <w:p w14:paraId="31D27AC9" w14:textId="77777777" w:rsidR="00D222E5" w:rsidRPr="00D22FB7" w:rsidRDefault="00D222E5" w:rsidP="00D222E5">
      <w:pPr>
        <w:pStyle w:val="ListParagraph"/>
        <w:numPr>
          <w:ilvl w:val="0"/>
          <w:numId w:val="51"/>
        </w:numPr>
        <w:rPr>
          <w:sz w:val="20"/>
          <w:szCs w:val="22"/>
        </w:rPr>
      </w:pPr>
      <w:r>
        <w:t xml:space="preserve">Everyone working at this organization need to obey relevant regulations </w:t>
      </w:r>
      <w:r w:rsidRPr="00D22FB7">
        <w:rPr>
          <w:sz w:val="20"/>
          <w:szCs w:val="22"/>
        </w:rPr>
        <w:t>and company’s policies</w:t>
      </w:r>
    </w:p>
    <w:p w14:paraId="72BD3AAC" w14:textId="77777777" w:rsidR="00D222E5" w:rsidRPr="00D22FB7" w:rsidRDefault="00D222E5" w:rsidP="00D222E5">
      <w:pPr>
        <w:pStyle w:val="ListParagraph"/>
        <w:numPr>
          <w:ilvl w:val="0"/>
          <w:numId w:val="51"/>
        </w:numPr>
        <w:rPr>
          <w:sz w:val="20"/>
          <w:szCs w:val="22"/>
        </w:rPr>
      </w:pPr>
      <w:r w:rsidRPr="00D22FB7">
        <w:rPr>
          <w:sz w:val="20"/>
          <w:szCs w:val="22"/>
        </w:rPr>
        <w:t xml:space="preserve">especially ones related to data protection and cyber security. </w:t>
      </w:r>
    </w:p>
    <w:p w14:paraId="6080C787" w14:textId="77777777" w:rsidR="00D222E5" w:rsidRPr="00D22FB7" w:rsidRDefault="00D222E5" w:rsidP="00D222E5">
      <w:pPr>
        <w:pStyle w:val="ListParagraph"/>
        <w:numPr>
          <w:ilvl w:val="0"/>
          <w:numId w:val="51"/>
        </w:numPr>
        <w:rPr>
          <w:sz w:val="20"/>
          <w:szCs w:val="22"/>
        </w:rPr>
      </w:pPr>
      <w:r w:rsidRPr="00D22FB7">
        <w:rPr>
          <w:sz w:val="20"/>
          <w:szCs w:val="22"/>
        </w:rPr>
        <w:t>Employers need to stay informed about changes in laws and regulations in order to assure current condition of compliance.</w:t>
      </w:r>
    </w:p>
    <w:p w14:paraId="47736760" w14:textId="77777777" w:rsidR="00D222E5" w:rsidRPr="00D22FB7" w:rsidRDefault="00D222E5" w:rsidP="00D222E5">
      <w:pPr>
        <w:pStyle w:val="ListParagraph"/>
        <w:rPr>
          <w:sz w:val="28"/>
          <w:szCs w:val="32"/>
        </w:rPr>
      </w:pPr>
      <w:r w:rsidRPr="00D22FB7">
        <w:rPr>
          <w:sz w:val="28"/>
          <w:szCs w:val="32"/>
          <w:highlight w:val="yellow"/>
        </w:rPr>
        <w:t>Respect for Privacy</w:t>
      </w:r>
    </w:p>
    <w:p w14:paraId="3151A5D8" w14:textId="77777777" w:rsidR="00D222E5" w:rsidRPr="00D22FB7" w:rsidRDefault="00D222E5" w:rsidP="00D222E5">
      <w:pPr>
        <w:pStyle w:val="ListParagraph"/>
        <w:numPr>
          <w:ilvl w:val="0"/>
          <w:numId w:val="51"/>
        </w:numPr>
        <w:rPr>
          <w:rFonts w:cs="Times New Roman"/>
          <w:lang w:bidi="fa-IR"/>
        </w:rPr>
      </w:pPr>
      <w:r w:rsidRPr="00D22FB7">
        <w:rPr>
          <w:rFonts w:cs="Times New Roman"/>
          <w:lang w:bidi="fa-IR"/>
        </w:rPr>
        <w:t>Employees need to respect the privacy of customers, employees, and  Stakeholders</w:t>
      </w:r>
    </w:p>
    <w:p w14:paraId="24540C63" w14:textId="77777777" w:rsidR="00D222E5" w:rsidRPr="00D22FB7" w:rsidRDefault="00D222E5" w:rsidP="00D222E5">
      <w:pPr>
        <w:pStyle w:val="ListParagraph"/>
        <w:numPr>
          <w:ilvl w:val="0"/>
          <w:numId w:val="51"/>
        </w:numPr>
        <w:rPr>
          <w:rFonts w:cs="Times New Roman"/>
          <w:lang w:bidi="fa-IR"/>
        </w:rPr>
      </w:pPr>
      <w:r w:rsidRPr="00D22FB7">
        <w:rPr>
          <w:rFonts w:cs="Times New Roman"/>
          <w:lang w:bidi="fa-IR"/>
        </w:rPr>
        <w:t xml:space="preserve">They need to assure that personal data is collected, processed, and stored in compliance with </w:t>
      </w:r>
    </w:p>
    <w:p w14:paraId="476BFF4A" w14:textId="77777777" w:rsidR="00D222E5" w:rsidRPr="00D22FB7" w:rsidRDefault="00D222E5" w:rsidP="00D222E5">
      <w:pPr>
        <w:pStyle w:val="ListParagraph"/>
        <w:numPr>
          <w:ilvl w:val="0"/>
          <w:numId w:val="51"/>
        </w:numPr>
        <w:rPr>
          <w:rFonts w:cs="Times New Roman"/>
          <w:lang w:bidi="fa-IR"/>
        </w:rPr>
      </w:pPr>
      <w:r w:rsidRPr="00D22FB7">
        <w:rPr>
          <w:rFonts w:cs="Times New Roman"/>
          <w:lang w:bidi="fa-IR"/>
        </w:rPr>
        <w:t>Privacy laws and companies’ policies.</w:t>
      </w:r>
    </w:p>
    <w:p w14:paraId="152DA51C" w14:textId="77777777" w:rsidR="00D222E5" w:rsidRPr="00D22FB7" w:rsidRDefault="00D222E5" w:rsidP="00D222E5">
      <w:pPr>
        <w:pStyle w:val="ListParagraph"/>
        <w:rPr>
          <w:rFonts w:cs="Times New Roman"/>
          <w:sz w:val="28"/>
          <w:szCs w:val="32"/>
          <w:lang w:bidi="fa-IR"/>
        </w:rPr>
      </w:pPr>
      <w:r w:rsidRPr="00D22FB7">
        <w:rPr>
          <w:rFonts w:cs="Times New Roman"/>
          <w:sz w:val="28"/>
          <w:szCs w:val="32"/>
          <w:highlight w:val="yellow"/>
          <w:lang w:bidi="fa-IR"/>
        </w:rPr>
        <w:t>Professional Conduct</w:t>
      </w:r>
      <w:r w:rsidRPr="00D22FB7">
        <w:rPr>
          <w:rFonts w:cs="Times New Roman"/>
          <w:sz w:val="28"/>
          <w:szCs w:val="32"/>
          <w:lang w:bidi="fa-IR"/>
        </w:rPr>
        <w:t xml:space="preserve"> </w:t>
      </w:r>
    </w:p>
    <w:p w14:paraId="1323D3E1" w14:textId="77777777" w:rsidR="00D222E5" w:rsidRPr="00D22FB7" w:rsidRDefault="00D222E5" w:rsidP="00D222E5">
      <w:pPr>
        <w:pStyle w:val="ListParagraph"/>
        <w:numPr>
          <w:ilvl w:val="0"/>
          <w:numId w:val="51"/>
        </w:numPr>
        <w:rPr>
          <w:rFonts w:cs="Times New Roman"/>
          <w:lang w:bidi="fa-IR"/>
        </w:rPr>
      </w:pPr>
      <w:r w:rsidRPr="00D22FB7">
        <w:rPr>
          <w:rFonts w:cs="Times New Roman"/>
          <w:lang w:bidi="fa-IR"/>
        </w:rPr>
        <w:t>Employers need to maintain a high a level of professionalism in all interactions and activities</w:t>
      </w:r>
    </w:p>
    <w:p w14:paraId="608414C3" w14:textId="77777777" w:rsidR="00D222E5" w:rsidRPr="00D22FB7" w:rsidRDefault="00D222E5" w:rsidP="00D222E5">
      <w:pPr>
        <w:pStyle w:val="ListParagraph"/>
        <w:numPr>
          <w:ilvl w:val="0"/>
          <w:numId w:val="51"/>
        </w:numPr>
        <w:rPr>
          <w:rFonts w:cs="Times New Roman"/>
          <w:lang w:bidi="fa-IR"/>
        </w:rPr>
      </w:pPr>
      <w:r w:rsidRPr="00D22FB7">
        <w:rPr>
          <w:rFonts w:cs="Times New Roman"/>
          <w:lang w:bidi="fa-IR"/>
        </w:rPr>
        <w:t>Employees should avoid conflicts of interest and disclose any potential conflicts to management.</w:t>
      </w:r>
    </w:p>
    <w:p w14:paraId="461D5541" w14:textId="77777777" w:rsidR="00D222E5" w:rsidRPr="00D22FB7" w:rsidRDefault="00D222E5" w:rsidP="00D222E5">
      <w:pPr>
        <w:pStyle w:val="ListParagraph"/>
        <w:rPr>
          <w:rFonts w:cs="Times New Roman"/>
          <w:sz w:val="28"/>
          <w:szCs w:val="32"/>
          <w:lang w:bidi="fa-IR"/>
        </w:rPr>
      </w:pPr>
      <w:r w:rsidRPr="00D22FB7">
        <w:rPr>
          <w:rFonts w:cs="Times New Roman"/>
          <w:sz w:val="28"/>
          <w:szCs w:val="32"/>
          <w:highlight w:val="yellow"/>
          <w:lang w:bidi="fa-IR"/>
        </w:rPr>
        <w:t>Accountability</w:t>
      </w:r>
    </w:p>
    <w:p w14:paraId="6E5C8556" w14:textId="77777777" w:rsidR="00D222E5" w:rsidRPr="00D22FB7" w:rsidRDefault="00D222E5" w:rsidP="00D222E5">
      <w:pPr>
        <w:pStyle w:val="ListParagraph"/>
        <w:numPr>
          <w:ilvl w:val="0"/>
          <w:numId w:val="51"/>
        </w:numPr>
        <w:rPr>
          <w:rFonts w:cs="Times New Roman"/>
          <w:lang w:bidi="fa-IR"/>
        </w:rPr>
      </w:pPr>
      <w:r w:rsidRPr="00D22FB7">
        <w:rPr>
          <w:rFonts w:cs="Times New Roman"/>
          <w:lang w:bidi="fa-IR"/>
        </w:rPr>
        <w:t>Employees need to take responsibility for actions and decision they make.</w:t>
      </w:r>
    </w:p>
    <w:p w14:paraId="6E743591" w14:textId="77777777" w:rsidR="00D222E5" w:rsidRPr="00D22FB7" w:rsidRDefault="00D222E5" w:rsidP="00D222E5">
      <w:pPr>
        <w:pStyle w:val="ListParagraph"/>
        <w:numPr>
          <w:ilvl w:val="0"/>
          <w:numId w:val="51"/>
        </w:numPr>
        <w:rPr>
          <w:rFonts w:cs="Times New Roman"/>
          <w:lang w:bidi="fa-IR"/>
        </w:rPr>
      </w:pPr>
      <w:r w:rsidRPr="00D22FB7">
        <w:rPr>
          <w:rFonts w:cs="Times New Roman"/>
          <w:lang w:bidi="fa-IR"/>
        </w:rPr>
        <w:t xml:space="preserve">Employees have to report any unethical behaviour or security breaches to the appropriate </w:t>
      </w:r>
    </w:p>
    <w:p w14:paraId="7B37E94B" w14:textId="77777777" w:rsidR="00D222E5" w:rsidRPr="00D22FB7" w:rsidRDefault="00D222E5" w:rsidP="00D222E5">
      <w:pPr>
        <w:pStyle w:val="ListParagraph"/>
        <w:numPr>
          <w:ilvl w:val="0"/>
          <w:numId w:val="51"/>
        </w:numPr>
        <w:rPr>
          <w:rFonts w:cs="Times New Roman"/>
          <w:szCs w:val="24"/>
          <w:lang w:bidi="fa-IR"/>
        </w:rPr>
      </w:pPr>
      <w:r w:rsidRPr="00D22FB7">
        <w:rPr>
          <w:rFonts w:cs="Times New Roman"/>
          <w:lang w:bidi="fa-IR"/>
        </w:rPr>
        <w:t>authorities.</w:t>
      </w:r>
    </w:p>
    <w:p w14:paraId="2AFDD88F" w14:textId="77777777" w:rsidR="00D222E5" w:rsidRPr="00D63AE7" w:rsidRDefault="00D222E5" w:rsidP="00D222E5">
      <w:pPr>
        <w:ind w:left="720" w:hanging="153"/>
        <w:rPr>
          <w:sz w:val="28"/>
          <w:szCs w:val="32"/>
          <w:lang w:bidi="fa-IR"/>
        </w:rPr>
      </w:pPr>
    </w:p>
    <w:p w14:paraId="6769B898" w14:textId="77777777" w:rsidR="00D222E5" w:rsidRPr="00D90D5F" w:rsidRDefault="00D222E5" w:rsidP="00D222E5">
      <w:pPr>
        <w:ind w:left="567"/>
        <w:rPr>
          <w:sz w:val="20"/>
          <w:szCs w:val="22"/>
        </w:rPr>
      </w:pPr>
      <w:r w:rsidRPr="007013A8">
        <w:rPr>
          <w:sz w:val="20"/>
          <w:szCs w:val="22"/>
        </w:rPr>
        <w:t xml:space="preserve">Australian Community Workers Association (ACWA) 2024, </w:t>
      </w:r>
      <w:r w:rsidRPr="007013A8">
        <w:rPr>
          <w:i/>
          <w:iCs/>
          <w:sz w:val="20"/>
          <w:szCs w:val="22"/>
        </w:rPr>
        <w:t>Ethics and standards</w:t>
      </w:r>
      <w:r w:rsidRPr="007013A8">
        <w:rPr>
          <w:sz w:val="20"/>
          <w:szCs w:val="22"/>
        </w:rPr>
        <w:t xml:space="preserve">, viewed 24 September 2024, </w:t>
      </w:r>
      <w:hyperlink r:id="rId27" w:tgtFrame="_new" w:history="1">
        <w:r w:rsidRPr="007013A8">
          <w:rPr>
            <w:rStyle w:val="Hyperlink"/>
            <w:sz w:val="20"/>
            <w:szCs w:val="22"/>
          </w:rPr>
          <w:t>https://www.acwa.org.au/workers/ethics-and-standards/</w:t>
        </w:r>
      </w:hyperlink>
      <w:r w:rsidRPr="007013A8">
        <w:rPr>
          <w:sz w:val="20"/>
          <w:szCs w:val="22"/>
        </w:rPr>
        <w:t>.</w:t>
      </w:r>
    </w:p>
    <w:p w14:paraId="5DDB8678" w14:textId="77777777" w:rsidR="00D222E5" w:rsidRDefault="00D222E5" w:rsidP="00D222E5">
      <w:pPr>
        <w:ind w:left="567"/>
      </w:pPr>
      <w:r w:rsidRPr="00A20A82">
        <w:t xml:space="preserve">Indeed 2024, </w:t>
      </w:r>
      <w:r w:rsidRPr="00A20A82">
        <w:rPr>
          <w:i/>
          <w:iCs/>
        </w:rPr>
        <w:t>How to create a code of ethics</w:t>
      </w:r>
      <w:r w:rsidRPr="00A20A82">
        <w:t xml:space="preserve">, viewed 24 September 2024, </w:t>
      </w:r>
      <w:hyperlink r:id="rId28" w:tgtFrame="_new" w:history="1">
        <w:r w:rsidRPr="00A20A82">
          <w:rPr>
            <w:rStyle w:val="Hyperlink"/>
          </w:rPr>
          <w:t>https://www.indeed.com/career-advice/career-development/create-code-of-ethics</w:t>
        </w:r>
      </w:hyperlink>
      <w:r w:rsidRPr="00A20A82">
        <w:t>.</w:t>
      </w:r>
    </w:p>
    <w:p w14:paraId="49C28EF9" w14:textId="77777777" w:rsidR="00D222E5" w:rsidRDefault="00D222E5" w:rsidP="00D222E5">
      <w:pPr>
        <w:ind w:left="567"/>
      </w:pPr>
      <w:r w:rsidRPr="00A20A82">
        <w:t xml:space="preserve">Status.net 2024, </w:t>
      </w:r>
      <w:r w:rsidRPr="00A20A82">
        <w:rPr>
          <w:i/>
          <w:iCs/>
        </w:rPr>
        <w:t>Code of conduct and ethics: What to include with examples</w:t>
      </w:r>
      <w:r w:rsidRPr="00A20A82">
        <w:t xml:space="preserve">, viewed 24 September 2024, </w:t>
      </w:r>
      <w:hyperlink r:id="rId29" w:tgtFrame="_new" w:history="1">
        <w:r w:rsidRPr="00A20A82">
          <w:rPr>
            <w:rStyle w:val="Hyperlink"/>
          </w:rPr>
          <w:t>https://status.net/articles/code-of-conduct-and-ethics-what-to-include-with-examples/</w:t>
        </w:r>
      </w:hyperlink>
      <w:r w:rsidRPr="00A20A82">
        <w:t>.</w:t>
      </w:r>
    </w:p>
    <w:p w14:paraId="47F3B714" w14:textId="77777777" w:rsidR="00D222E5" w:rsidRDefault="00D222E5" w:rsidP="00D222E5">
      <w:pPr>
        <w:ind w:left="567"/>
      </w:pPr>
      <w:proofErr w:type="spellStart"/>
      <w:r w:rsidRPr="007013A8">
        <w:t>WikiHow</w:t>
      </w:r>
      <w:proofErr w:type="spellEnd"/>
      <w:r w:rsidRPr="007013A8">
        <w:t xml:space="preserve"> 2024, </w:t>
      </w:r>
      <w:r w:rsidRPr="007013A8">
        <w:rPr>
          <w:i/>
          <w:iCs/>
        </w:rPr>
        <w:t>How to develop a code of ethics</w:t>
      </w:r>
      <w:r w:rsidRPr="007013A8">
        <w:t xml:space="preserve">, viewed 24 September 2024, </w:t>
      </w:r>
      <w:hyperlink r:id="rId30" w:tgtFrame="_new" w:history="1">
        <w:r w:rsidRPr="007013A8">
          <w:rPr>
            <w:rStyle w:val="Hyperlink"/>
          </w:rPr>
          <w:t>https://www.wikihow.com/Develop-a-Code-of-Ethics</w:t>
        </w:r>
      </w:hyperlink>
      <w:r w:rsidRPr="007013A8">
        <w:t>.</w:t>
      </w:r>
    </w:p>
    <w:p w14:paraId="6BC36530" w14:textId="77777777" w:rsidR="00D222E5" w:rsidRDefault="00D222E5" w:rsidP="00D222E5">
      <w:pPr>
        <w:ind w:left="567"/>
      </w:pPr>
      <w:r w:rsidRPr="00FC3AD0">
        <w:t xml:space="preserve">National Health and Medical Research Council (NHMRC) 2018, </w:t>
      </w:r>
      <w:r w:rsidRPr="00FC3AD0">
        <w:rPr>
          <w:i/>
          <w:iCs/>
        </w:rPr>
        <w:t>Australian Code for the Responsible Conduct of Research</w:t>
      </w:r>
      <w:r w:rsidRPr="00FC3AD0">
        <w:t xml:space="preserve">, viewed 24 September 2024, </w:t>
      </w:r>
      <w:hyperlink r:id="rId31" w:tgtFrame="_new" w:history="1">
        <w:r w:rsidRPr="00FC3AD0">
          <w:rPr>
            <w:rStyle w:val="Hyperlink"/>
          </w:rPr>
          <w:t>https://www.nhmrc.gov.au/about-us/publications/australian-code-responsible-conduct-research-2018</w:t>
        </w:r>
      </w:hyperlink>
      <w:r w:rsidRPr="00FC3AD0">
        <w:t>.</w:t>
      </w:r>
    </w:p>
    <w:bookmarkEnd w:id="19"/>
    <w:p w14:paraId="31509A3C" w14:textId="4707494E" w:rsidR="001B6BD1" w:rsidRDefault="001B6BD1" w:rsidP="001B6BD1">
      <w:pPr>
        <w:rPr>
          <w:rStyle w:val="eop"/>
          <w:rFonts w:cs="Arial"/>
          <w:color w:val="1F4E79" w:themeColor="accent1" w:themeShade="80"/>
        </w:rPr>
      </w:pPr>
    </w:p>
    <w:p w14:paraId="4ED41114" w14:textId="1F6A7520" w:rsidR="006E6FF8" w:rsidRPr="008E75B9" w:rsidRDefault="00B71A8A" w:rsidP="004A4FB7">
      <w:pPr>
        <w:rPr>
          <w:rStyle w:val="eop"/>
          <w:rFonts w:cs="Arial"/>
        </w:rPr>
      </w:pPr>
      <w:r w:rsidRPr="008E75B9">
        <w:rPr>
          <w:rStyle w:val="eop"/>
          <w:rFonts w:cs="Arial"/>
        </w:rPr>
        <w:lastRenderedPageBreak/>
        <w:t>They need to engage stakeholders, employees and possible experts who are working with organization externally to learn about it and share their thoughts if they are allowed to.</w:t>
      </w:r>
      <w:r w:rsidR="008D5492" w:rsidRPr="008E75B9">
        <w:rPr>
          <w:rStyle w:val="eop"/>
          <w:rFonts w:cs="Arial"/>
        </w:rPr>
        <w:t xml:space="preserve"> </w:t>
      </w:r>
      <w:r w:rsidR="00095095" w:rsidRPr="008E75B9">
        <w:rPr>
          <w:rStyle w:val="eop"/>
          <w:rFonts w:cs="Arial"/>
        </w:rPr>
        <w:t xml:space="preserve">Communication can be good if organization invite stakeholders and </w:t>
      </w:r>
      <w:r w:rsidR="005C194D" w:rsidRPr="008E75B9">
        <w:rPr>
          <w:rStyle w:val="eop"/>
          <w:rFonts w:cs="Arial"/>
        </w:rPr>
        <w:t>employees</w:t>
      </w:r>
      <w:r w:rsidR="00095095" w:rsidRPr="008E75B9">
        <w:rPr>
          <w:rStyle w:val="eop"/>
          <w:rFonts w:cs="Arial"/>
        </w:rPr>
        <w:t xml:space="preserve"> </w:t>
      </w:r>
      <w:r w:rsidR="005C194D" w:rsidRPr="008E75B9">
        <w:rPr>
          <w:rStyle w:val="eop"/>
          <w:rFonts w:cs="Arial"/>
        </w:rPr>
        <w:t xml:space="preserve">to a </w:t>
      </w:r>
      <w:r w:rsidR="008D0D86" w:rsidRPr="008E75B9">
        <w:rPr>
          <w:rStyle w:val="eop"/>
          <w:rFonts w:cs="Arial"/>
        </w:rPr>
        <w:t>launch event or a meeting to introduce the ethical code to all of those who gathered there. In this way everyone will be involved in this process and will be informed.</w:t>
      </w:r>
      <w:r w:rsidR="001F3C3A" w:rsidRPr="008E75B9">
        <w:rPr>
          <w:rStyle w:val="eop"/>
          <w:rFonts w:cs="Arial"/>
        </w:rPr>
        <w:t xml:space="preserve"> But this is not enough and there will be a need for </w:t>
      </w:r>
      <w:r w:rsidR="00E9690F" w:rsidRPr="008E75B9">
        <w:rPr>
          <w:rStyle w:val="eop"/>
          <w:rFonts w:cs="Arial"/>
        </w:rPr>
        <w:t>reminders</w:t>
      </w:r>
      <w:r w:rsidR="001F3C3A" w:rsidRPr="008E75B9">
        <w:rPr>
          <w:rStyle w:val="eop"/>
          <w:rFonts w:cs="Arial"/>
        </w:rPr>
        <w:t xml:space="preserve">, policies need to be broadcasted by email, newsletters and posters on wall where lots of people </w:t>
      </w:r>
      <w:r w:rsidR="00E9690F" w:rsidRPr="008E75B9">
        <w:rPr>
          <w:rStyle w:val="eop"/>
          <w:rFonts w:cs="Arial"/>
        </w:rPr>
        <w:t xml:space="preserve">can see it. Moreover, there would be a need for training programs or workshops to help them understand them in better way. </w:t>
      </w:r>
    </w:p>
    <w:p w14:paraId="1AF87C1E" w14:textId="05ED9894" w:rsidR="00E9690F" w:rsidRPr="008E75B9" w:rsidRDefault="00E9690F" w:rsidP="004A4FB7">
      <w:pPr>
        <w:rPr>
          <w:rStyle w:val="eop"/>
          <w:rFonts w:cs="Arial"/>
        </w:rPr>
      </w:pPr>
      <w:r w:rsidRPr="008E75B9">
        <w:rPr>
          <w:rStyle w:val="eop"/>
          <w:rFonts w:cs="Arial"/>
        </w:rPr>
        <w:t xml:space="preserve">After this for implementing them, they need to integrate the ethical code into their existing policies and procedures on where are storing all of them. </w:t>
      </w:r>
      <w:r w:rsidR="001C1DE3" w:rsidRPr="008E75B9">
        <w:rPr>
          <w:rStyle w:val="eop"/>
          <w:rFonts w:cs="Arial"/>
        </w:rPr>
        <w:t>There should be a committee to monitor and enforce these codes.</w:t>
      </w:r>
      <w:r w:rsidR="005209B9" w:rsidRPr="008E75B9">
        <w:rPr>
          <w:rStyle w:val="eop"/>
          <w:rFonts w:cs="Arial"/>
        </w:rPr>
        <w:t xml:space="preserve"> They need to encourage, monitor and feedback for improvement.</w:t>
      </w:r>
      <w:r w:rsidR="003B18B6" w:rsidRPr="008E75B9">
        <w:rPr>
          <w:rStyle w:val="eop"/>
          <w:rFonts w:cs="Arial"/>
        </w:rPr>
        <w:t xml:space="preserve"> In this way,</w:t>
      </w:r>
      <w:r w:rsidR="003A6AA5" w:rsidRPr="008E75B9">
        <w:rPr>
          <w:rStyle w:val="eop"/>
          <w:rFonts w:cs="Arial"/>
        </w:rPr>
        <w:t xml:space="preserve"> they can find a way to revies and update codes.</w:t>
      </w:r>
    </w:p>
    <w:p w14:paraId="38A00402" w14:textId="77777777" w:rsidR="006E6FF8" w:rsidRDefault="006E6FF8" w:rsidP="00F74393">
      <w:pPr>
        <w:pStyle w:val="Heading2"/>
        <w:rPr>
          <w:rStyle w:val="eop"/>
        </w:rPr>
      </w:pPr>
      <w:bookmarkStart w:id="20" w:name="_Toc124768034"/>
      <w:r w:rsidRPr="001B6BD1">
        <w:rPr>
          <w:rStyle w:val="eop"/>
        </w:rPr>
        <w:t>7.2</w:t>
      </w:r>
      <w:r w:rsidRPr="001B6BD1">
        <w:rPr>
          <w:rStyle w:val="eop"/>
        </w:rPr>
        <w:tab/>
        <w:t>Ethical practices</w:t>
      </w:r>
      <w:r w:rsidR="001B6BD1">
        <w:rPr>
          <w:rStyle w:val="eop"/>
        </w:rPr>
        <w:t xml:space="preserve"> (this part covers both organisations)</w:t>
      </w:r>
      <w:bookmarkEnd w:id="20"/>
    </w:p>
    <w:p w14:paraId="4A83D7D5" w14:textId="77777777" w:rsidR="008E75B9" w:rsidRDefault="008E75B9" w:rsidP="008E75B9">
      <w:pPr>
        <w:pStyle w:val="ListParagraph"/>
        <w:numPr>
          <w:ilvl w:val="0"/>
          <w:numId w:val="52"/>
        </w:numPr>
      </w:pPr>
      <w:r>
        <w:t xml:space="preserve">Cobalt Strike </w:t>
      </w:r>
    </w:p>
    <w:p w14:paraId="3EFBD4FB" w14:textId="77777777" w:rsidR="008E75B9" w:rsidRDefault="008E75B9" w:rsidP="008E75B9">
      <w:pPr>
        <w:ind w:left="360"/>
      </w:pPr>
      <w:r>
        <w:t>It is good tool to simulate advanced attacks. It has got features like deploying payloads and establishing command and control channels.</w:t>
      </w:r>
    </w:p>
    <w:p w14:paraId="5E26696A" w14:textId="77777777" w:rsidR="008E75B9" w:rsidRDefault="008E75B9" w:rsidP="008E75B9">
      <w:pPr>
        <w:pStyle w:val="ListParagraph"/>
        <w:numPr>
          <w:ilvl w:val="0"/>
          <w:numId w:val="52"/>
        </w:numPr>
      </w:pPr>
      <w:proofErr w:type="spellStart"/>
      <w:r>
        <w:t>BloodHound</w:t>
      </w:r>
      <w:proofErr w:type="spellEnd"/>
      <w:r>
        <w:t>:</w:t>
      </w:r>
    </w:p>
    <w:p w14:paraId="02A6E53F" w14:textId="77777777" w:rsidR="008E75B9" w:rsidRDefault="008E75B9" w:rsidP="008E75B9">
      <w:pPr>
        <w:pStyle w:val="ListParagraph"/>
      </w:pPr>
      <w:r>
        <w:t>It is a tool for creating a map and visualizing the organization’s active devices and other facilities. It can aid organisation to identify potential attack paths in their environment. Red teams can use it to recognize relationships and permissions in Active directory which can be exploited.</w:t>
      </w:r>
    </w:p>
    <w:p w14:paraId="57B55E47" w14:textId="77777777" w:rsidR="008E75B9" w:rsidRDefault="008E75B9" w:rsidP="008E75B9">
      <w:pPr>
        <w:pStyle w:val="ListParagraph"/>
        <w:numPr>
          <w:ilvl w:val="0"/>
          <w:numId w:val="52"/>
        </w:numPr>
      </w:pPr>
      <w:r>
        <w:t>Empire :</w:t>
      </w:r>
    </w:p>
    <w:p w14:paraId="63EEB311" w14:textId="77777777" w:rsidR="008E75B9" w:rsidRDefault="008E75B9" w:rsidP="008E75B9">
      <w:pPr>
        <w:pStyle w:val="ListParagraph"/>
      </w:pPr>
      <w:r>
        <w:t>It is a framework that uses PowerShell and Python agents to make a platform for maintaining access to compromised systems. They can use it to execute commands, gather information and maintain their presence on compromised systems.</w:t>
      </w:r>
    </w:p>
    <w:p w14:paraId="57588BE2" w14:textId="77777777" w:rsidR="008E75B9" w:rsidRDefault="008E75B9" w:rsidP="008E75B9">
      <w:pPr>
        <w:pStyle w:val="ListParagraph"/>
        <w:numPr>
          <w:ilvl w:val="0"/>
          <w:numId w:val="52"/>
        </w:numPr>
      </w:pPr>
      <w:r>
        <w:t>Social Engineer Toolkit or SET:</w:t>
      </w:r>
    </w:p>
    <w:p w14:paraId="7AFB4ED7" w14:textId="77777777" w:rsidR="008E75B9" w:rsidRDefault="008E75B9" w:rsidP="008E75B9">
      <w:pPr>
        <w:pStyle w:val="ListParagraph"/>
      </w:pPr>
      <w:r>
        <w:t>It is a toolkit designed for creating and running social engineering attacks. These attacks can be phishing emails and downloads from malicious websites. Red team can use it to trick users to reveal sensitive information or executing malicious payloads.</w:t>
      </w:r>
    </w:p>
    <w:p w14:paraId="160C83F8" w14:textId="77777777" w:rsidR="008E75B9" w:rsidRDefault="008E75B9" w:rsidP="008E75B9">
      <w:pPr>
        <w:pStyle w:val="ListParagraph"/>
      </w:pPr>
    </w:p>
    <w:p w14:paraId="792F904A" w14:textId="77777777" w:rsidR="008E75B9" w:rsidRDefault="008E75B9" w:rsidP="008E75B9">
      <w:pPr>
        <w:pStyle w:val="ListParagraph"/>
      </w:pPr>
      <w:proofErr w:type="spellStart"/>
      <w:r w:rsidRPr="00F52E00">
        <w:t>SentinelOne</w:t>
      </w:r>
      <w:proofErr w:type="spellEnd"/>
      <w:r w:rsidRPr="00F52E00">
        <w:t xml:space="preserve"> 2024, </w:t>
      </w:r>
      <w:r w:rsidRPr="00F52E00">
        <w:rPr>
          <w:i/>
          <w:iCs/>
        </w:rPr>
        <w:t>What is Cobalt Strike?</w:t>
      </w:r>
      <w:r w:rsidRPr="00F52E00">
        <w:t xml:space="preserve">, viewed 24 September 2024, </w:t>
      </w:r>
      <w:hyperlink r:id="rId32" w:history="1">
        <w:r w:rsidRPr="003535D4">
          <w:rPr>
            <w:rStyle w:val="Hyperlink"/>
          </w:rPr>
          <w:t>https://www.sentinelone.com/cybersecurity-101/threat-intelligence/what-is-cobalt-strike/</w:t>
        </w:r>
      </w:hyperlink>
      <w:r w:rsidRPr="00F52E00">
        <w:t>.</w:t>
      </w:r>
    </w:p>
    <w:p w14:paraId="30BF66DD" w14:textId="77777777" w:rsidR="008E75B9" w:rsidRDefault="008E75B9" w:rsidP="008E75B9">
      <w:pPr>
        <w:pStyle w:val="ListParagraph"/>
      </w:pPr>
    </w:p>
    <w:p w14:paraId="39D9E90D" w14:textId="77777777" w:rsidR="008E75B9" w:rsidRDefault="008E75B9" w:rsidP="008E75B9">
      <w:r w:rsidRPr="00F52E00">
        <w:t xml:space="preserve">Pentest Partners 2024, </w:t>
      </w:r>
      <w:proofErr w:type="spellStart"/>
      <w:r w:rsidRPr="00F52E00">
        <w:rPr>
          <w:i/>
          <w:iCs/>
        </w:rPr>
        <w:t>BloodHound</w:t>
      </w:r>
      <w:proofErr w:type="spellEnd"/>
      <w:r w:rsidRPr="00F52E00">
        <w:rPr>
          <w:i/>
          <w:iCs/>
        </w:rPr>
        <w:t xml:space="preserve"> walkthrough: A tool for many tradecrafts</w:t>
      </w:r>
      <w:r w:rsidRPr="00F52E00">
        <w:t xml:space="preserve">, viewed 24 September 2024, </w:t>
      </w:r>
      <w:hyperlink r:id="rId33" w:tgtFrame="_new" w:history="1">
        <w:r w:rsidRPr="00F52E00">
          <w:rPr>
            <w:rStyle w:val="Hyperlink"/>
          </w:rPr>
          <w:t>https://www.pentestpartners.com/security-blog/bloodhound-walkthrough-a-tool-for-many-tradecrafts/</w:t>
        </w:r>
      </w:hyperlink>
      <w:r w:rsidRPr="00F52E00">
        <w:t>.</w:t>
      </w:r>
    </w:p>
    <w:p w14:paraId="77CE7D79" w14:textId="77777777" w:rsidR="008E75B9" w:rsidRDefault="008E75B9" w:rsidP="008E75B9">
      <w:r w:rsidRPr="00F52E00">
        <w:lastRenderedPageBreak/>
        <w:t xml:space="preserve">Alpine Security 2024, </w:t>
      </w:r>
      <w:r w:rsidRPr="00F52E00">
        <w:rPr>
          <w:i/>
          <w:iCs/>
        </w:rPr>
        <w:t>Empire: A PowerShell post-exploitation tool</w:t>
      </w:r>
      <w:r w:rsidRPr="00F52E00">
        <w:t xml:space="preserve">, viewed 24 September 2024, </w:t>
      </w:r>
      <w:hyperlink r:id="rId34" w:tgtFrame="_new" w:history="1">
        <w:r w:rsidRPr="00F52E00">
          <w:rPr>
            <w:rStyle w:val="Hyperlink"/>
          </w:rPr>
          <w:t>https://www.alpinesecurity.com/blog/empire-a-powershell-post-exploitation-tool/</w:t>
        </w:r>
      </w:hyperlink>
      <w:r w:rsidRPr="00F52E00">
        <w:t>.</w:t>
      </w:r>
    </w:p>
    <w:p w14:paraId="47B07E6C" w14:textId="77777777" w:rsidR="008E75B9" w:rsidRDefault="008E75B9" w:rsidP="008E75B9"/>
    <w:p w14:paraId="58EECBA0" w14:textId="77777777" w:rsidR="008E75B9" w:rsidRDefault="008E75B9" w:rsidP="008E75B9">
      <w:r w:rsidRPr="00121D38">
        <w:t xml:space="preserve">Kali Linux Tutorials 2024, </w:t>
      </w:r>
      <w:r w:rsidRPr="00121D38">
        <w:rPr>
          <w:i/>
          <w:iCs/>
        </w:rPr>
        <w:t>Social Engineering Toolkit tutorial</w:t>
      </w:r>
      <w:r w:rsidRPr="00121D38">
        <w:t xml:space="preserve">, viewed 24 September 2024, </w:t>
      </w:r>
      <w:hyperlink r:id="rId35" w:tgtFrame="_new" w:history="1">
        <w:r w:rsidRPr="00121D38">
          <w:rPr>
            <w:rStyle w:val="Hyperlink"/>
          </w:rPr>
          <w:t>https://kalilinuxtutorials.com/social-engineering-toolkit-tutorial/</w:t>
        </w:r>
      </w:hyperlink>
      <w:r w:rsidRPr="00121D38">
        <w:t>.</w:t>
      </w:r>
    </w:p>
    <w:p w14:paraId="5C06A386" w14:textId="77777777" w:rsidR="008E75B9" w:rsidRDefault="008E75B9" w:rsidP="008E75B9"/>
    <w:p w14:paraId="5CB9795A" w14:textId="7781D2E0" w:rsidR="001B6BD1" w:rsidRPr="001B6BD1" w:rsidRDefault="001B6BD1" w:rsidP="008E75B9">
      <w:pPr>
        <w:rPr>
          <w:color w:val="1F4E79" w:themeColor="accent1" w:themeShade="80"/>
        </w:rPr>
      </w:pPr>
    </w:p>
    <w:p w14:paraId="0AFA7860" w14:textId="77777777" w:rsidR="008E75B9" w:rsidRDefault="008E75B9" w:rsidP="008E75B9">
      <w:pPr>
        <w:pStyle w:val="ListParagraph"/>
        <w:numPr>
          <w:ilvl w:val="0"/>
          <w:numId w:val="53"/>
        </w:numPr>
      </w:pPr>
      <w:r>
        <w:t>OSSEC:</w:t>
      </w:r>
    </w:p>
    <w:p w14:paraId="45E8B578" w14:textId="77777777" w:rsidR="008E75B9" w:rsidRDefault="008E75B9" w:rsidP="008E75B9">
      <w:pPr>
        <w:pStyle w:val="ListParagraph"/>
        <w:ind w:left="1080"/>
      </w:pPr>
      <w:r>
        <w:t xml:space="preserve">It is an open-source Intrusion Detection System which is able to monitor and analyse system activity for signs of abnormal behaviour. It can provide log analysis, integrity checking, detecting rootkit, and alerting in case of incident. </w:t>
      </w:r>
    </w:p>
    <w:p w14:paraId="0B869816" w14:textId="77777777" w:rsidR="008E75B9" w:rsidRDefault="008E75B9" w:rsidP="008E75B9">
      <w:pPr>
        <w:pStyle w:val="ListParagraph"/>
        <w:numPr>
          <w:ilvl w:val="0"/>
          <w:numId w:val="53"/>
        </w:numPr>
      </w:pPr>
      <w:r>
        <w:t>Bro (Zeek):</w:t>
      </w:r>
    </w:p>
    <w:p w14:paraId="45852F27" w14:textId="77777777" w:rsidR="008E75B9" w:rsidRDefault="008E75B9" w:rsidP="008E75B9">
      <w:pPr>
        <w:pStyle w:val="ListParagraph"/>
        <w:ind w:left="1080"/>
      </w:pPr>
      <w:r>
        <w:t>It is an open-source network security monitoring tool. It supports a wide range of traffic analysis tasks. It can perform performance measurement and troubleshooting.</w:t>
      </w:r>
    </w:p>
    <w:p w14:paraId="216EB69F" w14:textId="77777777" w:rsidR="008E75B9" w:rsidRDefault="008E75B9" w:rsidP="008E75B9">
      <w:pPr>
        <w:pStyle w:val="ListParagraph"/>
        <w:numPr>
          <w:ilvl w:val="0"/>
          <w:numId w:val="53"/>
        </w:numPr>
      </w:pPr>
      <w:r>
        <w:t>Kibana:</w:t>
      </w:r>
    </w:p>
    <w:p w14:paraId="2F60C83B" w14:textId="77777777" w:rsidR="008E75B9" w:rsidRDefault="008E75B9" w:rsidP="008E75B9">
      <w:pPr>
        <w:pStyle w:val="ListParagraph"/>
        <w:ind w:left="1080"/>
      </w:pPr>
      <w:r>
        <w:t xml:space="preserve">Kibana act as data visualization and exploration tool.  It can help </w:t>
      </w:r>
      <w:proofErr w:type="gramStart"/>
      <w:r>
        <w:t>Blue</w:t>
      </w:r>
      <w:proofErr w:type="gramEnd"/>
      <w:r>
        <w:t xml:space="preserve"> team in visualizing and analysing security data, creating dashboards, and finally exporting reports for  making decision in a better manner.</w:t>
      </w:r>
    </w:p>
    <w:p w14:paraId="2EEE4A70" w14:textId="77777777" w:rsidR="008E75B9" w:rsidRDefault="008E75B9" w:rsidP="008E75B9">
      <w:pPr>
        <w:pStyle w:val="ListParagraph"/>
        <w:numPr>
          <w:ilvl w:val="0"/>
          <w:numId w:val="53"/>
        </w:numPr>
      </w:pPr>
      <w:proofErr w:type="spellStart"/>
      <w:r>
        <w:t>Maltego</w:t>
      </w:r>
      <w:proofErr w:type="spellEnd"/>
      <w:r>
        <w:t>:</w:t>
      </w:r>
    </w:p>
    <w:p w14:paraId="06AA7DB6" w14:textId="77777777" w:rsidR="008E75B9" w:rsidRDefault="008E75B9" w:rsidP="008E75B9">
      <w:pPr>
        <w:pStyle w:val="ListParagraph"/>
        <w:ind w:left="1080"/>
      </w:pPr>
      <w:r>
        <w:t>It is a very genesis platform which is able to provide data mining and link analysis capabilities. The Blue team can generate a map for relationships among departments, such as IP addresses, domain names, and social profiles to reveal potential threats and any attack vectors or actors.</w:t>
      </w:r>
    </w:p>
    <w:p w14:paraId="55A56C7C" w14:textId="77777777" w:rsidR="008E75B9" w:rsidRDefault="008E75B9" w:rsidP="008E75B9">
      <w:pPr>
        <w:pStyle w:val="ListParagraph"/>
        <w:ind w:left="1080"/>
      </w:pPr>
    </w:p>
    <w:p w14:paraId="463FA1D2" w14:textId="77777777" w:rsidR="008E75B9" w:rsidRDefault="008E75B9" w:rsidP="008E75B9">
      <w:pPr>
        <w:pStyle w:val="ListParagraph"/>
        <w:ind w:left="1080"/>
      </w:pPr>
      <w:r w:rsidRPr="008F3193">
        <w:t xml:space="preserve">OSSEC 2023, </w:t>
      </w:r>
      <w:r w:rsidRPr="008F3193">
        <w:rPr>
          <w:i/>
          <w:iCs/>
        </w:rPr>
        <w:t>Documentation</w:t>
      </w:r>
      <w:r w:rsidRPr="008F3193">
        <w:t xml:space="preserve">, viewed 24 September 2024, </w:t>
      </w:r>
      <w:hyperlink r:id="rId36" w:tgtFrame="_new" w:history="1">
        <w:r w:rsidRPr="008F3193">
          <w:rPr>
            <w:rStyle w:val="Hyperlink"/>
          </w:rPr>
          <w:t>https://www.ossec.net/docs/</w:t>
        </w:r>
      </w:hyperlink>
      <w:r w:rsidRPr="008F3193">
        <w:t>.</w:t>
      </w:r>
    </w:p>
    <w:p w14:paraId="122FC7CA" w14:textId="77777777" w:rsidR="008E75B9" w:rsidRDefault="008E75B9" w:rsidP="008E75B9">
      <w:pPr>
        <w:pStyle w:val="ListParagraph"/>
        <w:ind w:left="1080"/>
      </w:pPr>
    </w:p>
    <w:p w14:paraId="4E104355" w14:textId="77777777" w:rsidR="008E75B9" w:rsidRDefault="008E75B9" w:rsidP="008E75B9">
      <w:pPr>
        <w:pStyle w:val="ListParagraph"/>
        <w:ind w:left="1080"/>
      </w:pPr>
      <w:r w:rsidRPr="008F3193">
        <w:t xml:space="preserve">Zeek 2023, </w:t>
      </w:r>
      <w:r w:rsidRPr="008F3193">
        <w:rPr>
          <w:i/>
          <w:iCs/>
        </w:rPr>
        <w:t>Quick start guide</w:t>
      </w:r>
      <w:r w:rsidRPr="008F3193">
        <w:t xml:space="preserve">, viewed 24 September 2024, </w:t>
      </w:r>
      <w:hyperlink r:id="rId37" w:tgtFrame="_new" w:history="1">
        <w:r w:rsidRPr="008F3193">
          <w:rPr>
            <w:rStyle w:val="Hyperlink"/>
          </w:rPr>
          <w:t>https://docs.zeek.org/en/master/quickstart.html</w:t>
        </w:r>
      </w:hyperlink>
      <w:r w:rsidRPr="008F3193">
        <w:t>.</w:t>
      </w:r>
    </w:p>
    <w:p w14:paraId="60F4017F" w14:textId="77777777" w:rsidR="008E75B9" w:rsidRDefault="008E75B9" w:rsidP="008E75B9">
      <w:pPr>
        <w:pStyle w:val="ListParagraph"/>
        <w:ind w:left="1080"/>
      </w:pPr>
    </w:p>
    <w:p w14:paraId="0BEA5B61" w14:textId="77777777" w:rsidR="008E75B9" w:rsidRDefault="008E75B9" w:rsidP="008E75B9">
      <w:pPr>
        <w:pStyle w:val="ListParagraph"/>
        <w:ind w:left="1080"/>
      </w:pPr>
      <w:r w:rsidRPr="008F3193">
        <w:t xml:space="preserve">Elastic 2024, </w:t>
      </w:r>
      <w:r w:rsidRPr="008F3193">
        <w:rPr>
          <w:i/>
          <w:iCs/>
        </w:rPr>
        <w:t>Kibana User Guide</w:t>
      </w:r>
      <w:r w:rsidRPr="008F3193">
        <w:t xml:space="preserve">, viewed 24 September 2024, </w:t>
      </w:r>
      <w:hyperlink r:id="rId38" w:tgtFrame="_new" w:history="1">
        <w:r w:rsidRPr="008F3193">
          <w:rPr>
            <w:rStyle w:val="Hyperlink"/>
          </w:rPr>
          <w:t>https://www.elastic.co/guide/en/kibana/current/index.html</w:t>
        </w:r>
      </w:hyperlink>
      <w:r w:rsidRPr="008F3193">
        <w:t>.</w:t>
      </w:r>
    </w:p>
    <w:p w14:paraId="38C03D7A" w14:textId="77777777" w:rsidR="008E75B9" w:rsidRDefault="008E75B9" w:rsidP="008E75B9">
      <w:pPr>
        <w:pStyle w:val="ListParagraph"/>
        <w:ind w:left="1080"/>
      </w:pPr>
    </w:p>
    <w:p w14:paraId="420355B9" w14:textId="77777777" w:rsidR="008E75B9" w:rsidRDefault="008E75B9" w:rsidP="008E75B9">
      <w:pPr>
        <w:pStyle w:val="ListParagraph"/>
        <w:ind w:left="1080"/>
      </w:pPr>
      <w:proofErr w:type="spellStart"/>
      <w:r w:rsidRPr="008F3193">
        <w:t>Stationzilla</w:t>
      </w:r>
      <w:proofErr w:type="spellEnd"/>
      <w:r w:rsidRPr="008F3193">
        <w:t xml:space="preserve"> 2024, </w:t>
      </w:r>
      <w:r w:rsidRPr="008F3193">
        <w:rPr>
          <w:i/>
          <w:iCs/>
        </w:rPr>
        <w:t xml:space="preserve">How to use </w:t>
      </w:r>
      <w:proofErr w:type="spellStart"/>
      <w:r w:rsidRPr="008F3193">
        <w:rPr>
          <w:i/>
          <w:iCs/>
        </w:rPr>
        <w:t>Maltego</w:t>
      </w:r>
      <w:proofErr w:type="spellEnd"/>
      <w:r w:rsidRPr="008F3193">
        <w:t xml:space="preserve">, viewed 24 September 2024, </w:t>
      </w:r>
      <w:hyperlink r:id="rId39" w:tgtFrame="_new" w:history="1">
        <w:r w:rsidRPr="008F3193">
          <w:rPr>
            <w:rStyle w:val="Hyperlink"/>
          </w:rPr>
          <w:t>https://www.stationx.net/how-to-use-maltego/</w:t>
        </w:r>
      </w:hyperlink>
      <w:r w:rsidRPr="008F3193">
        <w:t>.</w:t>
      </w:r>
    </w:p>
    <w:p w14:paraId="14FC8356" w14:textId="77777777" w:rsidR="008E75B9" w:rsidRPr="008E75B9" w:rsidRDefault="008E75B9" w:rsidP="008E75B9">
      <w:pPr>
        <w:pStyle w:val="ListParagraph"/>
        <w:ind w:left="1080"/>
      </w:pPr>
    </w:p>
    <w:p w14:paraId="7057A797" w14:textId="77777777" w:rsidR="008E75B9" w:rsidRPr="008E75B9" w:rsidRDefault="008E75B9" w:rsidP="008E75B9">
      <w:r w:rsidRPr="008E75B9">
        <w:t xml:space="preserve">Both Red team and </w:t>
      </w:r>
      <w:proofErr w:type="gramStart"/>
      <w:r w:rsidRPr="008E75B9">
        <w:t>Blue</w:t>
      </w:r>
      <w:proofErr w:type="gramEnd"/>
      <w:r w:rsidRPr="008E75B9">
        <w:t xml:space="preserve"> team in both organizations need to assure all the mentioned activities comply with relevant laws and regulations. They both need to inform all </w:t>
      </w:r>
      <w:r w:rsidRPr="008E75B9">
        <w:lastRenderedPageBreak/>
        <w:t>departments involved regarding tests. They need to seek permission from the head office and all stakeholders associated before starting activity. They need to avoid accessing, collecting or disclosing sensitive information during tests in this way they can protect the privacy of individuals and organizations. They need to minimizing impact on organisation preventing harm to the performance of the devices. Finally, they need to keep all findings and sensitive information confidential by sharing them only with authorized personnel.</w:t>
      </w:r>
    </w:p>
    <w:p w14:paraId="6DC538A7" w14:textId="77777777" w:rsidR="008E75B9" w:rsidRPr="008E75B9" w:rsidRDefault="008E75B9" w:rsidP="008E75B9">
      <w:proofErr w:type="spellStart"/>
      <w:r w:rsidRPr="008E75B9">
        <w:t>SentinelOne</w:t>
      </w:r>
      <w:proofErr w:type="spellEnd"/>
      <w:r w:rsidRPr="008E75B9">
        <w:t xml:space="preserve"> 2024, The realm of ethical hacking: Red, blue, and purple teaming explained, viewed 24 September 2024, https://www.sentinelone.com/blog/the-realm-of-ethical-hacking-red-blue-purple-teaming-explained/.</w:t>
      </w:r>
    </w:p>
    <w:p w14:paraId="421B45B2" w14:textId="77777777" w:rsidR="008E75B9" w:rsidRPr="008E75B9" w:rsidRDefault="008E75B9" w:rsidP="008E75B9"/>
    <w:p w14:paraId="2B4D8E37" w14:textId="77777777" w:rsidR="008E75B9" w:rsidRPr="008E75B9" w:rsidRDefault="008E75B9" w:rsidP="008E75B9">
      <w:r w:rsidRPr="008E75B9">
        <w:t>CSO Online 2024, Best tools for red and blue teams: Methodology and experience, viewed 24 September 2024, https://www.csoonline.com/article/558313/best-tools-for-red-and-blue-teams-are-methodology-experience.html.</w:t>
      </w:r>
    </w:p>
    <w:p w14:paraId="59559192" w14:textId="77777777" w:rsidR="008E75B9" w:rsidRPr="008E75B9" w:rsidRDefault="008E75B9" w:rsidP="008E75B9">
      <w:pPr>
        <w:rPr>
          <w:color w:val="1F4E79" w:themeColor="accent1" w:themeShade="80"/>
        </w:rPr>
      </w:pPr>
    </w:p>
    <w:p w14:paraId="7B0950DD" w14:textId="7D35C8D8" w:rsidR="00842385" w:rsidRDefault="00842385" w:rsidP="001B6BD1">
      <w:pPr>
        <w:rPr>
          <w:color w:val="1F4E79" w:themeColor="accent1" w:themeShade="80"/>
        </w:rPr>
      </w:pPr>
      <w:r>
        <w:rPr>
          <w:color w:val="1F4E79" w:themeColor="accent1" w:themeShade="80"/>
        </w:rPr>
        <w:br w:type="page"/>
      </w:r>
    </w:p>
    <w:p w14:paraId="0CF5C35F" w14:textId="3272F286" w:rsidR="00D72786" w:rsidRPr="00D72786" w:rsidRDefault="00D72786" w:rsidP="00D72786">
      <w:r>
        <w:lastRenderedPageBreak/>
        <w:t>A)</w:t>
      </w:r>
    </w:p>
    <w:p w14:paraId="4B54CC3B" w14:textId="77777777" w:rsidR="00D72786" w:rsidRPr="00D72786" w:rsidRDefault="00D72786" w:rsidP="00D72786">
      <w:r w:rsidRPr="00D72786">
        <w:t>Both organizations, can face legal charges. Their employees can receive fines and penalties. If they commit serious offences can face imprisonment. Their information can be exposed which can result in identity theft, financial fraud, and other malicious activities. If data breaches happen, the trust between organization, stakeholders and customers will be lost. (loss of reputation)</w:t>
      </w:r>
    </w:p>
    <w:p w14:paraId="0F2BE088" w14:textId="77777777" w:rsidR="00D72786" w:rsidRPr="00D72786" w:rsidRDefault="00D72786" w:rsidP="00D72786">
      <w:r w:rsidRPr="00D72786">
        <w:t>TechCrunch 2020, Red team, ethical limits, viewed 24 September 2024, https://techcrunch.com/2020/02/02/red-team-ethical-limits/.</w:t>
      </w:r>
    </w:p>
    <w:p w14:paraId="215186DE" w14:textId="77777777" w:rsidR="00D72786" w:rsidRPr="00D72786" w:rsidRDefault="00D72786" w:rsidP="00D72786">
      <w:r w:rsidRPr="00D72786">
        <w:t>Data Space Academy 2024, Red team vs. blue team: Understanding key differences and skills, viewed 24 September 2024, https://blog.dataspaceacademy.com/red-team-vs-blue-team-understanding-key-differences-skills/.</w:t>
      </w:r>
    </w:p>
    <w:p w14:paraId="4FAFB4BC" w14:textId="77777777" w:rsidR="00D72786" w:rsidRPr="00D72786" w:rsidRDefault="00D72786" w:rsidP="00D72786"/>
    <w:p w14:paraId="22B57215" w14:textId="4B9F5787" w:rsidR="00D72786" w:rsidRPr="00D72786" w:rsidRDefault="00D72786" w:rsidP="00D72786">
      <w:r>
        <w:t xml:space="preserve">B) </w:t>
      </w:r>
    </w:p>
    <w:p w14:paraId="25E644AE" w14:textId="77777777" w:rsidR="00D72786" w:rsidRPr="00D72786" w:rsidRDefault="00D72786" w:rsidP="00D72786">
      <w:r w:rsidRPr="00D72786">
        <w:t xml:space="preserve">While both Blue team and </w:t>
      </w:r>
      <w:proofErr w:type="gramStart"/>
      <w:r w:rsidRPr="00D72786">
        <w:t>Red</w:t>
      </w:r>
      <w:proofErr w:type="gramEnd"/>
      <w:r w:rsidRPr="00D72786">
        <w:t xml:space="preserve"> team are performing tests, they need to get permission before accessing networking facilities like the router. If they have unauthorized access to the network routers, they may face criminal charges, fines, and penalties.  This can lead to exposure of sensitive data, like financial data or other type of data. This can lead to damage the router by deleting some configuration. This can lead to the service being disrupted. This can lead to unauthorized changes. The organization also will face reputational damage. </w:t>
      </w:r>
    </w:p>
    <w:p w14:paraId="0DE591C5" w14:textId="77777777" w:rsidR="00D72786" w:rsidRPr="00D72786" w:rsidRDefault="00D72786" w:rsidP="00D72786">
      <w:r w:rsidRPr="00D72786">
        <w:t>Norton 2024, How to tell if someone hacked your router, viewed 24 September 2024, https://us.norton.com/blog/privacy/how-to-tell-if-someone-hacked-your-router.</w:t>
      </w:r>
    </w:p>
    <w:p w14:paraId="3B15DBC7" w14:textId="77777777" w:rsidR="00D72786" w:rsidRPr="00D72786" w:rsidRDefault="00D72786" w:rsidP="00D72786">
      <w:r w:rsidRPr="00D72786">
        <w:t xml:space="preserve">RouterSecurity.org 2024, What can go </w:t>
      </w:r>
      <w:proofErr w:type="gramStart"/>
      <w:r w:rsidRPr="00D72786">
        <w:t>wrong?,</w:t>
      </w:r>
      <w:proofErr w:type="gramEnd"/>
      <w:r w:rsidRPr="00D72786">
        <w:t xml:space="preserve"> viewed 24 September 2024, https://routersecurity.org/whatcangowrong.php.</w:t>
      </w:r>
    </w:p>
    <w:p w14:paraId="509D3763" w14:textId="77777777" w:rsidR="00D72786" w:rsidRPr="00D72786" w:rsidRDefault="00D72786" w:rsidP="00D72786"/>
    <w:p w14:paraId="3A629F7E" w14:textId="77777777" w:rsidR="00D72786" w:rsidRPr="00D72786" w:rsidRDefault="00D72786" w:rsidP="00D72786"/>
    <w:p w14:paraId="748D6608" w14:textId="77777777" w:rsidR="00D72786" w:rsidRPr="00D72786" w:rsidRDefault="00D72786" w:rsidP="00D72786"/>
    <w:p w14:paraId="6F904920" w14:textId="77777777" w:rsidR="00D72786" w:rsidRPr="00D72786" w:rsidRDefault="00D72786" w:rsidP="00D72786">
      <w:r w:rsidRPr="00D72786">
        <w:t>c)</w:t>
      </w:r>
      <w:r w:rsidRPr="00D72786">
        <w:tab/>
        <w:t>Outline the consequences of bypassing copyright media and applications obtained via file sharing or downloading</w:t>
      </w:r>
    </w:p>
    <w:p w14:paraId="0D523329" w14:textId="77777777" w:rsidR="00D72786" w:rsidRPr="00D72786" w:rsidRDefault="00D72786" w:rsidP="00D72786">
      <w:r w:rsidRPr="00D72786">
        <w:t xml:space="preserve">Bypassing media and application which is subject to the copyright, can have serious legal, financial, consequences.  They can face civil penalties. </w:t>
      </w:r>
      <w:proofErr w:type="gramStart"/>
      <w:r w:rsidRPr="00D72786">
        <w:t>Those  are</w:t>
      </w:r>
      <w:proofErr w:type="gramEnd"/>
      <w:r w:rsidRPr="00D72786">
        <w:t xml:space="preserve"> holding copyright can ask money for possible damage. There is also imprisonment sometimes. Sometimes, the criminal need to pay fees and other costs associate with copy right holder presence in court.</w:t>
      </w:r>
    </w:p>
    <w:p w14:paraId="258159FA" w14:textId="77777777" w:rsidR="00D72786" w:rsidRPr="00D72786" w:rsidRDefault="00D72786" w:rsidP="00D72786">
      <w:r w:rsidRPr="00D72786">
        <w:lastRenderedPageBreak/>
        <w:t xml:space="preserve">University of California, Santa Cruz (UCSC) 2024, File sharing security, viewed 24 September 2024, https://its.ucsc.edu/security/filesharing.html. </w:t>
      </w:r>
    </w:p>
    <w:p w14:paraId="6E659A7E" w14:textId="77777777" w:rsidR="00D72786" w:rsidRPr="00D72786" w:rsidRDefault="00D72786" w:rsidP="00D72786"/>
    <w:p w14:paraId="4AE4C956" w14:textId="77777777" w:rsidR="00D72786" w:rsidRPr="00D72786" w:rsidRDefault="00D72786" w:rsidP="00D72786">
      <w:r w:rsidRPr="00D72786">
        <w:t>North Carolina State University (NCSU) 2020, University warns against illegal peer-to-peer file sharing, viewed 24 September 2024, https://oit.ncsu.edu/2020/09/15/university-warns-against-illegal-peer-to-peer-file-sharing/.  </w:t>
      </w:r>
    </w:p>
    <w:p w14:paraId="5E5ADF65" w14:textId="77777777" w:rsidR="00713D98" w:rsidRPr="00713D98" w:rsidRDefault="00713D98" w:rsidP="00713D98">
      <w:r w:rsidRPr="00713D98">
        <w:t>1.</w:t>
      </w:r>
      <w:r w:rsidRPr="00713D98">
        <w:tab/>
        <w:t>Unauthorized Data Access</w:t>
      </w:r>
    </w:p>
    <w:p w14:paraId="5F390CDE" w14:textId="77777777" w:rsidR="00713D98" w:rsidRPr="00713D98" w:rsidRDefault="00713D98" w:rsidP="00713D98">
      <w:r w:rsidRPr="00713D98">
        <w:t xml:space="preserve">This can result in data breaches, loss of reputation and possible legal consequences. This can harm organization itself and individuals interacting with organization directly and indirectly. </w:t>
      </w:r>
    </w:p>
    <w:p w14:paraId="2AAF7F0F" w14:textId="77777777" w:rsidR="00713D98" w:rsidRPr="00713D98" w:rsidRDefault="00713D98" w:rsidP="00713D98">
      <w:r w:rsidRPr="00713D98">
        <w:t>2.</w:t>
      </w:r>
      <w:r w:rsidRPr="00713D98">
        <w:tab/>
        <w:t>Installing Backdoors</w:t>
      </w:r>
    </w:p>
    <w:p w14:paraId="29AA3732" w14:textId="77777777" w:rsidR="00713D98" w:rsidRPr="00713D98" w:rsidRDefault="00713D98" w:rsidP="00713D98">
      <w:r w:rsidRPr="00713D98">
        <w:t xml:space="preserve">Sometimes, technician install backdoors on purpose to gain unauthorized access to ends for malicious purposes. This can result in data breaches, system compromises, and potential financial losses. </w:t>
      </w:r>
    </w:p>
    <w:p w14:paraId="02143D5A" w14:textId="77777777" w:rsidR="00713D98" w:rsidRPr="00713D98" w:rsidRDefault="00713D98" w:rsidP="00713D98">
      <w:r w:rsidRPr="00713D98">
        <w:t>3.</w:t>
      </w:r>
      <w:r w:rsidRPr="00713D98">
        <w:tab/>
        <w:t>Manipulating Logs and Audit Trails</w:t>
      </w:r>
    </w:p>
    <w:p w14:paraId="5D826469" w14:textId="77777777" w:rsidR="00713D98" w:rsidRPr="00713D98" w:rsidRDefault="00713D98" w:rsidP="00713D98">
      <w:r w:rsidRPr="00713D98">
        <w:t xml:space="preserve">A staff can alter or change logs to cover up unauthorized </w:t>
      </w:r>
      <w:proofErr w:type="gramStart"/>
      <w:r w:rsidRPr="00713D98">
        <w:t>activities .</w:t>
      </w:r>
      <w:proofErr w:type="gramEnd"/>
      <w:r w:rsidRPr="00713D98">
        <w:t xml:space="preserve"> This can damage the organization’s ability when it comes to detect and respond to the security incidents. </w:t>
      </w:r>
    </w:p>
    <w:p w14:paraId="6E52EB42" w14:textId="77777777" w:rsidR="00713D98" w:rsidRPr="00713D98" w:rsidRDefault="00713D98" w:rsidP="00713D98">
      <w:r w:rsidRPr="00713D98">
        <w:t>4.</w:t>
      </w:r>
      <w:r w:rsidRPr="00713D98">
        <w:tab/>
        <w:t>Sharing Confidential Information</w:t>
      </w:r>
    </w:p>
    <w:p w14:paraId="0236E44E" w14:textId="7E182F05" w:rsidR="001B6BD1" w:rsidRPr="00713D98" w:rsidRDefault="00713D98" w:rsidP="00713D98">
      <w:r w:rsidRPr="00713D98">
        <w:t xml:space="preserve">A staff can share confidential information, such as information on </w:t>
      </w:r>
      <w:proofErr w:type="gramStart"/>
      <w:r w:rsidRPr="00713D98">
        <w:t>vulnerabilities  in</w:t>
      </w:r>
      <w:proofErr w:type="gramEnd"/>
      <w:r w:rsidRPr="00713D98">
        <w:t xml:space="preserve"> security, the organization has faced, or a critical process with unauthorized party. This can lead to serious attacks on organization, it also damages organization’s reputation among clients and parties leading to financial lose.</w:t>
      </w:r>
    </w:p>
    <w:tbl>
      <w:tblPr>
        <w:tblStyle w:val="TableGrid"/>
        <w:tblW w:w="0" w:type="auto"/>
        <w:tblInd w:w="-3" w:type="dxa"/>
        <w:tblLook w:val="04A0" w:firstRow="1" w:lastRow="0" w:firstColumn="1" w:lastColumn="0" w:noHBand="0" w:noVBand="1"/>
      </w:tblPr>
      <w:tblGrid>
        <w:gridCol w:w="3856"/>
        <w:gridCol w:w="5164"/>
      </w:tblGrid>
      <w:tr w:rsidR="001B6BD1" w14:paraId="7F4C4066" w14:textId="77777777" w:rsidTr="00713D98">
        <w:trPr>
          <w:trHeight w:val="181"/>
        </w:trPr>
        <w:tc>
          <w:tcPr>
            <w:tcW w:w="3856" w:type="dxa"/>
            <w:shd w:val="clear" w:color="auto" w:fill="D9D9D9" w:themeFill="background1" w:themeFillShade="D9"/>
            <w:vAlign w:val="center"/>
          </w:tcPr>
          <w:p w14:paraId="0EE12E13" w14:textId="77777777" w:rsidR="001B6BD1" w:rsidRPr="00850139" w:rsidRDefault="001B6BD1" w:rsidP="004A58D7">
            <w:pPr>
              <w:jc w:val="center"/>
              <w:rPr>
                <w:rStyle w:val="eop"/>
                <w:rFonts w:cs="Arial"/>
                <w:b/>
                <w:sz w:val="20"/>
              </w:rPr>
            </w:pPr>
            <w:r>
              <w:rPr>
                <w:rStyle w:val="eop"/>
                <w:rFonts w:cs="Arial"/>
                <w:b/>
                <w:sz w:val="20"/>
              </w:rPr>
              <w:t>UNETHICAL BEHAVIOUR</w:t>
            </w:r>
          </w:p>
        </w:tc>
        <w:tc>
          <w:tcPr>
            <w:tcW w:w="5164" w:type="dxa"/>
            <w:shd w:val="clear" w:color="auto" w:fill="D9D9D9" w:themeFill="background1" w:themeFillShade="D9"/>
            <w:vAlign w:val="center"/>
          </w:tcPr>
          <w:p w14:paraId="6FB1490C" w14:textId="77777777" w:rsidR="001B6BD1" w:rsidRPr="00850139" w:rsidRDefault="001B6BD1" w:rsidP="004A58D7">
            <w:pPr>
              <w:jc w:val="center"/>
              <w:rPr>
                <w:rStyle w:val="eop"/>
                <w:rFonts w:cs="Arial"/>
                <w:b/>
                <w:sz w:val="20"/>
              </w:rPr>
            </w:pPr>
            <w:r>
              <w:rPr>
                <w:rStyle w:val="eop"/>
                <w:rFonts w:cs="Arial"/>
                <w:b/>
                <w:sz w:val="20"/>
              </w:rPr>
              <w:t>IMPACT ANALYSIS</w:t>
            </w:r>
          </w:p>
        </w:tc>
      </w:tr>
      <w:tr w:rsidR="00713D98" w14:paraId="555F48A1" w14:textId="77777777" w:rsidTr="00713D98">
        <w:tc>
          <w:tcPr>
            <w:tcW w:w="3856" w:type="dxa"/>
          </w:tcPr>
          <w:p w14:paraId="2B4F90C0" w14:textId="2402C606" w:rsidR="00713D98" w:rsidRDefault="00713D98" w:rsidP="00713D98">
            <w:pPr>
              <w:rPr>
                <w:rStyle w:val="eop"/>
                <w:rFonts w:cs="Arial"/>
              </w:rPr>
            </w:pPr>
            <w:r w:rsidRPr="005F440F">
              <w:t>Unauthorized Data Access</w:t>
            </w:r>
          </w:p>
        </w:tc>
        <w:tc>
          <w:tcPr>
            <w:tcW w:w="5164" w:type="dxa"/>
          </w:tcPr>
          <w:p w14:paraId="2670EDCB" w14:textId="19738C4E" w:rsidR="00713D98" w:rsidRDefault="00713D98" w:rsidP="00713D98">
            <w:pPr>
              <w:rPr>
                <w:rStyle w:val="eop"/>
                <w:rFonts w:cs="Arial"/>
              </w:rPr>
            </w:pPr>
            <w:r w:rsidRPr="005F440F">
              <w:t>This can result in data breaches, loss of reputation and possible legal consequences. This can harm organization itself and individuals interacting with organization directly and indirectly.</w:t>
            </w:r>
          </w:p>
        </w:tc>
      </w:tr>
      <w:tr w:rsidR="00713D98" w14:paraId="3A39791F" w14:textId="77777777" w:rsidTr="00713D98">
        <w:trPr>
          <w:trHeight w:val="353"/>
        </w:trPr>
        <w:tc>
          <w:tcPr>
            <w:tcW w:w="3856" w:type="dxa"/>
          </w:tcPr>
          <w:p w14:paraId="4372380E" w14:textId="00DA41B0" w:rsidR="00713D98" w:rsidRDefault="00713D98" w:rsidP="00713D98">
            <w:pPr>
              <w:rPr>
                <w:rStyle w:val="eop"/>
                <w:rFonts w:cs="Arial"/>
              </w:rPr>
            </w:pPr>
            <w:r w:rsidRPr="00682F80">
              <w:t>Installing Backdoors</w:t>
            </w:r>
          </w:p>
        </w:tc>
        <w:tc>
          <w:tcPr>
            <w:tcW w:w="5164" w:type="dxa"/>
          </w:tcPr>
          <w:p w14:paraId="0FDD5CB0" w14:textId="5016BD00" w:rsidR="00713D98" w:rsidRDefault="00713D98" w:rsidP="00713D98">
            <w:pPr>
              <w:rPr>
                <w:rStyle w:val="eop"/>
                <w:rFonts w:cs="Arial"/>
              </w:rPr>
            </w:pPr>
            <w:r w:rsidRPr="00682F80">
              <w:t>Sometimes, technician install backdoors on purpose to gain unauthorized access to ends for malicious purposes. This can result in data breaches, system compromises, and potential financial losses.</w:t>
            </w:r>
          </w:p>
        </w:tc>
      </w:tr>
      <w:tr w:rsidR="00713D98" w14:paraId="4C2B37A3" w14:textId="77777777" w:rsidTr="00713D98">
        <w:tc>
          <w:tcPr>
            <w:tcW w:w="3856" w:type="dxa"/>
          </w:tcPr>
          <w:p w14:paraId="49E8620B" w14:textId="135D8E75" w:rsidR="00713D98" w:rsidRDefault="00713D98" w:rsidP="00713D98">
            <w:pPr>
              <w:rPr>
                <w:rStyle w:val="eop"/>
                <w:rFonts w:cs="Arial"/>
              </w:rPr>
            </w:pPr>
            <w:r w:rsidRPr="00682F80">
              <w:lastRenderedPageBreak/>
              <w:t>Manipulating Logs and Audit Trails</w:t>
            </w:r>
          </w:p>
        </w:tc>
        <w:tc>
          <w:tcPr>
            <w:tcW w:w="5164" w:type="dxa"/>
          </w:tcPr>
          <w:p w14:paraId="73061A48" w14:textId="072EDB33" w:rsidR="00713D98" w:rsidRDefault="00713D98" w:rsidP="00713D98">
            <w:pPr>
              <w:rPr>
                <w:rStyle w:val="eop"/>
                <w:rFonts w:cs="Arial"/>
              </w:rPr>
            </w:pPr>
            <w:r w:rsidRPr="00682F80">
              <w:t xml:space="preserve">A staff can alter or change logs to cover up unauthorized </w:t>
            </w:r>
            <w:proofErr w:type="gramStart"/>
            <w:r w:rsidRPr="00682F80">
              <w:t>activities .</w:t>
            </w:r>
            <w:proofErr w:type="gramEnd"/>
            <w:r w:rsidRPr="00682F80">
              <w:t xml:space="preserve"> This can damage the organization’s ability when it comes to detect and respond to the security incidents.</w:t>
            </w:r>
          </w:p>
        </w:tc>
      </w:tr>
      <w:tr w:rsidR="00713D98" w14:paraId="5A398C9F" w14:textId="77777777" w:rsidTr="00713D98">
        <w:tc>
          <w:tcPr>
            <w:tcW w:w="3856" w:type="dxa"/>
          </w:tcPr>
          <w:p w14:paraId="31024F3E" w14:textId="17B79A81" w:rsidR="00713D98" w:rsidRPr="00842385" w:rsidRDefault="00713D98" w:rsidP="00713D98">
            <w:pPr>
              <w:rPr>
                <w:rStyle w:val="eop"/>
                <w:rFonts w:cs="Arial"/>
                <w:sz w:val="20"/>
              </w:rPr>
            </w:pPr>
            <w:r w:rsidRPr="00682F80">
              <w:rPr>
                <w:color w:val="000000" w:themeColor="text1"/>
                <w:szCs w:val="22"/>
              </w:rPr>
              <w:t>Sharing Confidential Information</w:t>
            </w:r>
          </w:p>
        </w:tc>
        <w:tc>
          <w:tcPr>
            <w:tcW w:w="5164" w:type="dxa"/>
          </w:tcPr>
          <w:p w14:paraId="40A6CDFF" w14:textId="79AEF671" w:rsidR="00713D98" w:rsidRDefault="00713D98" w:rsidP="00713D98">
            <w:pPr>
              <w:rPr>
                <w:rStyle w:val="eop"/>
                <w:rFonts w:cs="Arial"/>
              </w:rPr>
            </w:pPr>
            <w:r w:rsidRPr="00682F80">
              <w:t xml:space="preserve">A staff can share confidential information, such as information on </w:t>
            </w:r>
            <w:proofErr w:type="gramStart"/>
            <w:r w:rsidRPr="00682F80">
              <w:t>vulnerabilities  in</w:t>
            </w:r>
            <w:proofErr w:type="gramEnd"/>
            <w:r w:rsidRPr="00682F80">
              <w:t xml:space="preserve"> security, the organization has faced, or a critical process with unauthorized party. This can lead to serious attacks on organization, it also damages organization’s reputation among clients and parties leading to financial lose.</w:t>
            </w:r>
          </w:p>
        </w:tc>
      </w:tr>
    </w:tbl>
    <w:p w14:paraId="3313EF12" w14:textId="77777777" w:rsidR="001B6BD1" w:rsidRPr="001B6BD1" w:rsidRDefault="001B6BD1" w:rsidP="001B6BD1"/>
    <w:p w14:paraId="1EC76394" w14:textId="77777777" w:rsidR="001B6BD1" w:rsidRDefault="001B6BD1" w:rsidP="001B6BD1">
      <w:pPr>
        <w:rPr>
          <w:rStyle w:val="eop"/>
          <w:rFonts w:cs="Arial"/>
        </w:rPr>
      </w:pPr>
      <w:r w:rsidRPr="00BF5C42">
        <w:rPr>
          <w:rStyle w:val="eop"/>
          <w:rFonts w:cs="Arial"/>
        </w:rPr>
        <w:t>Identify three (3) downloading file-sharing services. For each service, identify its suitability</w:t>
      </w:r>
      <w:r>
        <w:rPr>
          <w:rStyle w:val="eop"/>
          <w:rFonts w:cs="Arial"/>
        </w:rPr>
        <w:t xml:space="preserve"> and the security risks </w:t>
      </w:r>
      <w:r w:rsidRPr="00BF5C42">
        <w:rPr>
          <w:rStyle w:val="eop"/>
          <w:rFonts w:cs="Arial"/>
        </w:rPr>
        <w:t>associated with</w:t>
      </w:r>
      <w:r>
        <w:rPr>
          <w:rStyle w:val="eop"/>
          <w:rFonts w:cs="Arial"/>
        </w:rPr>
        <w:t xml:space="preserve"> it</w:t>
      </w:r>
      <w:r w:rsidRPr="00BF5C42">
        <w:rPr>
          <w:rStyle w:val="eop"/>
          <w:rFonts w:cs="Arial"/>
        </w:rPr>
        <w:t>.</w:t>
      </w:r>
    </w:p>
    <w:p w14:paraId="6243D6AB" w14:textId="77777777" w:rsidR="001B6BD1" w:rsidRPr="00BF5C42" w:rsidRDefault="001B6BD1" w:rsidP="001B6BD1">
      <w:pPr>
        <w:ind w:left="993" w:hanging="993"/>
        <w:rPr>
          <w:rStyle w:val="eop"/>
          <w:rFonts w:cs="Arial"/>
        </w:rPr>
      </w:pPr>
    </w:p>
    <w:tbl>
      <w:tblPr>
        <w:tblStyle w:val="TableGrid"/>
        <w:tblW w:w="0" w:type="auto"/>
        <w:tblInd w:w="-3" w:type="dxa"/>
        <w:tblLook w:val="04A0" w:firstRow="1" w:lastRow="0" w:firstColumn="1" w:lastColumn="0" w:noHBand="0" w:noVBand="1"/>
      </w:tblPr>
      <w:tblGrid>
        <w:gridCol w:w="3259"/>
        <w:gridCol w:w="2834"/>
        <w:gridCol w:w="2927"/>
      </w:tblGrid>
      <w:tr w:rsidR="001B6BD1" w:rsidRPr="00842385" w14:paraId="11472092" w14:textId="77777777" w:rsidTr="00713D98">
        <w:trPr>
          <w:trHeight w:val="481"/>
        </w:trPr>
        <w:tc>
          <w:tcPr>
            <w:tcW w:w="3259" w:type="dxa"/>
            <w:shd w:val="clear" w:color="auto" w:fill="D9D9D9" w:themeFill="background1" w:themeFillShade="D9"/>
            <w:vAlign w:val="center"/>
          </w:tcPr>
          <w:p w14:paraId="5F8F36E9" w14:textId="77777777" w:rsidR="001B6BD1" w:rsidRPr="00842385" w:rsidRDefault="001B6BD1" w:rsidP="00842385">
            <w:pPr>
              <w:pStyle w:val="TableText"/>
              <w:jc w:val="center"/>
              <w:rPr>
                <w:rStyle w:val="eop"/>
                <w:b/>
                <w:bCs/>
              </w:rPr>
            </w:pPr>
            <w:r w:rsidRPr="00842385">
              <w:rPr>
                <w:rStyle w:val="eop"/>
                <w:b/>
                <w:bCs/>
              </w:rPr>
              <w:t>FILE-SHARING SERVICE (Downloading)</w:t>
            </w:r>
          </w:p>
        </w:tc>
        <w:tc>
          <w:tcPr>
            <w:tcW w:w="2834" w:type="dxa"/>
            <w:shd w:val="clear" w:color="auto" w:fill="D9D9D9" w:themeFill="background1" w:themeFillShade="D9"/>
            <w:vAlign w:val="center"/>
          </w:tcPr>
          <w:p w14:paraId="143A6BDA" w14:textId="77777777" w:rsidR="001B6BD1" w:rsidRPr="00842385" w:rsidRDefault="001B6BD1" w:rsidP="00842385">
            <w:pPr>
              <w:pStyle w:val="TableText"/>
              <w:jc w:val="center"/>
              <w:rPr>
                <w:rStyle w:val="eop"/>
                <w:b/>
                <w:bCs/>
              </w:rPr>
            </w:pPr>
            <w:r w:rsidRPr="00842385">
              <w:rPr>
                <w:rStyle w:val="eop"/>
                <w:b/>
                <w:bCs/>
              </w:rPr>
              <w:t>SUITABILITY</w:t>
            </w:r>
          </w:p>
        </w:tc>
        <w:tc>
          <w:tcPr>
            <w:tcW w:w="2927" w:type="dxa"/>
            <w:shd w:val="clear" w:color="auto" w:fill="D9D9D9" w:themeFill="background1" w:themeFillShade="D9"/>
            <w:vAlign w:val="center"/>
          </w:tcPr>
          <w:p w14:paraId="2048508E" w14:textId="77777777" w:rsidR="001B6BD1" w:rsidRPr="00842385" w:rsidRDefault="001B6BD1" w:rsidP="00842385">
            <w:pPr>
              <w:pStyle w:val="TableText"/>
              <w:jc w:val="center"/>
              <w:rPr>
                <w:rStyle w:val="eop"/>
                <w:b/>
                <w:bCs/>
              </w:rPr>
            </w:pPr>
            <w:r w:rsidRPr="00842385">
              <w:rPr>
                <w:rStyle w:val="eop"/>
                <w:b/>
                <w:bCs/>
              </w:rPr>
              <w:t>ASSOCIATED SECURITY RISKS</w:t>
            </w:r>
          </w:p>
        </w:tc>
      </w:tr>
      <w:tr w:rsidR="00713D98" w:rsidRPr="00842385" w14:paraId="291939AA" w14:textId="77777777" w:rsidTr="00713D98">
        <w:tc>
          <w:tcPr>
            <w:tcW w:w="3259" w:type="dxa"/>
          </w:tcPr>
          <w:p w14:paraId="70B9315D" w14:textId="2F4A0D5E" w:rsidR="00713D98" w:rsidRPr="00842385" w:rsidRDefault="00713D98" w:rsidP="00713D98">
            <w:pPr>
              <w:pStyle w:val="TableText"/>
              <w:rPr>
                <w:rStyle w:val="eop"/>
              </w:rPr>
            </w:pPr>
            <w:r w:rsidRPr="00842385">
              <w:rPr>
                <w:rStyle w:val="eop"/>
              </w:rPr>
              <w:t xml:space="preserve"> </w:t>
            </w:r>
            <w:r w:rsidRPr="00D3074A">
              <w:rPr>
                <w:rStyle w:val="eop"/>
              </w:rPr>
              <w:t>Dropbox</w:t>
            </w:r>
          </w:p>
        </w:tc>
        <w:tc>
          <w:tcPr>
            <w:tcW w:w="2834" w:type="dxa"/>
          </w:tcPr>
          <w:p w14:paraId="0BA7C30F" w14:textId="46EF8911" w:rsidR="00713D98" w:rsidRPr="00842385" w:rsidRDefault="00713D98" w:rsidP="00713D98">
            <w:pPr>
              <w:pStyle w:val="TableText"/>
              <w:rPr>
                <w:rStyle w:val="eop"/>
              </w:rPr>
            </w:pPr>
            <w:r w:rsidRPr="00D3074A">
              <w:rPr>
                <w:rStyle w:val="eop"/>
              </w:rPr>
              <w:t>interface and its good features. Further, it supports real time collaboration, making it a good  platform for those are working at a team on a project. Lastly,  it also works with lots of third-party applications,  boosting its functions.</w:t>
            </w:r>
          </w:p>
        </w:tc>
        <w:tc>
          <w:tcPr>
            <w:tcW w:w="2927" w:type="dxa"/>
          </w:tcPr>
          <w:p w14:paraId="3DF2DD1B" w14:textId="6E6A3AAC" w:rsidR="00713D98" w:rsidRPr="00842385" w:rsidRDefault="00713D98" w:rsidP="00713D98">
            <w:pPr>
              <w:pStyle w:val="TableText"/>
              <w:rPr>
                <w:rStyle w:val="eop"/>
              </w:rPr>
            </w:pPr>
            <w:proofErr w:type="gramStart"/>
            <w:r w:rsidRPr="00D3074A">
              <w:rPr>
                <w:rStyle w:val="eop"/>
              </w:rPr>
              <w:t>This platform,</w:t>
            </w:r>
            <w:proofErr w:type="gramEnd"/>
            <w:r w:rsidRPr="00D3074A">
              <w:rPr>
                <w:rStyle w:val="eop"/>
              </w:rPr>
              <w:t xml:space="preserve"> has experienced data breaches in the last years. There </w:t>
            </w:r>
            <w:proofErr w:type="gramStart"/>
            <w:r w:rsidRPr="00D3074A">
              <w:rPr>
                <w:rStyle w:val="eop"/>
              </w:rPr>
              <w:t>are</w:t>
            </w:r>
            <w:proofErr w:type="gramEnd"/>
            <w:r w:rsidRPr="00D3074A">
              <w:rPr>
                <w:rStyle w:val="eop"/>
              </w:rPr>
              <w:t xml:space="preserve"> also some fishing attacks are always in progress to steal credentials associated with this platform. Moreover, </w:t>
            </w:r>
            <w:proofErr w:type="gramStart"/>
            <w:r w:rsidRPr="00D3074A">
              <w:rPr>
                <w:rStyle w:val="eop"/>
              </w:rPr>
              <w:t>Every</w:t>
            </w:r>
            <w:proofErr w:type="gramEnd"/>
            <w:r w:rsidRPr="00D3074A">
              <w:rPr>
                <w:rStyle w:val="eop"/>
              </w:rPr>
              <w:t xml:space="preserve"> person who acts as a team member can access to sensitive files saved on the account but there might be security based rules features in such platforms.</w:t>
            </w:r>
          </w:p>
        </w:tc>
      </w:tr>
      <w:tr w:rsidR="00713D98" w:rsidRPr="00842385" w14:paraId="55C3D976" w14:textId="77777777" w:rsidTr="00713D98">
        <w:tc>
          <w:tcPr>
            <w:tcW w:w="3259" w:type="dxa"/>
          </w:tcPr>
          <w:p w14:paraId="47C5F4F7" w14:textId="7C59CF18" w:rsidR="00713D98" w:rsidRPr="00842385" w:rsidRDefault="00713D98" w:rsidP="00713D98">
            <w:pPr>
              <w:pStyle w:val="TableText"/>
              <w:rPr>
                <w:rStyle w:val="eop"/>
              </w:rPr>
            </w:pPr>
            <w:r w:rsidRPr="00785E36">
              <w:rPr>
                <w:rStyle w:val="eop"/>
              </w:rPr>
              <w:t>Google Drive</w:t>
            </w:r>
          </w:p>
        </w:tc>
        <w:tc>
          <w:tcPr>
            <w:tcW w:w="2834" w:type="dxa"/>
          </w:tcPr>
          <w:p w14:paraId="10538924" w14:textId="1C6ABA3E" w:rsidR="00713D98" w:rsidRPr="00842385" w:rsidRDefault="00713D98" w:rsidP="00713D98">
            <w:pPr>
              <w:pStyle w:val="TableText"/>
              <w:rPr>
                <w:rStyle w:val="eop"/>
              </w:rPr>
            </w:pPr>
            <w:r w:rsidRPr="00785E36">
              <w:rPr>
                <w:rStyle w:val="eop"/>
              </w:rPr>
              <w:t xml:space="preserve">This platform is popular among individuals and academical institutions because of being suitable to the Microsoft’s products such as its operation system the “Windows”. It </w:t>
            </w:r>
            <w:r w:rsidRPr="00785E36">
              <w:rPr>
                <w:rStyle w:val="eop"/>
              </w:rPr>
              <w:lastRenderedPageBreak/>
              <w:t>offers excellent collaboration tools. It also has got Multi-Factor Authentication enabled. It has got also an amount of free storage where you are also enabled to upgrade for more space.</w:t>
            </w:r>
          </w:p>
        </w:tc>
        <w:tc>
          <w:tcPr>
            <w:tcW w:w="2927" w:type="dxa"/>
          </w:tcPr>
          <w:p w14:paraId="6FC0E2A5" w14:textId="45778D01" w:rsidR="00713D98" w:rsidRPr="00842385" w:rsidRDefault="00713D98" w:rsidP="00713D98">
            <w:pPr>
              <w:pStyle w:val="TableText"/>
              <w:rPr>
                <w:rStyle w:val="eop"/>
              </w:rPr>
            </w:pPr>
            <w:r w:rsidRPr="00785E36">
              <w:rPr>
                <w:rStyle w:val="eop"/>
              </w:rPr>
              <w:lastRenderedPageBreak/>
              <w:t xml:space="preserve">Same as Dropbox, we can experience phishing attacks from fake notifications and emails. Lastly, if a user’s Google account is stolen, all data in Google drive can be </w:t>
            </w:r>
            <w:r w:rsidRPr="00785E36">
              <w:rPr>
                <w:rStyle w:val="eop"/>
              </w:rPr>
              <w:lastRenderedPageBreak/>
              <w:t>accessed.</w:t>
            </w:r>
          </w:p>
        </w:tc>
      </w:tr>
      <w:tr w:rsidR="00713D98" w:rsidRPr="00842385" w14:paraId="5BE3BF82" w14:textId="77777777" w:rsidTr="00713D98">
        <w:tc>
          <w:tcPr>
            <w:tcW w:w="3259" w:type="dxa"/>
          </w:tcPr>
          <w:p w14:paraId="557A7814" w14:textId="166926D9" w:rsidR="00713D98" w:rsidRPr="00842385" w:rsidRDefault="00713D98" w:rsidP="00713D98">
            <w:pPr>
              <w:pStyle w:val="TableText"/>
              <w:rPr>
                <w:rStyle w:val="eop"/>
              </w:rPr>
            </w:pPr>
            <w:r w:rsidRPr="00785E36">
              <w:rPr>
                <w:rStyle w:val="eop"/>
              </w:rPr>
              <w:lastRenderedPageBreak/>
              <w:t>We Transfer</w:t>
            </w:r>
          </w:p>
        </w:tc>
        <w:tc>
          <w:tcPr>
            <w:tcW w:w="2834" w:type="dxa"/>
          </w:tcPr>
          <w:p w14:paraId="565D8CE7" w14:textId="5B04113F" w:rsidR="00713D98" w:rsidRPr="00842385" w:rsidRDefault="00713D98" w:rsidP="00713D98">
            <w:pPr>
              <w:pStyle w:val="TableText"/>
              <w:rPr>
                <w:rStyle w:val="eop"/>
              </w:rPr>
            </w:pPr>
            <w:r w:rsidRPr="00785E36">
              <w:rPr>
                <w:rStyle w:val="eop"/>
              </w:rPr>
              <w:t>It is very good for those who need to transfer large files quickly without the need for an account. This platform has got a simple interface make it much easier than other platforms those downloadable to work with, even if you don’t have any previous training. There are also beneficial functions like temporary file storage in this platform.</w:t>
            </w:r>
          </w:p>
        </w:tc>
        <w:tc>
          <w:tcPr>
            <w:tcW w:w="2927" w:type="dxa"/>
          </w:tcPr>
          <w:p w14:paraId="5DF35A80" w14:textId="4616837D" w:rsidR="00713D98" w:rsidRPr="00842385" w:rsidRDefault="00713D98" w:rsidP="00713D98">
            <w:pPr>
              <w:pStyle w:val="TableText"/>
              <w:rPr>
                <w:rStyle w:val="eop"/>
              </w:rPr>
            </w:pPr>
            <w:r w:rsidRPr="00785E36">
              <w:rPr>
                <w:rStyle w:val="eop"/>
              </w:rPr>
              <w:t>This platform has mentioned that they do not provide end to end encryption, which can expose files to interception in transit. In this platform, there are temporary links are in use. This links if being shared with unauthorized users can lead to data breaches. Lastly, in this platform, when you upload files, after that you will have limited access to them which will be a concern for sensitive data.</w:t>
            </w:r>
          </w:p>
        </w:tc>
      </w:tr>
    </w:tbl>
    <w:p w14:paraId="21692B7C" w14:textId="53AB8446" w:rsidR="00964996" w:rsidRPr="00964996" w:rsidRDefault="00964996" w:rsidP="00964996">
      <w:pPr>
        <w:rPr>
          <w:bCs/>
        </w:rPr>
      </w:pPr>
      <w:bookmarkStart w:id="21" w:name="_Hlk178455727"/>
      <w:r w:rsidRPr="00964996">
        <w:rPr>
          <w:bCs/>
        </w:rPr>
        <w:t xml:space="preserve">Tom's Guide 2024, </w:t>
      </w:r>
      <w:r w:rsidRPr="00964996">
        <w:rPr>
          <w:bCs/>
          <w:i/>
          <w:iCs/>
        </w:rPr>
        <w:t>Best file sharing apps</w:t>
      </w:r>
      <w:r w:rsidRPr="00964996">
        <w:rPr>
          <w:bCs/>
        </w:rPr>
        <w:t xml:space="preserve">, viewed 24 September 2024, </w:t>
      </w:r>
      <w:hyperlink r:id="rId40" w:tgtFrame="_new" w:history="1">
        <w:r w:rsidRPr="00964996">
          <w:rPr>
            <w:rStyle w:val="Hyperlink"/>
            <w:bCs/>
          </w:rPr>
          <w:t>https://www.tomsguide.com/buying-guide/best-file-sharing-apps</w:t>
        </w:r>
      </w:hyperlink>
      <w:r w:rsidRPr="00964996">
        <w:rPr>
          <w:bCs/>
        </w:rPr>
        <w:t>.</w:t>
      </w:r>
    </w:p>
    <w:bookmarkEnd w:id="21"/>
    <w:p w14:paraId="0F17A0A4" w14:textId="5AB5EAD1" w:rsidR="00842385" w:rsidRDefault="00842385" w:rsidP="00842385">
      <w:pPr>
        <w:rPr>
          <w:rFonts w:cs="Arial"/>
          <w:szCs w:val="22"/>
        </w:rPr>
      </w:pPr>
    </w:p>
    <w:p w14:paraId="187A754B" w14:textId="77777777" w:rsidR="008B70B4" w:rsidRPr="008B70B4" w:rsidRDefault="008B70B4" w:rsidP="00F74393">
      <w:pPr>
        <w:pStyle w:val="Heading1"/>
        <w:ind w:left="567" w:hanging="567"/>
        <w:rPr>
          <w:rStyle w:val="eop"/>
          <w:rFonts w:cs="Arial"/>
          <w:szCs w:val="22"/>
        </w:rPr>
      </w:pPr>
      <w:bookmarkStart w:id="22" w:name="_Toc124768035"/>
      <w:r w:rsidRPr="008B70B4">
        <w:rPr>
          <w:rStyle w:val="eop"/>
          <w:rFonts w:cs="Arial"/>
          <w:szCs w:val="22"/>
        </w:rPr>
        <w:t>8</w:t>
      </w:r>
      <w:r w:rsidRPr="008B70B4">
        <w:rPr>
          <w:rStyle w:val="eop"/>
          <w:rFonts w:cs="Arial"/>
          <w:szCs w:val="22"/>
        </w:rPr>
        <w:tab/>
        <w:t>Conclusion</w:t>
      </w:r>
      <w:bookmarkEnd w:id="22"/>
    </w:p>
    <w:p w14:paraId="20E930B1" w14:textId="57E909C6" w:rsidR="00842385" w:rsidRPr="0037757F" w:rsidRDefault="0024721B">
      <w:pPr>
        <w:overflowPunct/>
        <w:autoSpaceDE/>
        <w:autoSpaceDN/>
        <w:adjustRightInd/>
        <w:textAlignment w:val="auto"/>
      </w:pPr>
      <w:r w:rsidRPr="0037757F">
        <w:t xml:space="preserve">In conclusion, </w:t>
      </w:r>
      <w:r w:rsidR="0019550A" w:rsidRPr="0037757F">
        <w:t>I highlighted this organization overall level of compliance with Australian cyber security laws as they are now operating widely around Australia. While most of their privacy policy seems to be current and meet standards, I found that their policy requires enhancements as they are also growing their presence in the market.</w:t>
      </w:r>
      <w:r w:rsidR="0029763E" w:rsidRPr="0037757F">
        <w:t xml:space="preserve"> In order to assure that they will stay secure in a longer period of time</w:t>
      </w:r>
      <w:r w:rsidR="00AE6B23" w:rsidRPr="0037757F">
        <w:t xml:space="preserve">, we encourage them to establish response plans, conducting regular audits and also implementing data minimization practices to save only essential information. Additionally, I recommended adopting advanced encryption techniques and enforcing password policy which will </w:t>
      </w:r>
      <w:r w:rsidR="00EB01B7" w:rsidRPr="0037757F">
        <w:t xml:space="preserve">boost their data protection efforts. Lastly, we discussed about possible new reforms in privacy and consumer legislation emerge, Turtle Movers must adapt their </w:t>
      </w:r>
      <w:r w:rsidR="00C34EFB" w:rsidRPr="0037757F">
        <w:t xml:space="preserve">policies prevent facing challenges of being </w:t>
      </w:r>
      <w:r w:rsidR="00C34EFB" w:rsidRPr="0037757F">
        <w:lastRenderedPageBreak/>
        <w:t>compliant with them. In this way, they will not only take steps to safeguard customer data but also enhance their reputation.</w:t>
      </w:r>
    </w:p>
    <w:p w14:paraId="1BD6F86A" w14:textId="77777777" w:rsidR="00842385" w:rsidRDefault="00842385" w:rsidP="00842385"/>
    <w:p w14:paraId="4CF21E71" w14:textId="77777777" w:rsidR="00842385" w:rsidRDefault="00842385" w:rsidP="00842385"/>
    <w:p w14:paraId="6C43BA42" w14:textId="77777777" w:rsidR="00842385" w:rsidRDefault="00842385" w:rsidP="00842385"/>
    <w:p w14:paraId="6DB96417" w14:textId="7F86AA64" w:rsidR="008B70B4" w:rsidRDefault="008B70B4">
      <w:pPr>
        <w:overflowPunct/>
        <w:autoSpaceDE/>
        <w:autoSpaceDN/>
        <w:adjustRightInd/>
        <w:textAlignment w:val="auto"/>
        <w:rPr>
          <w:b/>
          <w:kern w:val="28"/>
          <w:sz w:val="32"/>
        </w:rPr>
      </w:pPr>
      <w:r>
        <w:br w:type="page"/>
      </w:r>
    </w:p>
    <w:p w14:paraId="7C41B565" w14:textId="77777777" w:rsidR="005F49C9" w:rsidRDefault="00AB5082" w:rsidP="0044115D">
      <w:pPr>
        <w:pStyle w:val="Heading1"/>
      </w:pPr>
      <w:bookmarkStart w:id="23" w:name="_Toc124768036"/>
      <w:r>
        <w:lastRenderedPageBreak/>
        <w:t>Appendix</w:t>
      </w:r>
      <w:bookmarkEnd w:id="23"/>
    </w:p>
    <w:p w14:paraId="7FD8EB62" w14:textId="77777777" w:rsidR="009E48B4" w:rsidRDefault="00F3394D" w:rsidP="00F74393">
      <w:pPr>
        <w:pStyle w:val="Heading2"/>
        <w:rPr>
          <w:rStyle w:val="eop"/>
        </w:rPr>
      </w:pPr>
      <w:bookmarkStart w:id="24" w:name="_Toc124768037"/>
      <w:r>
        <w:rPr>
          <w:rStyle w:val="eop"/>
        </w:rPr>
        <w:t>Organisation p</w:t>
      </w:r>
      <w:r w:rsidR="00015C07" w:rsidRPr="00015C07">
        <w:rPr>
          <w:rStyle w:val="eop"/>
        </w:rPr>
        <w:t>olicies, procedures and best practices documentation</w:t>
      </w:r>
      <w:bookmarkEnd w:id="24"/>
    </w:p>
    <w:p w14:paraId="22013C48" w14:textId="77777777" w:rsidR="00964996" w:rsidRDefault="00964996" w:rsidP="00964996">
      <w:pPr>
        <w:pStyle w:val="Heading1"/>
        <w:rPr>
          <w:lang w:val="en-US"/>
        </w:rPr>
      </w:pPr>
      <w:r>
        <w:t>POLICES for TURTLE MOVERS</w:t>
      </w:r>
    </w:p>
    <w:p w14:paraId="24725E2A" w14:textId="77777777" w:rsidR="00964996" w:rsidRDefault="00964996" w:rsidP="00964996">
      <w:pPr>
        <w:pStyle w:val="Heading1"/>
        <w:rPr>
          <w:lang w:val="en-AU"/>
        </w:rPr>
      </w:pPr>
      <w:r>
        <w:rPr>
          <w:lang w:val="en-AU"/>
        </w:rPr>
        <w:t>PRIVACY POLICY</w:t>
      </w:r>
    </w:p>
    <w:p w14:paraId="52933A16" w14:textId="77777777" w:rsidR="00964996" w:rsidRDefault="00964996" w:rsidP="00964996">
      <w:pPr>
        <w:rPr>
          <w:lang w:val="en-US"/>
        </w:rPr>
      </w:pPr>
    </w:p>
    <w:tbl>
      <w:tblPr>
        <w:tblStyle w:val="TableGrid"/>
        <w:tblW w:w="0" w:type="auto"/>
        <w:tblInd w:w="108" w:type="dxa"/>
        <w:tblLook w:val="04A0" w:firstRow="1" w:lastRow="0" w:firstColumn="1" w:lastColumn="0" w:noHBand="0" w:noVBand="1"/>
      </w:tblPr>
      <w:tblGrid>
        <w:gridCol w:w="1864"/>
        <w:gridCol w:w="2192"/>
        <w:gridCol w:w="2380"/>
        <w:gridCol w:w="2473"/>
      </w:tblGrid>
      <w:tr w:rsidR="00964996" w14:paraId="08BC572C" w14:textId="77777777" w:rsidTr="00964996">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284D1C" w14:textId="77777777" w:rsidR="00964996" w:rsidRDefault="00964996" w:rsidP="00964996">
            <w:pPr>
              <w:pStyle w:val="Tableheading0"/>
            </w:pPr>
            <w:r>
              <w:t>DATE</w:t>
            </w:r>
          </w:p>
        </w:tc>
        <w:tc>
          <w:tcPr>
            <w:tcW w:w="2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231353" w14:textId="77777777" w:rsidR="00964996" w:rsidRDefault="00964996" w:rsidP="00964996">
            <w:pPr>
              <w:pStyle w:val="Tableheading0"/>
            </w:pPr>
            <w:r>
              <w:t>AUTHOR</w:t>
            </w:r>
          </w:p>
        </w:tc>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A91D36" w14:textId="77777777" w:rsidR="00964996" w:rsidRDefault="00964996" w:rsidP="00964996">
            <w:pPr>
              <w:pStyle w:val="Tableheading0"/>
            </w:pPr>
            <w:r>
              <w:t>SUMMARY of CHANGE</w:t>
            </w:r>
          </w:p>
        </w:tc>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D27417" w14:textId="77777777" w:rsidR="00964996" w:rsidRDefault="00964996" w:rsidP="00964996">
            <w:pPr>
              <w:pStyle w:val="Tableheading0"/>
            </w:pPr>
            <w:r>
              <w:t>APPROVED BY</w:t>
            </w:r>
          </w:p>
        </w:tc>
      </w:tr>
      <w:tr w:rsidR="00964996" w14:paraId="54C5408B" w14:textId="77777777" w:rsidTr="00964996">
        <w:tc>
          <w:tcPr>
            <w:tcW w:w="1843" w:type="dxa"/>
            <w:tcBorders>
              <w:top w:val="single" w:sz="4" w:space="0" w:color="auto"/>
              <w:left w:val="single" w:sz="4" w:space="0" w:color="auto"/>
              <w:bottom w:val="single" w:sz="4" w:space="0" w:color="auto"/>
              <w:right w:val="single" w:sz="4" w:space="0" w:color="auto"/>
            </w:tcBorders>
            <w:vAlign w:val="center"/>
            <w:hideMark/>
          </w:tcPr>
          <w:p w14:paraId="3C68EB08" w14:textId="77777777" w:rsidR="00964996" w:rsidRDefault="00964996" w:rsidP="00964996">
            <w:pPr>
              <w:pStyle w:val="Tabletext0"/>
            </w:pPr>
            <w:r>
              <w:rPr>
                <w:lang w:val="en-US"/>
              </w:rPr>
              <w:t>3</w:t>
            </w:r>
            <w:r>
              <w:rPr>
                <w:vertAlign w:val="superscript"/>
                <w:lang w:val="en-US"/>
              </w:rPr>
              <w:t>rd</w:t>
            </w:r>
            <w:r>
              <w:rPr>
                <w:lang w:val="en-US"/>
              </w:rPr>
              <w:t xml:space="preserve"> Oct 2022</w:t>
            </w:r>
          </w:p>
        </w:tc>
        <w:tc>
          <w:tcPr>
            <w:tcW w:w="2787" w:type="dxa"/>
            <w:tcBorders>
              <w:top w:val="single" w:sz="4" w:space="0" w:color="auto"/>
              <w:left w:val="single" w:sz="4" w:space="0" w:color="auto"/>
              <w:bottom w:val="single" w:sz="4" w:space="0" w:color="auto"/>
              <w:right w:val="single" w:sz="4" w:space="0" w:color="auto"/>
            </w:tcBorders>
            <w:vAlign w:val="center"/>
            <w:hideMark/>
          </w:tcPr>
          <w:p w14:paraId="200D66A7" w14:textId="77777777" w:rsidR="00964996" w:rsidRDefault="00964996" w:rsidP="00964996">
            <w:pPr>
              <w:pStyle w:val="Tabletext0"/>
            </w:pPr>
            <w:r>
              <w:t>George Green</w:t>
            </w:r>
          </w:p>
        </w:tc>
        <w:tc>
          <w:tcPr>
            <w:tcW w:w="2788" w:type="dxa"/>
            <w:tcBorders>
              <w:top w:val="single" w:sz="4" w:space="0" w:color="auto"/>
              <w:left w:val="single" w:sz="4" w:space="0" w:color="auto"/>
              <w:bottom w:val="single" w:sz="4" w:space="0" w:color="auto"/>
              <w:right w:val="single" w:sz="4" w:space="0" w:color="auto"/>
            </w:tcBorders>
            <w:vAlign w:val="center"/>
            <w:hideMark/>
          </w:tcPr>
          <w:p w14:paraId="3D27D8DA" w14:textId="77777777" w:rsidR="00964996" w:rsidRDefault="00964996" w:rsidP="00964996">
            <w:pPr>
              <w:pStyle w:val="Tabletext0"/>
            </w:pPr>
            <w:r>
              <w:t>Created</w:t>
            </w:r>
          </w:p>
        </w:tc>
        <w:tc>
          <w:tcPr>
            <w:tcW w:w="2788" w:type="dxa"/>
            <w:tcBorders>
              <w:top w:val="single" w:sz="4" w:space="0" w:color="auto"/>
              <w:left w:val="single" w:sz="4" w:space="0" w:color="auto"/>
              <w:bottom w:val="single" w:sz="4" w:space="0" w:color="auto"/>
              <w:right w:val="single" w:sz="4" w:space="0" w:color="auto"/>
            </w:tcBorders>
            <w:vAlign w:val="center"/>
            <w:hideMark/>
          </w:tcPr>
          <w:p w14:paraId="3CB70846" w14:textId="77777777" w:rsidR="00964996" w:rsidRDefault="00964996" w:rsidP="00964996">
            <w:pPr>
              <w:pStyle w:val="Tabletext0"/>
            </w:pPr>
            <w:r>
              <w:t>Manager</w:t>
            </w:r>
          </w:p>
        </w:tc>
      </w:tr>
      <w:tr w:rsidR="00964996" w14:paraId="071EA54C" w14:textId="77777777" w:rsidTr="00964996">
        <w:tc>
          <w:tcPr>
            <w:tcW w:w="1843" w:type="dxa"/>
            <w:tcBorders>
              <w:top w:val="single" w:sz="4" w:space="0" w:color="auto"/>
              <w:left w:val="single" w:sz="4" w:space="0" w:color="auto"/>
              <w:bottom w:val="single" w:sz="4" w:space="0" w:color="auto"/>
              <w:right w:val="single" w:sz="4" w:space="0" w:color="auto"/>
            </w:tcBorders>
          </w:tcPr>
          <w:p w14:paraId="2E49E98B" w14:textId="77777777" w:rsidR="00964996" w:rsidRDefault="00964996">
            <w:pPr>
              <w:pStyle w:val="Tablebullet-sub"/>
              <w:numPr>
                <w:ilvl w:val="0"/>
                <w:numId w:val="0"/>
              </w:numPr>
            </w:pPr>
          </w:p>
        </w:tc>
        <w:tc>
          <w:tcPr>
            <w:tcW w:w="2787" w:type="dxa"/>
            <w:tcBorders>
              <w:top w:val="single" w:sz="4" w:space="0" w:color="auto"/>
              <w:left w:val="single" w:sz="4" w:space="0" w:color="auto"/>
              <w:bottom w:val="single" w:sz="4" w:space="0" w:color="auto"/>
              <w:right w:val="single" w:sz="4" w:space="0" w:color="auto"/>
            </w:tcBorders>
          </w:tcPr>
          <w:p w14:paraId="64913330" w14:textId="77777777" w:rsidR="00964996" w:rsidRDefault="00964996">
            <w:pPr>
              <w:pStyle w:val="Tablebullet-sub"/>
              <w:numPr>
                <w:ilvl w:val="0"/>
                <w:numId w:val="0"/>
              </w:numPr>
            </w:pPr>
          </w:p>
        </w:tc>
        <w:tc>
          <w:tcPr>
            <w:tcW w:w="2788" w:type="dxa"/>
            <w:tcBorders>
              <w:top w:val="single" w:sz="4" w:space="0" w:color="auto"/>
              <w:left w:val="single" w:sz="4" w:space="0" w:color="auto"/>
              <w:bottom w:val="single" w:sz="4" w:space="0" w:color="auto"/>
              <w:right w:val="single" w:sz="4" w:space="0" w:color="auto"/>
            </w:tcBorders>
          </w:tcPr>
          <w:p w14:paraId="3165B365" w14:textId="77777777" w:rsidR="00964996" w:rsidRDefault="00964996">
            <w:pPr>
              <w:pStyle w:val="Tablebullet-sub"/>
              <w:numPr>
                <w:ilvl w:val="0"/>
                <w:numId w:val="0"/>
              </w:numPr>
            </w:pPr>
          </w:p>
        </w:tc>
        <w:tc>
          <w:tcPr>
            <w:tcW w:w="2788" w:type="dxa"/>
            <w:tcBorders>
              <w:top w:val="single" w:sz="4" w:space="0" w:color="auto"/>
              <w:left w:val="single" w:sz="4" w:space="0" w:color="auto"/>
              <w:bottom w:val="single" w:sz="4" w:space="0" w:color="auto"/>
              <w:right w:val="single" w:sz="4" w:space="0" w:color="auto"/>
            </w:tcBorders>
          </w:tcPr>
          <w:p w14:paraId="25A0064E" w14:textId="77777777" w:rsidR="00964996" w:rsidRDefault="00964996">
            <w:pPr>
              <w:pStyle w:val="Tablebullet-sub"/>
              <w:numPr>
                <w:ilvl w:val="0"/>
                <w:numId w:val="0"/>
              </w:numPr>
            </w:pPr>
          </w:p>
        </w:tc>
      </w:tr>
    </w:tbl>
    <w:p w14:paraId="3DB8089C" w14:textId="77777777" w:rsidR="00964996" w:rsidRDefault="00964996" w:rsidP="00964996">
      <w:pPr>
        <w:rPr>
          <w:szCs w:val="22"/>
        </w:rPr>
      </w:pPr>
    </w:p>
    <w:p w14:paraId="582F24C2" w14:textId="77777777" w:rsidR="00964996" w:rsidRDefault="00964996" w:rsidP="00964996">
      <w:r>
        <w:t>Turtle Movers is committed to protecting the privacy of the personal information of our clients and employees. We value and respect the privacy of the people we do business with and who work for our company.</w:t>
      </w:r>
    </w:p>
    <w:p w14:paraId="23A20962" w14:textId="77777777" w:rsidR="00964996" w:rsidRDefault="00964996" w:rsidP="00964996">
      <w:r>
        <w:t>Turtle Movers’ Privacy Policy complies with the Australian Privacy Act 1988 (</w:t>
      </w:r>
      <w:proofErr w:type="spellStart"/>
      <w:r>
        <w:t>Cth</w:t>
      </w:r>
      <w:proofErr w:type="spellEnd"/>
      <w:r>
        <w:t>) and other relevant privacy laws and regulations.</w:t>
      </w:r>
    </w:p>
    <w:p w14:paraId="1A4EC574" w14:textId="77777777" w:rsidR="00964996" w:rsidRDefault="00964996" w:rsidP="00964996">
      <w:r>
        <w:t>This Privacy Policy covers all employees and clients of the company and outlines how we collect, use, retain and disclose personal information gathered to carry out our business activities.</w:t>
      </w:r>
    </w:p>
    <w:p w14:paraId="5AF9A63E" w14:textId="77777777" w:rsidR="00964996" w:rsidRDefault="00964996" w:rsidP="00964996"/>
    <w:p w14:paraId="366B6DB8" w14:textId="77777777" w:rsidR="00964996" w:rsidRDefault="00964996" w:rsidP="00964996">
      <w:pPr>
        <w:rPr>
          <w:b/>
          <w:bCs/>
        </w:rPr>
      </w:pPr>
      <w:r>
        <w:rPr>
          <w:b/>
          <w:bCs/>
        </w:rPr>
        <w:t>Information we may collect</w:t>
      </w:r>
    </w:p>
    <w:p w14:paraId="525CF379" w14:textId="77777777" w:rsidR="00964996" w:rsidRDefault="00964996" w:rsidP="00964996">
      <w:pPr>
        <w:pStyle w:val="Bullet-main"/>
      </w:pPr>
      <w:r>
        <w:t>Contact information</w:t>
      </w:r>
    </w:p>
    <w:p w14:paraId="52F55BAC" w14:textId="77777777" w:rsidR="00964996" w:rsidRDefault="00964996" w:rsidP="00964996">
      <w:pPr>
        <w:pStyle w:val="Bullet-sub2"/>
      </w:pPr>
      <w:r>
        <w:t>Name and surname</w:t>
      </w:r>
    </w:p>
    <w:p w14:paraId="29CAB2D9" w14:textId="77777777" w:rsidR="00964996" w:rsidRDefault="00964996" w:rsidP="00964996">
      <w:pPr>
        <w:pStyle w:val="Bullet-sub2"/>
      </w:pPr>
      <w:r>
        <w:t>Pickup address</w:t>
      </w:r>
    </w:p>
    <w:p w14:paraId="603BEEBF" w14:textId="77777777" w:rsidR="00964996" w:rsidRDefault="00964996" w:rsidP="00964996">
      <w:pPr>
        <w:pStyle w:val="Bullet-sub2"/>
      </w:pPr>
      <w:r>
        <w:t>Delivery address</w:t>
      </w:r>
    </w:p>
    <w:p w14:paraId="7642ECE6" w14:textId="77777777" w:rsidR="00964996" w:rsidRDefault="00964996" w:rsidP="00964996">
      <w:pPr>
        <w:pStyle w:val="Bullet-sub2"/>
      </w:pPr>
      <w:r>
        <w:t>Email address</w:t>
      </w:r>
    </w:p>
    <w:p w14:paraId="008739C1" w14:textId="77777777" w:rsidR="00964996" w:rsidRDefault="00964996" w:rsidP="00964996">
      <w:pPr>
        <w:pStyle w:val="Bullet-sub2"/>
      </w:pPr>
      <w:r>
        <w:lastRenderedPageBreak/>
        <w:t>Phone number</w:t>
      </w:r>
    </w:p>
    <w:p w14:paraId="5EBF60E0" w14:textId="77777777" w:rsidR="00964996" w:rsidRDefault="00964996" w:rsidP="00964996">
      <w:pPr>
        <w:pStyle w:val="Bullet-main"/>
      </w:pPr>
      <w:r>
        <w:t>Transaction details and history</w:t>
      </w:r>
    </w:p>
    <w:p w14:paraId="6EF46151" w14:textId="77777777" w:rsidR="00964996" w:rsidRDefault="00964996" w:rsidP="00964996">
      <w:pPr>
        <w:pStyle w:val="Bullet-sub2"/>
      </w:pPr>
      <w:r>
        <w:t>Bookings</w:t>
      </w:r>
    </w:p>
    <w:p w14:paraId="304653F7" w14:textId="77777777" w:rsidR="00964996" w:rsidRDefault="00964996" w:rsidP="00964996">
      <w:pPr>
        <w:pStyle w:val="Bullet-sub2"/>
      </w:pPr>
      <w:r>
        <w:t>Cancellations and rescheduling</w:t>
      </w:r>
    </w:p>
    <w:p w14:paraId="1510082B" w14:textId="77777777" w:rsidR="00964996" w:rsidRDefault="00964996" w:rsidP="00964996">
      <w:pPr>
        <w:pStyle w:val="Bullet-sub2"/>
      </w:pPr>
      <w:r>
        <w:t>Insurance</w:t>
      </w:r>
    </w:p>
    <w:p w14:paraId="23162081" w14:textId="77777777" w:rsidR="00964996" w:rsidRDefault="00964996" w:rsidP="00964996">
      <w:pPr>
        <w:pStyle w:val="Bullet-sub2"/>
      </w:pPr>
      <w:r>
        <w:t>Payment method</w:t>
      </w:r>
    </w:p>
    <w:p w14:paraId="22E9C843" w14:textId="77777777" w:rsidR="00964996" w:rsidRDefault="00964996" w:rsidP="00964996">
      <w:pPr>
        <w:pStyle w:val="Bullet-sub2"/>
      </w:pPr>
      <w:r>
        <w:t xml:space="preserve">Refunds </w:t>
      </w:r>
    </w:p>
    <w:p w14:paraId="7DB46C2E" w14:textId="77777777" w:rsidR="00964996" w:rsidRDefault="00964996" w:rsidP="00964996">
      <w:pPr>
        <w:pStyle w:val="Bullet-sub2"/>
      </w:pPr>
      <w:r>
        <w:t>Rewards and loyalty benefits</w:t>
      </w:r>
    </w:p>
    <w:p w14:paraId="0DA7299C" w14:textId="77777777" w:rsidR="00964996" w:rsidRDefault="00964996" w:rsidP="00964996">
      <w:pPr>
        <w:pStyle w:val="Bullet-main"/>
      </w:pPr>
      <w:r>
        <w:t>Banking and/or credit details</w:t>
      </w:r>
    </w:p>
    <w:p w14:paraId="60F3F3C0" w14:textId="77777777" w:rsidR="00964996" w:rsidRDefault="00964996" w:rsidP="00964996">
      <w:pPr>
        <w:pStyle w:val="Bullet-sub2"/>
      </w:pPr>
      <w:r>
        <w:t>Details of payment method (For example, financial institution, account)</w:t>
      </w:r>
    </w:p>
    <w:p w14:paraId="09DB01CB" w14:textId="77777777" w:rsidR="00964996" w:rsidRDefault="00964996" w:rsidP="00964996">
      <w:pPr>
        <w:pStyle w:val="Bullet-main"/>
      </w:pPr>
      <w:r>
        <w:br w:type="page"/>
      </w:r>
    </w:p>
    <w:p w14:paraId="31E07195" w14:textId="77777777" w:rsidR="00964996" w:rsidRDefault="00964996" w:rsidP="00964996">
      <w:pPr>
        <w:pStyle w:val="Bullet-main"/>
      </w:pPr>
      <w:r>
        <w:lastRenderedPageBreak/>
        <w:t>Correspondence and communication</w:t>
      </w:r>
    </w:p>
    <w:p w14:paraId="0A723ABF" w14:textId="77777777" w:rsidR="00964996" w:rsidRDefault="00964996" w:rsidP="00964996">
      <w:pPr>
        <w:pStyle w:val="Bullet-sub2"/>
      </w:pPr>
      <w:r>
        <w:t>Emails</w:t>
      </w:r>
    </w:p>
    <w:p w14:paraId="5B446E27" w14:textId="77777777" w:rsidR="00964996" w:rsidRDefault="00964996" w:rsidP="00964996">
      <w:pPr>
        <w:pStyle w:val="Bullet-sub2"/>
      </w:pPr>
      <w:r>
        <w:t>Phone messages</w:t>
      </w:r>
    </w:p>
    <w:p w14:paraId="6B42B3EB" w14:textId="77777777" w:rsidR="00964996" w:rsidRDefault="00964996" w:rsidP="00964996">
      <w:pPr>
        <w:pStyle w:val="Bullet-sub2"/>
      </w:pPr>
      <w:r>
        <w:t>Phone records</w:t>
      </w:r>
    </w:p>
    <w:p w14:paraId="78FD31D5" w14:textId="77777777" w:rsidR="00964996" w:rsidRDefault="00964996" w:rsidP="00964996">
      <w:pPr>
        <w:rPr>
          <w:b/>
          <w:bCs/>
        </w:rPr>
      </w:pPr>
      <w:r>
        <w:rPr>
          <w:b/>
          <w:bCs/>
        </w:rPr>
        <w:t>How data is collected</w:t>
      </w:r>
    </w:p>
    <w:p w14:paraId="246DB523" w14:textId="77777777" w:rsidR="00964996" w:rsidRDefault="00964996" w:rsidP="00964996">
      <w:r>
        <w:t>Turtle Movers collect data from your online transactions. Transactions include information on your online removalists’ queries, service bookings and payments.</w:t>
      </w:r>
    </w:p>
    <w:p w14:paraId="1FCAC3D4" w14:textId="77777777" w:rsidR="00964996" w:rsidRDefault="00964996" w:rsidP="00964996">
      <w:pPr>
        <w:rPr>
          <w:b/>
          <w:bCs/>
        </w:rPr>
      </w:pPr>
      <w:r>
        <w:rPr>
          <w:b/>
          <w:bCs/>
        </w:rPr>
        <w:t>How data is used</w:t>
      </w:r>
    </w:p>
    <w:p w14:paraId="40C753C3" w14:textId="77777777" w:rsidR="00964996" w:rsidRDefault="00964996" w:rsidP="00964996">
      <w:r>
        <w:t>We use the data collected from your online transactions to:</w:t>
      </w:r>
    </w:p>
    <w:p w14:paraId="39E53F13" w14:textId="77777777" w:rsidR="00964996" w:rsidRDefault="00964996" w:rsidP="00964996">
      <w:pPr>
        <w:pStyle w:val="Bullet-main"/>
      </w:pPr>
      <w:r>
        <w:t>process your online removalists bookings and related activities</w:t>
      </w:r>
    </w:p>
    <w:p w14:paraId="2AB19093" w14:textId="77777777" w:rsidR="00964996" w:rsidRDefault="00964996" w:rsidP="00964996">
      <w:pPr>
        <w:pStyle w:val="Bullet-main"/>
      </w:pPr>
      <w:r>
        <w:t>deliver a personalised experience</w:t>
      </w:r>
    </w:p>
    <w:p w14:paraId="7904149E" w14:textId="77777777" w:rsidR="00964996" w:rsidRDefault="00964996" w:rsidP="00964996">
      <w:pPr>
        <w:pStyle w:val="Bullet-main"/>
      </w:pPr>
      <w:r>
        <w:t>manage internal administrative and taxation processes</w:t>
      </w:r>
    </w:p>
    <w:p w14:paraId="2C97DA99" w14:textId="77777777" w:rsidR="00964996" w:rsidRDefault="00964996" w:rsidP="00964996">
      <w:pPr>
        <w:pStyle w:val="Bullet-main"/>
      </w:pPr>
      <w:r>
        <w:t>support our marketing strategy</w:t>
      </w:r>
    </w:p>
    <w:p w14:paraId="58A9FA52" w14:textId="77777777" w:rsidR="00964996" w:rsidRDefault="00964996" w:rsidP="00964996">
      <w:r>
        <w:t xml:space="preserve">We retain your personal information linked to removalists’ jobs for the </w:t>
      </w:r>
      <w:proofErr w:type="gramStart"/>
      <w:r>
        <w:t>period of time</w:t>
      </w:r>
      <w:proofErr w:type="gramEnd"/>
      <w:r>
        <w:t xml:space="preserve"> required by the taxation department. For other situations, we only retain the data collected for the duration of the business activity.</w:t>
      </w:r>
    </w:p>
    <w:p w14:paraId="0BF4F45C" w14:textId="77777777" w:rsidR="00964996" w:rsidRDefault="00964996" w:rsidP="00964996">
      <w:pPr>
        <w:rPr>
          <w:b/>
          <w:bCs/>
        </w:rPr>
      </w:pPr>
      <w:r>
        <w:rPr>
          <w:b/>
          <w:bCs/>
        </w:rPr>
        <w:t>Disclosure of information</w:t>
      </w:r>
    </w:p>
    <w:p w14:paraId="4F4F155C" w14:textId="77777777" w:rsidR="00964996" w:rsidRDefault="00964996" w:rsidP="00964996">
      <w:r>
        <w:t xml:space="preserve">Turtle Movers does not share or sell your data to third parties and will seek your consent if personal data needs to be shared with a third party, such as an insurance company. </w:t>
      </w:r>
    </w:p>
    <w:p w14:paraId="27F33D25" w14:textId="77777777" w:rsidR="00964996" w:rsidRDefault="00964996" w:rsidP="00964996">
      <w:r>
        <w:t>There may be circumstances where we need to disclose your data to legal authorities, and we will do so as permitted by the law.</w:t>
      </w:r>
    </w:p>
    <w:p w14:paraId="397D7C4C" w14:textId="77777777" w:rsidR="00964996" w:rsidRDefault="00964996" w:rsidP="00964996">
      <w:pPr>
        <w:rPr>
          <w:b/>
          <w:bCs/>
        </w:rPr>
      </w:pPr>
      <w:r>
        <w:rPr>
          <w:b/>
          <w:bCs/>
        </w:rPr>
        <w:t>Retention and disposal of data</w:t>
      </w:r>
    </w:p>
    <w:p w14:paraId="1E1650DE" w14:textId="77777777" w:rsidR="00964996" w:rsidRDefault="00964996" w:rsidP="00964996">
      <w:r>
        <w:t xml:space="preserve">Turtle Movers will keep your personal contact details and transaction data stored securely for the required </w:t>
      </w:r>
      <w:proofErr w:type="gramStart"/>
      <w:r>
        <w:t>period of time</w:t>
      </w:r>
      <w:proofErr w:type="gramEnd"/>
      <w:r>
        <w:t xml:space="preserve"> to comply with taxation legislation. After that period has elapsed, your data will be destroyed.</w:t>
      </w:r>
    </w:p>
    <w:p w14:paraId="592925A5" w14:textId="77777777" w:rsidR="00964996" w:rsidRDefault="00964996" w:rsidP="00964996">
      <w:pPr>
        <w:rPr>
          <w:b/>
          <w:bCs/>
        </w:rPr>
      </w:pPr>
      <w:r>
        <w:rPr>
          <w:b/>
          <w:bCs/>
        </w:rPr>
        <w:t>Concerns and complaints</w:t>
      </w:r>
    </w:p>
    <w:p w14:paraId="1A961258" w14:textId="77777777" w:rsidR="00964996" w:rsidRDefault="00964996" w:rsidP="00964996">
      <w:r>
        <w:t>To lodge a complaint against this policy, download the complaint form from our website and follow the lodgement instructions. All complaints are addressed promptly and professionally.</w:t>
      </w:r>
    </w:p>
    <w:p w14:paraId="0A4A86EC" w14:textId="77777777" w:rsidR="00964996" w:rsidRDefault="00964996" w:rsidP="00964996">
      <w:r>
        <w:lastRenderedPageBreak/>
        <w:t>Contact us if you have any questions or concerns regarding this policy. Contact details:</w:t>
      </w:r>
    </w:p>
    <w:p w14:paraId="6826D41D" w14:textId="77777777" w:rsidR="00964996" w:rsidRDefault="00964996" w:rsidP="00964996">
      <w:pPr>
        <w:pStyle w:val="Bullet-main"/>
      </w:pPr>
      <w:r>
        <w:t>Email: turlemovers@tm.com.au</w:t>
      </w:r>
    </w:p>
    <w:p w14:paraId="34A44835" w14:textId="77777777" w:rsidR="00964996" w:rsidRDefault="00964996" w:rsidP="00964996">
      <w:pPr>
        <w:pStyle w:val="Bullet-main"/>
      </w:pPr>
      <w:r>
        <w:t>Phone: 123456789</w:t>
      </w:r>
    </w:p>
    <w:p w14:paraId="1D72F3C5" w14:textId="77777777" w:rsidR="00964996" w:rsidRDefault="00964996" w:rsidP="00964996">
      <w:r>
        <w:br w:type="page"/>
      </w:r>
    </w:p>
    <w:p w14:paraId="5DFE903A" w14:textId="77777777" w:rsidR="00964996" w:rsidRDefault="00964996" w:rsidP="00964996">
      <w:pPr>
        <w:pStyle w:val="Heading1"/>
      </w:pPr>
      <w:r>
        <w:lastRenderedPageBreak/>
        <w:t xml:space="preserve">PRIVACY PROCEDURES for Turtle Movers </w:t>
      </w:r>
    </w:p>
    <w:p w14:paraId="09EFDBBD" w14:textId="77777777" w:rsidR="00964996" w:rsidRDefault="00964996" w:rsidP="00964996">
      <w:pPr>
        <w:rPr>
          <w:b/>
          <w:bCs/>
          <w:sz w:val="28"/>
          <w:szCs w:val="28"/>
        </w:rPr>
      </w:pPr>
      <w:r>
        <w:rPr>
          <w:b/>
          <w:bCs/>
          <w:sz w:val="28"/>
          <w:szCs w:val="28"/>
        </w:rPr>
        <w:t>Lodging a Privacy Complaint</w:t>
      </w:r>
    </w:p>
    <w:p w14:paraId="51CD8CE5" w14:textId="77777777" w:rsidR="00964996" w:rsidRDefault="00964996" w:rsidP="00964996">
      <w:pPr>
        <w:rPr>
          <w:b/>
          <w:bCs/>
          <w:szCs w:val="22"/>
        </w:rPr>
      </w:pPr>
    </w:p>
    <w:p w14:paraId="55A2FF9D" w14:textId="77777777" w:rsidR="00964996" w:rsidRDefault="00964996" w:rsidP="00964996">
      <w:r>
        <w:rPr>
          <w:b/>
          <w:bCs/>
        </w:rPr>
        <w:t>Purpose:</w:t>
      </w:r>
      <w:r>
        <w:t xml:space="preserve"> This procedure outlines the actions that need to be carried out to lodge a Privacy Policy complaint.</w:t>
      </w:r>
    </w:p>
    <w:p w14:paraId="6934FC61" w14:textId="77777777" w:rsidR="00964996" w:rsidRDefault="00964996" w:rsidP="00964996">
      <w:r>
        <w:rPr>
          <w:b/>
          <w:bCs/>
        </w:rPr>
        <w:t>Scope:</w:t>
      </w:r>
      <w:r>
        <w:t xml:space="preserve"> All employees and clients of Turtle Movers</w:t>
      </w:r>
    </w:p>
    <w:p w14:paraId="30C306FB" w14:textId="77777777" w:rsidR="00964996" w:rsidRDefault="00964996" w:rsidP="00964996">
      <w:pPr>
        <w:rPr>
          <w:b/>
          <w:bCs/>
        </w:rPr>
      </w:pPr>
      <w:r>
        <w:rPr>
          <w:b/>
          <w:bCs/>
        </w:rPr>
        <w:t>Responsibilities:</w:t>
      </w:r>
    </w:p>
    <w:p w14:paraId="44EF9AAF" w14:textId="77777777" w:rsidR="00964996" w:rsidRDefault="00964996" w:rsidP="00964996">
      <w:r>
        <w:t>The responsibility for actioning, processing and resolving privacy complaints falls on Turtle Movers’ management.</w:t>
      </w:r>
    </w:p>
    <w:p w14:paraId="370DFAB3" w14:textId="77777777" w:rsidR="00964996" w:rsidRDefault="00964996" w:rsidP="00964996">
      <w:pPr>
        <w:rPr>
          <w:b/>
          <w:bCs/>
        </w:rPr>
      </w:pPr>
      <w:r>
        <w:rPr>
          <w:b/>
          <w:bCs/>
        </w:rPr>
        <w:t>Lodging a privacy complaint:</w:t>
      </w:r>
    </w:p>
    <w:p w14:paraId="2E5777AD" w14:textId="77777777" w:rsidR="00964996" w:rsidRDefault="00964996" w:rsidP="00964996">
      <w:pPr>
        <w:pStyle w:val="Bullet-main"/>
      </w:pPr>
      <w:r>
        <w:t>To lodge a privacy complaint, you need to access the Privacy Complaint Form from the company website. It is located in the legal section of the website. You can request the form to be sent to you via email.</w:t>
      </w:r>
    </w:p>
    <w:p w14:paraId="6C96E8BC" w14:textId="77777777" w:rsidR="00964996" w:rsidRDefault="00964996" w:rsidP="00964996">
      <w:pPr>
        <w:pStyle w:val="Bullet-main"/>
      </w:pPr>
      <w:r>
        <w:t>Once you have the form, complete all sections with as many details as possible to ensure that there are no delays in processing the complaint.</w:t>
      </w:r>
    </w:p>
    <w:p w14:paraId="746B59AC" w14:textId="77777777" w:rsidR="00964996" w:rsidRDefault="00964996" w:rsidP="00964996">
      <w:pPr>
        <w:pStyle w:val="Bullet-main"/>
      </w:pPr>
      <w:r>
        <w:t xml:space="preserve">Submit the completed form if you accessed the website </w:t>
      </w:r>
      <w:proofErr w:type="gramStart"/>
      <w:r>
        <w:t>form, or</w:t>
      </w:r>
      <w:proofErr w:type="gramEnd"/>
      <w:r>
        <w:t xml:space="preserve"> email the form if you requested one via email.</w:t>
      </w:r>
    </w:p>
    <w:p w14:paraId="555C128B" w14:textId="77777777" w:rsidR="00964996" w:rsidRDefault="00964996" w:rsidP="00964996">
      <w:pPr>
        <w:rPr>
          <w:b/>
          <w:bCs/>
        </w:rPr>
      </w:pPr>
      <w:r>
        <w:rPr>
          <w:b/>
          <w:bCs/>
        </w:rPr>
        <w:t xml:space="preserve">Acknowledgement of privacy complaint </w:t>
      </w:r>
    </w:p>
    <w:p w14:paraId="48405076" w14:textId="77777777" w:rsidR="00964996" w:rsidRDefault="00964996" w:rsidP="00964996">
      <w:pPr>
        <w:pStyle w:val="Bullet-main"/>
      </w:pPr>
      <w:r>
        <w:t xml:space="preserve">Turtle Movers take complaints </w:t>
      </w:r>
      <w:proofErr w:type="gramStart"/>
      <w:r>
        <w:t>seriously, and</w:t>
      </w:r>
      <w:proofErr w:type="gramEnd"/>
      <w:r>
        <w:t xml:space="preserve"> will endeavour to acknowledge receipt of the complaint within 48 hours.</w:t>
      </w:r>
    </w:p>
    <w:p w14:paraId="665BA345" w14:textId="77777777" w:rsidR="00964996" w:rsidRDefault="00964996" w:rsidP="00964996">
      <w:pPr>
        <w:rPr>
          <w:b/>
          <w:bCs/>
        </w:rPr>
      </w:pPr>
      <w:r>
        <w:rPr>
          <w:b/>
          <w:bCs/>
        </w:rPr>
        <w:t>Processing a privacy complaint</w:t>
      </w:r>
    </w:p>
    <w:p w14:paraId="64937730" w14:textId="77777777" w:rsidR="00964996" w:rsidRDefault="00964996" w:rsidP="00964996">
      <w:pPr>
        <w:pStyle w:val="Bullet-main"/>
      </w:pPr>
      <w:r>
        <w:t>Management will investigate the complaint within 7 days of receiving it. During this period, they may contact the complainant if further information is required.</w:t>
      </w:r>
    </w:p>
    <w:p w14:paraId="08506693" w14:textId="77777777" w:rsidR="00964996" w:rsidRDefault="00964996" w:rsidP="00964996">
      <w:pPr>
        <w:pStyle w:val="Bullet-main"/>
      </w:pPr>
      <w:r>
        <w:t>In most cases, complaints are resolved in conversation with the complainant by addressing all the issues and concerns and negotiating a resolution.</w:t>
      </w:r>
    </w:p>
    <w:p w14:paraId="0F7BCBBB" w14:textId="77777777" w:rsidR="00964996" w:rsidRDefault="00964996" w:rsidP="00964996">
      <w:pPr>
        <w:pStyle w:val="Bullet-main"/>
      </w:pPr>
      <w:r>
        <w:t>If more information or investigation is required and the process is delayed, management will keep the complainant continuously updated on the process.</w:t>
      </w:r>
    </w:p>
    <w:p w14:paraId="1B436C80" w14:textId="77777777" w:rsidR="00964996" w:rsidRDefault="00964996" w:rsidP="00964996">
      <w:r>
        <w:br w:type="page"/>
      </w:r>
    </w:p>
    <w:p w14:paraId="04A61A62" w14:textId="77777777" w:rsidR="00964996" w:rsidRDefault="00964996" w:rsidP="00964996">
      <w:pPr>
        <w:rPr>
          <w:b/>
          <w:bCs/>
        </w:rPr>
      </w:pPr>
      <w:r>
        <w:rPr>
          <w:b/>
          <w:bCs/>
        </w:rPr>
        <w:lastRenderedPageBreak/>
        <w:t>Resolving and closing a privacy complaint</w:t>
      </w:r>
    </w:p>
    <w:p w14:paraId="734ED7B2" w14:textId="77777777" w:rsidR="00964996" w:rsidRDefault="00964996" w:rsidP="00964996">
      <w:pPr>
        <w:pStyle w:val="Bullet-main"/>
      </w:pPr>
      <w:r>
        <w:t>Once processing, investigation and communication with the complainant has concluded, management will communicate the resolution to the complainant. If both parties agree at this stage, the resolution will be formally documented and archived by management.</w:t>
      </w:r>
    </w:p>
    <w:p w14:paraId="32B5CD6A" w14:textId="77777777" w:rsidR="00964996" w:rsidRDefault="00964996" w:rsidP="00964996">
      <w:pPr>
        <w:pStyle w:val="Bullet-main"/>
      </w:pPr>
      <w:r>
        <w:t>If it is pertinent, management will formally apologise to the complainant and take the necessary measures to eradicate the problem.</w:t>
      </w:r>
    </w:p>
    <w:p w14:paraId="039617D4" w14:textId="77777777" w:rsidR="00964996" w:rsidRDefault="00964996" w:rsidP="00964996">
      <w:pPr>
        <w:pStyle w:val="Bullet-main"/>
      </w:pPr>
      <w:r>
        <w:t>In the event that a mutually agreeable resolution has not been reached, either party may decide to get independent legal advice on the matter.</w:t>
      </w:r>
    </w:p>
    <w:p w14:paraId="301CDBF6" w14:textId="77777777" w:rsidR="00964996" w:rsidRDefault="00964996" w:rsidP="00964996">
      <w:pPr>
        <w:pStyle w:val="Bullet-main"/>
      </w:pPr>
      <w:r>
        <w:t>Turtle Movers is committed to resolving all complaints promptly and amicably.</w:t>
      </w:r>
    </w:p>
    <w:p w14:paraId="5E2F2BD4" w14:textId="77777777" w:rsidR="00964996" w:rsidRDefault="00964996" w:rsidP="00964996">
      <w:pPr>
        <w:rPr>
          <w:b/>
          <w:bCs/>
        </w:rPr>
      </w:pPr>
      <w:r>
        <w:rPr>
          <w:b/>
          <w:bCs/>
        </w:rPr>
        <w:br w:type="page"/>
      </w:r>
    </w:p>
    <w:p w14:paraId="52B15E73" w14:textId="77777777" w:rsidR="00964996" w:rsidRDefault="00964996" w:rsidP="00964996">
      <w:pPr>
        <w:pStyle w:val="Heading1"/>
        <w:rPr>
          <w:bCs/>
        </w:rPr>
      </w:pPr>
      <w:r>
        <w:lastRenderedPageBreak/>
        <w:t>PRIVACY PRACTICES for TURTLE MOVERS</w:t>
      </w:r>
    </w:p>
    <w:p w14:paraId="798133F8" w14:textId="77777777" w:rsidR="00964996" w:rsidRDefault="00964996" w:rsidP="00964996"/>
    <w:p w14:paraId="6CB3BB42" w14:textId="77777777" w:rsidR="00964996" w:rsidRDefault="00964996" w:rsidP="00964996">
      <w:r>
        <w:t>Turtle Movers has in place a set of privacy practices to ensure that employees comply with company policy regarding privacy. These practices aim to protect the privacy of customers’ personal data.</w:t>
      </w:r>
    </w:p>
    <w:p w14:paraId="4623D115" w14:textId="77777777" w:rsidR="00964996" w:rsidRDefault="00964996" w:rsidP="00964996"/>
    <w:p w14:paraId="6718E114" w14:textId="77777777" w:rsidR="00964996" w:rsidRDefault="00964996" w:rsidP="00964996">
      <w:pPr>
        <w:rPr>
          <w:b/>
          <w:bCs/>
        </w:rPr>
      </w:pPr>
      <w:r>
        <w:rPr>
          <w:b/>
          <w:bCs/>
        </w:rPr>
        <w:t>Privacy practices:</w:t>
      </w:r>
    </w:p>
    <w:p w14:paraId="407F9CEC" w14:textId="77777777" w:rsidR="00964996" w:rsidRDefault="00964996" w:rsidP="00964996">
      <w:pPr>
        <w:pStyle w:val="Bullet-main"/>
      </w:pPr>
      <w:r>
        <w:t xml:space="preserve">Enforce strong passwords. </w:t>
      </w:r>
    </w:p>
    <w:p w14:paraId="7AB3EFB5" w14:textId="77777777" w:rsidR="00964996" w:rsidRDefault="00964996" w:rsidP="00964996">
      <w:pPr>
        <w:pStyle w:val="Bullet-main"/>
      </w:pPr>
      <w:r>
        <w:t>Employ encryption for sensitive data.</w:t>
      </w:r>
    </w:p>
    <w:p w14:paraId="63FFFB1F" w14:textId="77777777" w:rsidR="00964996" w:rsidRDefault="00964996" w:rsidP="00964996">
      <w:pPr>
        <w:pStyle w:val="Bullet-main"/>
      </w:pPr>
      <w:r>
        <w:t>Compulsory privacy training and awareness of all employees.</w:t>
      </w:r>
    </w:p>
    <w:p w14:paraId="6E51C494" w14:textId="77777777" w:rsidR="00964996" w:rsidRDefault="00964996" w:rsidP="00964996">
      <w:pPr>
        <w:pStyle w:val="Bullet-main"/>
      </w:pPr>
      <w:r>
        <w:t>Back up data.</w:t>
      </w:r>
    </w:p>
    <w:p w14:paraId="51EF4652" w14:textId="77777777" w:rsidR="00964996" w:rsidRDefault="00964996" w:rsidP="00964996">
      <w:pPr>
        <w:pStyle w:val="Bullet-main"/>
      </w:pPr>
      <w:r>
        <w:t>Protect data from insider threats. This type of threat may originate from:</w:t>
      </w:r>
    </w:p>
    <w:p w14:paraId="636988A3" w14:textId="77777777" w:rsidR="00964996" w:rsidRDefault="00964996" w:rsidP="00964996">
      <w:pPr>
        <w:pStyle w:val="Bullet-sub2"/>
      </w:pPr>
      <w:r>
        <w:t>Negligent employees</w:t>
      </w:r>
    </w:p>
    <w:p w14:paraId="62ABAEAD" w14:textId="77777777" w:rsidR="00964996" w:rsidRDefault="00964996" w:rsidP="00964996">
      <w:pPr>
        <w:pStyle w:val="Bullet-sub2"/>
      </w:pPr>
      <w:r>
        <w:t>Third-Party Partners</w:t>
      </w:r>
    </w:p>
    <w:p w14:paraId="6F591E67" w14:textId="77777777" w:rsidR="00964996" w:rsidRDefault="00964996" w:rsidP="00964996">
      <w:pPr>
        <w:pStyle w:val="Bullet-sub2"/>
      </w:pPr>
      <w:r>
        <w:t>Ex-employees</w:t>
      </w:r>
    </w:p>
    <w:p w14:paraId="48F0436A" w14:textId="77777777" w:rsidR="00964996" w:rsidRDefault="00964996" w:rsidP="00964996">
      <w:pPr>
        <w:pStyle w:val="Bullet-sub2"/>
      </w:pPr>
      <w:r>
        <w:t>Policy Evaders</w:t>
      </w:r>
    </w:p>
    <w:p w14:paraId="445705DC" w14:textId="77777777" w:rsidR="00964996" w:rsidRDefault="00964996" w:rsidP="00964996">
      <w:pPr>
        <w:pStyle w:val="Bullet-main"/>
        <w:rPr>
          <w:lang w:eastAsia="en-AU"/>
        </w:rPr>
      </w:pPr>
      <w:r>
        <w:rPr>
          <w:lang w:eastAsia="en-AU"/>
        </w:rPr>
        <w:t>Use end-point security systems to protect data</w:t>
      </w:r>
    </w:p>
    <w:p w14:paraId="5988A648" w14:textId="77777777" w:rsidR="00964996" w:rsidRDefault="00964996" w:rsidP="00964996">
      <w:pPr>
        <w:pStyle w:val="Bullet-main"/>
        <w:rPr>
          <w:lang w:eastAsia="en-AU"/>
        </w:rPr>
      </w:pPr>
      <w:r>
        <w:rPr>
          <w:lang w:eastAsia="en-AU"/>
        </w:rPr>
        <w:t>Conduct proper disposal of electronic and physical copies of personal and protected data.</w:t>
      </w:r>
    </w:p>
    <w:p w14:paraId="6A5FFE6E" w14:textId="77777777" w:rsidR="00964996" w:rsidRDefault="00964996" w:rsidP="00964996">
      <w:pPr>
        <w:pStyle w:val="Bullet-main"/>
        <w:rPr>
          <w:lang w:eastAsia="en-AU"/>
        </w:rPr>
      </w:pPr>
      <w:r>
        <w:rPr>
          <w:lang w:eastAsia="en-AU"/>
        </w:rPr>
        <w:t>Implement a trifecta of physical, technical, and administrative controls to safeguard personal information.</w:t>
      </w:r>
    </w:p>
    <w:p w14:paraId="7FB0BFD6" w14:textId="77777777" w:rsidR="00964996" w:rsidRDefault="00964996" w:rsidP="00964996">
      <w:pPr>
        <w:rPr>
          <w:b/>
          <w:bCs/>
        </w:rPr>
      </w:pPr>
    </w:p>
    <w:p w14:paraId="73CD9D3D" w14:textId="77777777" w:rsidR="00015C07" w:rsidRPr="0081155B" w:rsidRDefault="00015C07" w:rsidP="00F74393">
      <w:pPr>
        <w:rPr>
          <w:lang w:val="en-AU" w:eastAsia="en-AU"/>
        </w:rPr>
      </w:pPr>
    </w:p>
    <w:sectPr w:rsidR="00015C07" w:rsidRPr="0081155B" w:rsidSect="00085617">
      <w:headerReference w:type="default" r:id="rId41"/>
      <w:footerReference w:type="default" r:id="rId42"/>
      <w:pgSz w:w="11907" w:h="16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53572" w14:textId="77777777" w:rsidR="0051749E" w:rsidRDefault="0051749E">
      <w:r>
        <w:separator/>
      </w:r>
    </w:p>
  </w:endnote>
  <w:endnote w:type="continuationSeparator" w:id="0">
    <w:p w14:paraId="275595B8" w14:textId="77777777" w:rsidR="0051749E" w:rsidRDefault="00517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29B80" w14:textId="77777777" w:rsidR="00CB7391" w:rsidRPr="009E1A59" w:rsidRDefault="009E1A59" w:rsidP="009E1A59">
    <w:pPr>
      <w:pStyle w:val="Header"/>
      <w:rPr>
        <w:rFonts w:cs="Arial"/>
        <w:sz w:val="18"/>
        <w:szCs w:val="18"/>
      </w:rPr>
    </w:pPr>
    <w:r w:rsidRPr="008B70B4">
      <w:rPr>
        <w:rFonts w:cs="Arial"/>
        <w:color w:val="44546A" w:themeColor="text2"/>
        <w:sz w:val="18"/>
        <w:szCs w:val="18"/>
      </w:rPr>
      <w:t>MidTown IT Cyber Legislation and Policies Report Template</w:t>
    </w:r>
    <w:r>
      <w:rPr>
        <w:rFonts w:cs="Arial"/>
        <w:color w:val="44546A" w:themeColor="text2"/>
        <w:sz w:val="18"/>
        <w:szCs w:val="18"/>
      </w:rPr>
      <w:t>.doc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C6275" w14:textId="77777777" w:rsidR="0051749E" w:rsidRDefault="0051749E">
      <w:r>
        <w:separator/>
      </w:r>
    </w:p>
  </w:footnote>
  <w:footnote w:type="continuationSeparator" w:id="0">
    <w:p w14:paraId="63C8DA50" w14:textId="77777777" w:rsidR="0051749E" w:rsidRDefault="00517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BA89E" w14:textId="70CD7A8A" w:rsidR="00CB7391" w:rsidRPr="00085617" w:rsidRDefault="006F4CE0">
    <w:pPr>
      <w:pStyle w:val="Header"/>
      <w:rPr>
        <w:rFonts w:cs="Arial"/>
        <w:sz w:val="18"/>
        <w:szCs w:val="18"/>
      </w:rPr>
    </w:pPr>
    <w:r>
      <w:rPr>
        <w:rFonts w:cs="Arial"/>
        <w:color w:val="44546A" w:themeColor="text2"/>
        <w:sz w:val="18"/>
        <w:szCs w:val="18"/>
      </w:rPr>
      <w:t>VU23223_</w:t>
    </w:r>
    <w:r w:rsidR="00CB7391" w:rsidRPr="008B70B4">
      <w:rPr>
        <w:rFonts w:cs="Arial"/>
        <w:color w:val="44546A" w:themeColor="text2"/>
        <w:sz w:val="18"/>
        <w:szCs w:val="18"/>
      </w:rPr>
      <w:t>MidTown IT Cyber Legislation and Policies Report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8FCDD7"/>
    <w:multiLevelType w:val="multilevel"/>
    <w:tmpl w:val="858FCDD7"/>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sz w:val="16"/>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D47D59"/>
    <w:multiLevelType w:val="hybridMultilevel"/>
    <w:tmpl w:val="34C6E924"/>
    <w:lvl w:ilvl="0" w:tplc="0C090001">
      <w:start w:val="1"/>
      <w:numFmt w:val="bullet"/>
      <w:lvlText w:val=""/>
      <w:lvlJc w:val="left"/>
      <w:pPr>
        <w:ind w:left="2028" w:hanging="360"/>
      </w:pPr>
      <w:rPr>
        <w:rFonts w:ascii="Symbol" w:hAnsi="Symbol" w:hint="default"/>
      </w:rPr>
    </w:lvl>
    <w:lvl w:ilvl="1" w:tplc="0C090003" w:tentative="1">
      <w:start w:val="1"/>
      <w:numFmt w:val="bullet"/>
      <w:lvlText w:val="o"/>
      <w:lvlJc w:val="left"/>
      <w:pPr>
        <w:ind w:left="2748" w:hanging="360"/>
      </w:pPr>
      <w:rPr>
        <w:rFonts w:ascii="Courier New" w:hAnsi="Courier New" w:cs="Courier New" w:hint="default"/>
      </w:rPr>
    </w:lvl>
    <w:lvl w:ilvl="2" w:tplc="0C090005" w:tentative="1">
      <w:start w:val="1"/>
      <w:numFmt w:val="bullet"/>
      <w:lvlText w:val=""/>
      <w:lvlJc w:val="left"/>
      <w:pPr>
        <w:ind w:left="3468" w:hanging="360"/>
      </w:pPr>
      <w:rPr>
        <w:rFonts w:ascii="Wingdings" w:hAnsi="Wingdings" w:hint="default"/>
      </w:rPr>
    </w:lvl>
    <w:lvl w:ilvl="3" w:tplc="0C090001" w:tentative="1">
      <w:start w:val="1"/>
      <w:numFmt w:val="bullet"/>
      <w:lvlText w:val=""/>
      <w:lvlJc w:val="left"/>
      <w:pPr>
        <w:ind w:left="4188" w:hanging="360"/>
      </w:pPr>
      <w:rPr>
        <w:rFonts w:ascii="Symbol" w:hAnsi="Symbol" w:hint="default"/>
      </w:rPr>
    </w:lvl>
    <w:lvl w:ilvl="4" w:tplc="0C090003" w:tentative="1">
      <w:start w:val="1"/>
      <w:numFmt w:val="bullet"/>
      <w:lvlText w:val="o"/>
      <w:lvlJc w:val="left"/>
      <w:pPr>
        <w:ind w:left="4908" w:hanging="360"/>
      </w:pPr>
      <w:rPr>
        <w:rFonts w:ascii="Courier New" w:hAnsi="Courier New" w:cs="Courier New" w:hint="default"/>
      </w:rPr>
    </w:lvl>
    <w:lvl w:ilvl="5" w:tplc="0C090005" w:tentative="1">
      <w:start w:val="1"/>
      <w:numFmt w:val="bullet"/>
      <w:lvlText w:val=""/>
      <w:lvlJc w:val="left"/>
      <w:pPr>
        <w:ind w:left="5628" w:hanging="360"/>
      </w:pPr>
      <w:rPr>
        <w:rFonts w:ascii="Wingdings" w:hAnsi="Wingdings" w:hint="default"/>
      </w:rPr>
    </w:lvl>
    <w:lvl w:ilvl="6" w:tplc="0C090001" w:tentative="1">
      <w:start w:val="1"/>
      <w:numFmt w:val="bullet"/>
      <w:lvlText w:val=""/>
      <w:lvlJc w:val="left"/>
      <w:pPr>
        <w:ind w:left="6348" w:hanging="360"/>
      </w:pPr>
      <w:rPr>
        <w:rFonts w:ascii="Symbol" w:hAnsi="Symbol" w:hint="default"/>
      </w:rPr>
    </w:lvl>
    <w:lvl w:ilvl="7" w:tplc="0C090003" w:tentative="1">
      <w:start w:val="1"/>
      <w:numFmt w:val="bullet"/>
      <w:lvlText w:val="o"/>
      <w:lvlJc w:val="left"/>
      <w:pPr>
        <w:ind w:left="7068" w:hanging="360"/>
      </w:pPr>
      <w:rPr>
        <w:rFonts w:ascii="Courier New" w:hAnsi="Courier New" w:cs="Courier New" w:hint="default"/>
      </w:rPr>
    </w:lvl>
    <w:lvl w:ilvl="8" w:tplc="0C090005" w:tentative="1">
      <w:start w:val="1"/>
      <w:numFmt w:val="bullet"/>
      <w:lvlText w:val=""/>
      <w:lvlJc w:val="left"/>
      <w:pPr>
        <w:ind w:left="7788" w:hanging="360"/>
      </w:pPr>
      <w:rPr>
        <w:rFonts w:ascii="Wingdings" w:hAnsi="Wingdings" w:hint="default"/>
      </w:rPr>
    </w:lvl>
  </w:abstractNum>
  <w:abstractNum w:abstractNumId="2" w15:restartNumberingAfterBreak="0">
    <w:nsid w:val="04154A17"/>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5C74EDF"/>
    <w:multiLevelType w:val="hybridMultilevel"/>
    <w:tmpl w:val="16066258"/>
    <w:lvl w:ilvl="0" w:tplc="0C090017">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8472CF"/>
    <w:multiLevelType w:val="multilevel"/>
    <w:tmpl w:val="078472CF"/>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5" w15:restartNumberingAfterBreak="0">
    <w:nsid w:val="07CE0C8F"/>
    <w:multiLevelType w:val="hybridMultilevel"/>
    <w:tmpl w:val="87ECD1B8"/>
    <w:lvl w:ilvl="0" w:tplc="1C90453C">
      <w:start w:val="1"/>
      <w:numFmt w:val="lowerLetter"/>
      <w:lvlText w:val="%1)"/>
      <w:lvlJc w:val="left"/>
      <w:pPr>
        <w:ind w:left="1176" w:hanging="456"/>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084E243F"/>
    <w:multiLevelType w:val="multilevel"/>
    <w:tmpl w:val="084E243F"/>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0CEC7827"/>
    <w:multiLevelType w:val="multilevel"/>
    <w:tmpl w:val="0CEC7827"/>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0DCD19AA"/>
    <w:multiLevelType w:val="hybridMultilevel"/>
    <w:tmpl w:val="8D92B4B4"/>
    <w:lvl w:ilvl="0" w:tplc="0C090001">
      <w:start w:val="1"/>
      <w:numFmt w:val="bullet"/>
      <w:lvlText w:val=""/>
      <w:lvlJc w:val="left"/>
      <w:pPr>
        <w:ind w:left="1571" w:hanging="360"/>
      </w:pPr>
      <w:rPr>
        <w:rFonts w:ascii="Symbol" w:hAnsi="Symbol" w:hint="default"/>
      </w:rPr>
    </w:lvl>
    <w:lvl w:ilvl="1" w:tplc="0C090003">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0" w15:restartNumberingAfterBreak="0">
    <w:nsid w:val="0DF52ACA"/>
    <w:multiLevelType w:val="hybridMultilevel"/>
    <w:tmpl w:val="86FCE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F90489"/>
    <w:multiLevelType w:val="hybridMultilevel"/>
    <w:tmpl w:val="B9EE5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2848A6E"/>
    <w:multiLevelType w:val="singleLevel"/>
    <w:tmpl w:val="12848A6E"/>
    <w:lvl w:ilvl="0">
      <w:start w:val="1"/>
      <w:numFmt w:val="bullet"/>
      <w:lvlText w:val=""/>
      <w:lvlJc w:val="left"/>
      <w:pPr>
        <w:tabs>
          <w:tab w:val="num" w:pos="420"/>
        </w:tabs>
        <w:ind w:left="420" w:hanging="420"/>
      </w:pPr>
      <w:rPr>
        <w:rFonts w:ascii="Wingdings" w:hAnsi="Wingdings" w:hint="default"/>
        <w:sz w:val="16"/>
      </w:rPr>
    </w:lvl>
  </w:abstractNum>
  <w:abstractNum w:abstractNumId="13" w15:restartNumberingAfterBreak="0">
    <w:nsid w:val="133C173B"/>
    <w:multiLevelType w:val="hybridMultilevel"/>
    <w:tmpl w:val="77BA9AD2"/>
    <w:lvl w:ilvl="0" w:tplc="C31E0C76">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14E96714"/>
    <w:multiLevelType w:val="multilevel"/>
    <w:tmpl w:val="14E96714"/>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5" w15:restartNumberingAfterBreak="0">
    <w:nsid w:val="1510459D"/>
    <w:multiLevelType w:val="hybridMultilevel"/>
    <w:tmpl w:val="C226E6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61139F4"/>
    <w:multiLevelType w:val="hybridMultilevel"/>
    <w:tmpl w:val="28222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951738F"/>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15:restartNumberingAfterBreak="0">
    <w:nsid w:val="219C03EE"/>
    <w:multiLevelType w:val="multilevel"/>
    <w:tmpl w:val="219C03E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9" w15:restartNumberingAfterBreak="0">
    <w:nsid w:val="21AF6BB6"/>
    <w:multiLevelType w:val="hybridMultilevel"/>
    <w:tmpl w:val="764251A6"/>
    <w:lvl w:ilvl="0" w:tplc="AF22589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482482C"/>
    <w:multiLevelType w:val="multilevel"/>
    <w:tmpl w:val="2482482C"/>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26DE3F8D"/>
    <w:multiLevelType w:val="hybridMultilevel"/>
    <w:tmpl w:val="8F46F3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8BD0305"/>
    <w:multiLevelType w:val="hybridMultilevel"/>
    <w:tmpl w:val="D6B8043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2B5A5527"/>
    <w:multiLevelType w:val="hybridMultilevel"/>
    <w:tmpl w:val="18D86E10"/>
    <w:lvl w:ilvl="0" w:tplc="0C090017">
      <w:start w:val="1"/>
      <w:numFmt w:val="lowerLetter"/>
      <w:lvlText w:val="%1)"/>
      <w:lvlJc w:val="left"/>
      <w:pPr>
        <w:ind w:left="810" w:hanging="360"/>
      </w:p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25" w15:restartNumberingAfterBreak="0">
    <w:nsid w:val="2EA82E12"/>
    <w:multiLevelType w:val="multilevel"/>
    <w:tmpl w:val="2EA82E1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2F366D68"/>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31430561"/>
    <w:multiLevelType w:val="multilevel"/>
    <w:tmpl w:val="3143056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2342331"/>
    <w:multiLevelType w:val="multilevel"/>
    <w:tmpl w:val="EADA696A"/>
    <w:lvl w:ilvl="0">
      <w:start w:val="1"/>
      <w:numFmt w:val="decimal"/>
      <w:lvlText w:val="%1"/>
      <w:lvlJc w:val="left"/>
      <w:pPr>
        <w:ind w:left="990" w:hanging="990"/>
      </w:pPr>
      <w:rPr>
        <w:rFonts w:hint="default"/>
        <w:b/>
      </w:rPr>
    </w:lvl>
    <w:lvl w:ilvl="1">
      <w:start w:val="1"/>
      <w:numFmt w:val="decimal"/>
      <w:lvlText w:val="%1.%2"/>
      <w:lvlJc w:val="left"/>
      <w:pPr>
        <w:ind w:left="990" w:hanging="990"/>
      </w:pPr>
      <w:rPr>
        <w:rFonts w:hint="default"/>
        <w:b w:val="0"/>
      </w:rPr>
    </w:lvl>
    <w:lvl w:ilvl="2">
      <w:start w:val="1"/>
      <w:numFmt w:val="decimal"/>
      <w:lvlText w:val="%1.%2.%3"/>
      <w:lvlJc w:val="left"/>
      <w:pPr>
        <w:ind w:left="990" w:hanging="990"/>
      </w:pPr>
      <w:rPr>
        <w:rFonts w:hint="default"/>
        <w:b/>
      </w:rPr>
    </w:lvl>
    <w:lvl w:ilvl="3">
      <w:start w:val="1"/>
      <w:numFmt w:val="decimal"/>
      <w:lvlText w:val="%1.%2.%3.%4"/>
      <w:lvlJc w:val="left"/>
      <w:pPr>
        <w:ind w:left="990" w:hanging="99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348804C5"/>
    <w:multiLevelType w:val="hybridMultilevel"/>
    <w:tmpl w:val="8A94B5C4"/>
    <w:lvl w:ilvl="0" w:tplc="B498AC4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6521832"/>
    <w:multiLevelType w:val="multilevel"/>
    <w:tmpl w:val="3652183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1" w15:restartNumberingAfterBreak="0">
    <w:nsid w:val="49D777FE"/>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2" w15:restartNumberingAfterBreak="0">
    <w:nsid w:val="4BCB0001"/>
    <w:multiLevelType w:val="multilevel"/>
    <w:tmpl w:val="4BCB0001"/>
    <w:lvl w:ilvl="0">
      <w:start w:val="1"/>
      <w:numFmt w:val="bullet"/>
      <w:lvlText w:val=""/>
      <w:lvlJc w:val="left"/>
      <w:pPr>
        <w:ind w:left="2155" w:hanging="360"/>
      </w:pPr>
      <w:rPr>
        <w:rFonts w:ascii="Symbol" w:hAnsi="Symbol" w:hint="default"/>
      </w:rPr>
    </w:lvl>
    <w:lvl w:ilvl="1">
      <w:start w:val="1"/>
      <w:numFmt w:val="bullet"/>
      <w:lvlText w:val="o"/>
      <w:lvlJc w:val="left"/>
      <w:pPr>
        <w:ind w:left="2875" w:hanging="360"/>
      </w:pPr>
      <w:rPr>
        <w:rFonts w:ascii="Courier New" w:hAnsi="Courier New" w:cs="Courier New" w:hint="default"/>
      </w:rPr>
    </w:lvl>
    <w:lvl w:ilvl="2">
      <w:start w:val="1"/>
      <w:numFmt w:val="bullet"/>
      <w:lvlText w:val=""/>
      <w:lvlJc w:val="left"/>
      <w:pPr>
        <w:ind w:left="3595" w:hanging="360"/>
      </w:pPr>
      <w:rPr>
        <w:rFonts w:ascii="Wingdings" w:hAnsi="Wingdings" w:hint="default"/>
      </w:rPr>
    </w:lvl>
    <w:lvl w:ilvl="3">
      <w:start w:val="1"/>
      <w:numFmt w:val="bullet"/>
      <w:lvlText w:val=""/>
      <w:lvlJc w:val="left"/>
      <w:pPr>
        <w:ind w:left="4315" w:hanging="360"/>
      </w:pPr>
      <w:rPr>
        <w:rFonts w:ascii="Symbol" w:hAnsi="Symbol" w:hint="default"/>
      </w:rPr>
    </w:lvl>
    <w:lvl w:ilvl="4">
      <w:start w:val="1"/>
      <w:numFmt w:val="bullet"/>
      <w:lvlText w:val="o"/>
      <w:lvlJc w:val="left"/>
      <w:pPr>
        <w:ind w:left="5035" w:hanging="360"/>
      </w:pPr>
      <w:rPr>
        <w:rFonts w:ascii="Courier New" w:hAnsi="Courier New" w:cs="Courier New" w:hint="default"/>
      </w:rPr>
    </w:lvl>
    <w:lvl w:ilvl="5">
      <w:start w:val="1"/>
      <w:numFmt w:val="bullet"/>
      <w:lvlText w:val=""/>
      <w:lvlJc w:val="left"/>
      <w:pPr>
        <w:ind w:left="5755" w:hanging="360"/>
      </w:pPr>
      <w:rPr>
        <w:rFonts w:ascii="Wingdings" w:hAnsi="Wingdings" w:hint="default"/>
      </w:rPr>
    </w:lvl>
    <w:lvl w:ilvl="6">
      <w:start w:val="1"/>
      <w:numFmt w:val="bullet"/>
      <w:lvlText w:val=""/>
      <w:lvlJc w:val="left"/>
      <w:pPr>
        <w:ind w:left="6475" w:hanging="360"/>
      </w:pPr>
      <w:rPr>
        <w:rFonts w:ascii="Symbol" w:hAnsi="Symbol" w:hint="default"/>
      </w:rPr>
    </w:lvl>
    <w:lvl w:ilvl="7">
      <w:start w:val="1"/>
      <w:numFmt w:val="bullet"/>
      <w:lvlText w:val="o"/>
      <w:lvlJc w:val="left"/>
      <w:pPr>
        <w:ind w:left="7195" w:hanging="360"/>
      </w:pPr>
      <w:rPr>
        <w:rFonts w:ascii="Courier New" w:hAnsi="Courier New" w:cs="Courier New" w:hint="default"/>
      </w:rPr>
    </w:lvl>
    <w:lvl w:ilvl="8">
      <w:start w:val="1"/>
      <w:numFmt w:val="bullet"/>
      <w:lvlText w:val=""/>
      <w:lvlJc w:val="left"/>
      <w:pPr>
        <w:ind w:left="7915" w:hanging="360"/>
      </w:pPr>
      <w:rPr>
        <w:rFonts w:ascii="Wingdings" w:hAnsi="Wingdings" w:hint="default"/>
      </w:rPr>
    </w:lvl>
  </w:abstractNum>
  <w:abstractNum w:abstractNumId="33" w15:restartNumberingAfterBreak="0">
    <w:nsid w:val="517820FA"/>
    <w:multiLevelType w:val="multilevel"/>
    <w:tmpl w:val="517820FA"/>
    <w:lvl w:ilvl="0">
      <w:start w:val="1"/>
      <w:numFmt w:val="bullet"/>
      <w:lvlText w:val=""/>
      <w:lvlJc w:val="left"/>
      <w:pPr>
        <w:ind w:left="1931" w:hanging="360"/>
      </w:pPr>
      <w:rPr>
        <w:rFonts w:ascii="Symbol" w:hAnsi="Symbol" w:hint="default"/>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hint="default"/>
      </w:rPr>
    </w:lvl>
    <w:lvl w:ilvl="3">
      <w:start w:val="1"/>
      <w:numFmt w:val="bullet"/>
      <w:lvlText w:val=""/>
      <w:lvlJc w:val="left"/>
      <w:pPr>
        <w:ind w:left="4091" w:hanging="360"/>
      </w:pPr>
      <w:rPr>
        <w:rFonts w:ascii="Symbol" w:hAnsi="Symbol" w:hint="default"/>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hint="default"/>
      </w:rPr>
    </w:lvl>
    <w:lvl w:ilvl="6">
      <w:start w:val="1"/>
      <w:numFmt w:val="bullet"/>
      <w:lvlText w:val=""/>
      <w:lvlJc w:val="left"/>
      <w:pPr>
        <w:ind w:left="6251" w:hanging="360"/>
      </w:pPr>
      <w:rPr>
        <w:rFonts w:ascii="Symbol" w:hAnsi="Symbol" w:hint="default"/>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hint="default"/>
      </w:rPr>
    </w:lvl>
  </w:abstractNum>
  <w:abstractNum w:abstractNumId="34" w15:restartNumberingAfterBreak="0">
    <w:nsid w:val="555C6AEC"/>
    <w:multiLevelType w:val="hybridMultilevel"/>
    <w:tmpl w:val="037CFDE4"/>
    <w:lvl w:ilvl="0" w:tplc="0C090003">
      <w:start w:val="1"/>
      <w:numFmt w:val="bullet"/>
      <w:lvlText w:val="o"/>
      <w:lvlJc w:val="left"/>
      <w:pPr>
        <w:ind w:left="1170" w:hanging="360"/>
      </w:pPr>
      <w:rPr>
        <w:rFonts w:ascii="Courier New" w:hAnsi="Courier New" w:cs="Courier New"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35" w15:restartNumberingAfterBreak="0">
    <w:nsid w:val="55D46C55"/>
    <w:multiLevelType w:val="hybridMultilevel"/>
    <w:tmpl w:val="362A6890"/>
    <w:lvl w:ilvl="0" w:tplc="784437F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56A078A8"/>
    <w:multiLevelType w:val="hybridMultilevel"/>
    <w:tmpl w:val="0A9C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70A5278"/>
    <w:multiLevelType w:val="multilevel"/>
    <w:tmpl w:val="8334F5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35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6504BD"/>
    <w:multiLevelType w:val="multilevel"/>
    <w:tmpl w:val="5E6504BD"/>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9" w15:restartNumberingAfterBreak="0">
    <w:nsid w:val="5F520F9C"/>
    <w:multiLevelType w:val="hybridMultilevel"/>
    <w:tmpl w:val="0BB6C526"/>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2145C2E"/>
    <w:multiLevelType w:val="hybridMultilevel"/>
    <w:tmpl w:val="050E3118"/>
    <w:lvl w:ilvl="0" w:tplc="CFC41FCA">
      <w:start w:val="1"/>
      <w:numFmt w:val="lowerLetter"/>
      <w:lvlText w:val="%1)"/>
      <w:lvlJc w:val="left"/>
      <w:pPr>
        <w:ind w:left="1429" w:hanging="360"/>
      </w:pPr>
      <w:rPr>
        <w:color w:val="auto"/>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1" w15:restartNumberingAfterBreak="0">
    <w:nsid w:val="642F319E"/>
    <w:multiLevelType w:val="hybridMultilevel"/>
    <w:tmpl w:val="56EAA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4782B4E"/>
    <w:multiLevelType w:val="hybridMultilevel"/>
    <w:tmpl w:val="BD340000"/>
    <w:lvl w:ilvl="0" w:tplc="7212AF7C">
      <w:start w:val="1"/>
      <w:numFmt w:val="lowerLetter"/>
      <w:lvlText w:val="%1)"/>
      <w:lvlJc w:val="left"/>
      <w:pPr>
        <w:ind w:left="1350" w:hanging="360"/>
      </w:pPr>
      <w:rPr>
        <w:rFonts w:hint="default"/>
      </w:rPr>
    </w:lvl>
    <w:lvl w:ilvl="1" w:tplc="0C090019" w:tentative="1">
      <w:start w:val="1"/>
      <w:numFmt w:val="lowerLetter"/>
      <w:lvlText w:val="%2."/>
      <w:lvlJc w:val="left"/>
      <w:pPr>
        <w:ind w:left="2070" w:hanging="360"/>
      </w:pPr>
    </w:lvl>
    <w:lvl w:ilvl="2" w:tplc="0C09001B" w:tentative="1">
      <w:start w:val="1"/>
      <w:numFmt w:val="lowerRoman"/>
      <w:lvlText w:val="%3."/>
      <w:lvlJc w:val="right"/>
      <w:pPr>
        <w:ind w:left="2790" w:hanging="180"/>
      </w:pPr>
    </w:lvl>
    <w:lvl w:ilvl="3" w:tplc="0C09000F" w:tentative="1">
      <w:start w:val="1"/>
      <w:numFmt w:val="decimal"/>
      <w:lvlText w:val="%4."/>
      <w:lvlJc w:val="left"/>
      <w:pPr>
        <w:ind w:left="3510" w:hanging="360"/>
      </w:pPr>
    </w:lvl>
    <w:lvl w:ilvl="4" w:tplc="0C090019" w:tentative="1">
      <w:start w:val="1"/>
      <w:numFmt w:val="lowerLetter"/>
      <w:lvlText w:val="%5."/>
      <w:lvlJc w:val="left"/>
      <w:pPr>
        <w:ind w:left="4230" w:hanging="360"/>
      </w:pPr>
    </w:lvl>
    <w:lvl w:ilvl="5" w:tplc="0C09001B" w:tentative="1">
      <w:start w:val="1"/>
      <w:numFmt w:val="lowerRoman"/>
      <w:lvlText w:val="%6."/>
      <w:lvlJc w:val="right"/>
      <w:pPr>
        <w:ind w:left="4950" w:hanging="180"/>
      </w:pPr>
    </w:lvl>
    <w:lvl w:ilvl="6" w:tplc="0C09000F" w:tentative="1">
      <w:start w:val="1"/>
      <w:numFmt w:val="decimal"/>
      <w:lvlText w:val="%7."/>
      <w:lvlJc w:val="left"/>
      <w:pPr>
        <w:ind w:left="5670" w:hanging="360"/>
      </w:pPr>
    </w:lvl>
    <w:lvl w:ilvl="7" w:tplc="0C090019" w:tentative="1">
      <w:start w:val="1"/>
      <w:numFmt w:val="lowerLetter"/>
      <w:lvlText w:val="%8."/>
      <w:lvlJc w:val="left"/>
      <w:pPr>
        <w:ind w:left="6390" w:hanging="360"/>
      </w:pPr>
    </w:lvl>
    <w:lvl w:ilvl="8" w:tplc="0C09001B" w:tentative="1">
      <w:start w:val="1"/>
      <w:numFmt w:val="lowerRoman"/>
      <w:lvlText w:val="%9."/>
      <w:lvlJc w:val="right"/>
      <w:pPr>
        <w:ind w:left="7110" w:hanging="180"/>
      </w:pPr>
    </w:lvl>
  </w:abstractNum>
  <w:abstractNum w:abstractNumId="43" w15:restartNumberingAfterBreak="0">
    <w:nsid w:val="669B279A"/>
    <w:multiLevelType w:val="hybridMultilevel"/>
    <w:tmpl w:val="0066B9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7197540"/>
    <w:multiLevelType w:val="hybridMultilevel"/>
    <w:tmpl w:val="AE3E1B9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A017887"/>
    <w:multiLevelType w:val="hybridMultilevel"/>
    <w:tmpl w:val="5DB08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A5B68C4"/>
    <w:multiLevelType w:val="multilevel"/>
    <w:tmpl w:val="6A5B68C4"/>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7"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cs="Times New Roman" w:hint="default"/>
        <w:color w:val="auto"/>
        <w:u w:color="FFFFFF"/>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8" w15:restartNumberingAfterBreak="0">
    <w:nsid w:val="6D56551D"/>
    <w:multiLevelType w:val="hybridMultilevel"/>
    <w:tmpl w:val="1A80F06A"/>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6E241D4C"/>
    <w:multiLevelType w:val="hybridMultilevel"/>
    <w:tmpl w:val="278C8352"/>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5533A88"/>
    <w:multiLevelType w:val="multilevel"/>
    <w:tmpl w:val="75533A88"/>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51" w15:restartNumberingAfterBreak="0">
    <w:nsid w:val="76881E39"/>
    <w:multiLevelType w:val="hybridMultilevel"/>
    <w:tmpl w:val="CE86781C"/>
    <w:lvl w:ilvl="0" w:tplc="90E2D40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78B03AC1"/>
    <w:multiLevelType w:val="hybridMultilevel"/>
    <w:tmpl w:val="9DFC3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E88798C"/>
    <w:multiLevelType w:val="hybridMultilevel"/>
    <w:tmpl w:val="72106BA6"/>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54" w15:restartNumberingAfterBreak="0">
    <w:nsid w:val="7F3C7417"/>
    <w:multiLevelType w:val="hybridMultilevel"/>
    <w:tmpl w:val="D37244DE"/>
    <w:lvl w:ilvl="0" w:tplc="C31E0C7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F42609A"/>
    <w:multiLevelType w:val="hybridMultilevel"/>
    <w:tmpl w:val="25A6B926"/>
    <w:lvl w:ilvl="0" w:tplc="5DFC131A">
      <w:start w:val="1"/>
      <w:numFmt w:val="lowerLetter"/>
      <w:lvlText w:val="%1)"/>
      <w:lvlJc w:val="left"/>
      <w:pPr>
        <w:ind w:left="1350" w:hanging="360"/>
      </w:pPr>
      <w:rPr>
        <w:rFonts w:hint="default"/>
      </w:rPr>
    </w:lvl>
    <w:lvl w:ilvl="1" w:tplc="0C090019" w:tentative="1">
      <w:start w:val="1"/>
      <w:numFmt w:val="lowerLetter"/>
      <w:lvlText w:val="%2."/>
      <w:lvlJc w:val="left"/>
      <w:pPr>
        <w:ind w:left="2070" w:hanging="360"/>
      </w:pPr>
    </w:lvl>
    <w:lvl w:ilvl="2" w:tplc="0C09001B" w:tentative="1">
      <w:start w:val="1"/>
      <w:numFmt w:val="lowerRoman"/>
      <w:lvlText w:val="%3."/>
      <w:lvlJc w:val="right"/>
      <w:pPr>
        <w:ind w:left="2790" w:hanging="180"/>
      </w:pPr>
    </w:lvl>
    <w:lvl w:ilvl="3" w:tplc="0C09000F" w:tentative="1">
      <w:start w:val="1"/>
      <w:numFmt w:val="decimal"/>
      <w:lvlText w:val="%4."/>
      <w:lvlJc w:val="left"/>
      <w:pPr>
        <w:ind w:left="3510" w:hanging="360"/>
      </w:pPr>
    </w:lvl>
    <w:lvl w:ilvl="4" w:tplc="0C090019" w:tentative="1">
      <w:start w:val="1"/>
      <w:numFmt w:val="lowerLetter"/>
      <w:lvlText w:val="%5."/>
      <w:lvlJc w:val="left"/>
      <w:pPr>
        <w:ind w:left="4230" w:hanging="360"/>
      </w:pPr>
    </w:lvl>
    <w:lvl w:ilvl="5" w:tplc="0C09001B" w:tentative="1">
      <w:start w:val="1"/>
      <w:numFmt w:val="lowerRoman"/>
      <w:lvlText w:val="%6."/>
      <w:lvlJc w:val="right"/>
      <w:pPr>
        <w:ind w:left="4950" w:hanging="180"/>
      </w:pPr>
    </w:lvl>
    <w:lvl w:ilvl="6" w:tplc="0C09000F" w:tentative="1">
      <w:start w:val="1"/>
      <w:numFmt w:val="decimal"/>
      <w:lvlText w:val="%7."/>
      <w:lvlJc w:val="left"/>
      <w:pPr>
        <w:ind w:left="5670" w:hanging="360"/>
      </w:pPr>
    </w:lvl>
    <w:lvl w:ilvl="7" w:tplc="0C090019" w:tentative="1">
      <w:start w:val="1"/>
      <w:numFmt w:val="lowerLetter"/>
      <w:lvlText w:val="%8."/>
      <w:lvlJc w:val="left"/>
      <w:pPr>
        <w:ind w:left="6390" w:hanging="360"/>
      </w:pPr>
    </w:lvl>
    <w:lvl w:ilvl="8" w:tplc="0C09001B" w:tentative="1">
      <w:start w:val="1"/>
      <w:numFmt w:val="lowerRoman"/>
      <w:lvlText w:val="%9."/>
      <w:lvlJc w:val="right"/>
      <w:pPr>
        <w:ind w:left="7110" w:hanging="180"/>
      </w:pPr>
    </w:lvl>
  </w:abstractNum>
  <w:num w:numId="1" w16cid:durableId="2133786844">
    <w:abstractNumId w:val="18"/>
  </w:num>
  <w:num w:numId="2" w16cid:durableId="1505824398">
    <w:abstractNumId w:val="25"/>
  </w:num>
  <w:num w:numId="3" w16cid:durableId="1611624294">
    <w:abstractNumId w:val="20"/>
  </w:num>
  <w:num w:numId="4" w16cid:durableId="1416588656">
    <w:abstractNumId w:val="46"/>
  </w:num>
  <w:num w:numId="5" w16cid:durableId="1627202316">
    <w:abstractNumId w:val="30"/>
  </w:num>
  <w:num w:numId="6" w16cid:durableId="1165441983">
    <w:abstractNumId w:val="8"/>
  </w:num>
  <w:num w:numId="7" w16cid:durableId="897936996">
    <w:abstractNumId w:val="31"/>
  </w:num>
  <w:num w:numId="8" w16cid:durableId="151066524">
    <w:abstractNumId w:val="38"/>
  </w:num>
  <w:num w:numId="9" w16cid:durableId="247271821">
    <w:abstractNumId w:val="14"/>
  </w:num>
  <w:num w:numId="10" w16cid:durableId="1664431589">
    <w:abstractNumId w:val="33"/>
  </w:num>
  <w:num w:numId="11" w16cid:durableId="251399733">
    <w:abstractNumId w:val="32"/>
  </w:num>
  <w:num w:numId="12" w16cid:durableId="1618411923">
    <w:abstractNumId w:val="4"/>
  </w:num>
  <w:num w:numId="13" w16cid:durableId="319970277">
    <w:abstractNumId w:val="12"/>
  </w:num>
  <w:num w:numId="14" w16cid:durableId="2014717849">
    <w:abstractNumId w:val="7"/>
  </w:num>
  <w:num w:numId="15" w16cid:durableId="1506480806">
    <w:abstractNumId w:val="0"/>
  </w:num>
  <w:num w:numId="16" w16cid:durableId="2055806205">
    <w:abstractNumId w:val="2"/>
  </w:num>
  <w:num w:numId="17" w16cid:durableId="508327520">
    <w:abstractNumId w:val="17"/>
  </w:num>
  <w:num w:numId="18" w16cid:durableId="1064376502">
    <w:abstractNumId w:val="26"/>
  </w:num>
  <w:num w:numId="19" w16cid:durableId="1962226766">
    <w:abstractNumId w:val="1"/>
  </w:num>
  <w:num w:numId="20" w16cid:durableId="872883073">
    <w:abstractNumId w:val="45"/>
  </w:num>
  <w:num w:numId="21" w16cid:durableId="279266280">
    <w:abstractNumId w:val="52"/>
  </w:num>
  <w:num w:numId="22" w16cid:durableId="1361586516">
    <w:abstractNumId w:val="16"/>
  </w:num>
  <w:num w:numId="23" w16cid:durableId="419331264">
    <w:abstractNumId w:val="53"/>
  </w:num>
  <w:num w:numId="24" w16cid:durableId="1312176177">
    <w:abstractNumId w:val="9"/>
  </w:num>
  <w:num w:numId="25" w16cid:durableId="1222594053">
    <w:abstractNumId w:val="54"/>
  </w:num>
  <w:num w:numId="26" w16cid:durableId="95177214">
    <w:abstractNumId w:val="10"/>
  </w:num>
  <w:num w:numId="27" w16cid:durableId="178547053">
    <w:abstractNumId w:val="48"/>
  </w:num>
  <w:num w:numId="28" w16cid:durableId="1322463648">
    <w:abstractNumId w:val="5"/>
  </w:num>
  <w:num w:numId="29" w16cid:durableId="1517304623">
    <w:abstractNumId w:val="13"/>
  </w:num>
  <w:num w:numId="30" w16cid:durableId="2036806820">
    <w:abstractNumId w:val="34"/>
  </w:num>
  <w:num w:numId="31" w16cid:durableId="1449008394">
    <w:abstractNumId w:val="22"/>
  </w:num>
  <w:num w:numId="32" w16cid:durableId="1531912834">
    <w:abstractNumId w:val="39"/>
  </w:num>
  <w:num w:numId="33" w16cid:durableId="1180004510">
    <w:abstractNumId w:val="40"/>
  </w:num>
  <w:num w:numId="34" w16cid:durableId="1744987681">
    <w:abstractNumId w:val="27"/>
  </w:num>
  <w:num w:numId="35" w16cid:durableId="199826636">
    <w:abstractNumId w:val="49"/>
  </w:num>
  <w:num w:numId="36" w16cid:durableId="2108035530">
    <w:abstractNumId w:val="24"/>
  </w:num>
  <w:num w:numId="37" w16cid:durableId="944775727">
    <w:abstractNumId w:val="50"/>
  </w:num>
  <w:num w:numId="38" w16cid:durableId="364913094">
    <w:abstractNumId w:val="44"/>
  </w:num>
  <w:num w:numId="39" w16cid:durableId="114761175">
    <w:abstractNumId w:val="19"/>
  </w:num>
  <w:num w:numId="40" w16cid:durableId="1098140687">
    <w:abstractNumId w:val="3"/>
  </w:num>
  <w:num w:numId="41" w16cid:durableId="1759018733">
    <w:abstractNumId w:val="43"/>
  </w:num>
  <w:num w:numId="42" w16cid:durableId="1743486197">
    <w:abstractNumId w:val="15"/>
  </w:num>
  <w:num w:numId="43" w16cid:durableId="119998576">
    <w:abstractNumId w:val="29"/>
  </w:num>
  <w:num w:numId="44" w16cid:durableId="1624459009">
    <w:abstractNumId w:val="28"/>
  </w:num>
  <w:num w:numId="45" w16cid:durableId="1645231636">
    <w:abstractNumId w:val="42"/>
  </w:num>
  <w:num w:numId="46" w16cid:durableId="361981821">
    <w:abstractNumId w:val="55"/>
  </w:num>
  <w:num w:numId="47" w16cid:durableId="1136680227">
    <w:abstractNumId w:val="41"/>
  </w:num>
  <w:num w:numId="48" w16cid:durableId="1091009019">
    <w:abstractNumId w:val="21"/>
  </w:num>
  <w:num w:numId="49" w16cid:durableId="959536250">
    <w:abstractNumId w:val="51"/>
  </w:num>
  <w:num w:numId="50" w16cid:durableId="824129208">
    <w:abstractNumId w:val="37"/>
  </w:num>
  <w:num w:numId="51" w16cid:durableId="1734233498">
    <w:abstractNumId w:val="36"/>
  </w:num>
  <w:num w:numId="52" w16cid:durableId="810904798">
    <w:abstractNumId w:val="11"/>
  </w:num>
  <w:num w:numId="53" w16cid:durableId="1315641259">
    <w:abstractNumId w:val="35"/>
  </w:num>
  <w:num w:numId="54" w16cid:durableId="619604291">
    <w:abstractNumId w:val="23"/>
  </w:num>
  <w:num w:numId="55" w16cid:durableId="993533106">
    <w:abstractNumId w:val="47"/>
  </w:num>
  <w:num w:numId="56" w16cid:durableId="1435708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402"/>
    <w:rsid w:val="00003C6C"/>
    <w:rsid w:val="00015C07"/>
    <w:rsid w:val="00024413"/>
    <w:rsid w:val="000305D4"/>
    <w:rsid w:val="00045D37"/>
    <w:rsid w:val="00047C56"/>
    <w:rsid w:val="00047EC9"/>
    <w:rsid w:val="000575DE"/>
    <w:rsid w:val="00062C4C"/>
    <w:rsid w:val="00065A83"/>
    <w:rsid w:val="00085617"/>
    <w:rsid w:val="00095095"/>
    <w:rsid w:val="00097492"/>
    <w:rsid w:val="000A6CAD"/>
    <w:rsid w:val="001244A2"/>
    <w:rsid w:val="001421A9"/>
    <w:rsid w:val="00146338"/>
    <w:rsid w:val="00147EE6"/>
    <w:rsid w:val="001669AE"/>
    <w:rsid w:val="0019550A"/>
    <w:rsid w:val="001A3A44"/>
    <w:rsid w:val="001A6130"/>
    <w:rsid w:val="001B06F9"/>
    <w:rsid w:val="001B3202"/>
    <w:rsid w:val="001B408D"/>
    <w:rsid w:val="001B6BD1"/>
    <w:rsid w:val="001C1DE3"/>
    <w:rsid w:val="001C666A"/>
    <w:rsid w:val="001D10B0"/>
    <w:rsid w:val="001D3CA5"/>
    <w:rsid w:val="001F3C3A"/>
    <w:rsid w:val="001F45F4"/>
    <w:rsid w:val="00207AC2"/>
    <w:rsid w:val="0021261F"/>
    <w:rsid w:val="00214C00"/>
    <w:rsid w:val="002355F0"/>
    <w:rsid w:val="0024721B"/>
    <w:rsid w:val="00266E4C"/>
    <w:rsid w:val="0029763E"/>
    <w:rsid w:val="002A1BC6"/>
    <w:rsid w:val="002B79C4"/>
    <w:rsid w:val="002C2417"/>
    <w:rsid w:val="002C382A"/>
    <w:rsid w:val="003147DE"/>
    <w:rsid w:val="00314BBC"/>
    <w:rsid w:val="00315ED9"/>
    <w:rsid w:val="00352B82"/>
    <w:rsid w:val="0037681D"/>
    <w:rsid w:val="0037757F"/>
    <w:rsid w:val="0038590F"/>
    <w:rsid w:val="0039298C"/>
    <w:rsid w:val="003A12A2"/>
    <w:rsid w:val="003A6AA5"/>
    <w:rsid w:val="003A6B99"/>
    <w:rsid w:val="003B18B6"/>
    <w:rsid w:val="003C6C40"/>
    <w:rsid w:val="003D33D9"/>
    <w:rsid w:val="003D3E1A"/>
    <w:rsid w:val="003D4D74"/>
    <w:rsid w:val="003F5188"/>
    <w:rsid w:val="004005AA"/>
    <w:rsid w:val="00400E1D"/>
    <w:rsid w:val="00403456"/>
    <w:rsid w:val="004047E6"/>
    <w:rsid w:val="004122BC"/>
    <w:rsid w:val="004168C4"/>
    <w:rsid w:val="004372FC"/>
    <w:rsid w:val="0044115D"/>
    <w:rsid w:val="00464B0C"/>
    <w:rsid w:val="00465D1A"/>
    <w:rsid w:val="004713DE"/>
    <w:rsid w:val="0047727A"/>
    <w:rsid w:val="00483451"/>
    <w:rsid w:val="00485910"/>
    <w:rsid w:val="00486AD1"/>
    <w:rsid w:val="004A4FB7"/>
    <w:rsid w:val="004B1023"/>
    <w:rsid w:val="004D7690"/>
    <w:rsid w:val="004E357E"/>
    <w:rsid w:val="004F07B9"/>
    <w:rsid w:val="004F2231"/>
    <w:rsid w:val="00511A8C"/>
    <w:rsid w:val="0051749E"/>
    <w:rsid w:val="00520222"/>
    <w:rsid w:val="005209B9"/>
    <w:rsid w:val="00533F94"/>
    <w:rsid w:val="00540E1C"/>
    <w:rsid w:val="0055375D"/>
    <w:rsid w:val="00587593"/>
    <w:rsid w:val="005A0146"/>
    <w:rsid w:val="005A23F0"/>
    <w:rsid w:val="005A723A"/>
    <w:rsid w:val="005C194D"/>
    <w:rsid w:val="005D43AF"/>
    <w:rsid w:val="005F49C9"/>
    <w:rsid w:val="005F66BF"/>
    <w:rsid w:val="00615D42"/>
    <w:rsid w:val="00623CC3"/>
    <w:rsid w:val="006845A7"/>
    <w:rsid w:val="006D0DCF"/>
    <w:rsid w:val="006D4A91"/>
    <w:rsid w:val="006E6FF8"/>
    <w:rsid w:val="006F0800"/>
    <w:rsid w:val="006F0CB5"/>
    <w:rsid w:val="006F427D"/>
    <w:rsid w:val="006F4CE0"/>
    <w:rsid w:val="00710E20"/>
    <w:rsid w:val="00713D98"/>
    <w:rsid w:val="007564FF"/>
    <w:rsid w:val="007576A8"/>
    <w:rsid w:val="00760308"/>
    <w:rsid w:val="00766BA3"/>
    <w:rsid w:val="007712E7"/>
    <w:rsid w:val="00775FB3"/>
    <w:rsid w:val="00796C2E"/>
    <w:rsid w:val="007A0A5B"/>
    <w:rsid w:val="007A0C53"/>
    <w:rsid w:val="007A46BE"/>
    <w:rsid w:val="007B1F1F"/>
    <w:rsid w:val="007B344D"/>
    <w:rsid w:val="007B38E2"/>
    <w:rsid w:val="007B6789"/>
    <w:rsid w:val="007C4FEE"/>
    <w:rsid w:val="007E04D4"/>
    <w:rsid w:val="007F547E"/>
    <w:rsid w:val="00804ECE"/>
    <w:rsid w:val="0081155B"/>
    <w:rsid w:val="0081679B"/>
    <w:rsid w:val="00820D26"/>
    <w:rsid w:val="0082157A"/>
    <w:rsid w:val="00831349"/>
    <w:rsid w:val="008315A2"/>
    <w:rsid w:val="00835824"/>
    <w:rsid w:val="00835856"/>
    <w:rsid w:val="00842385"/>
    <w:rsid w:val="00843F49"/>
    <w:rsid w:val="00871798"/>
    <w:rsid w:val="00892112"/>
    <w:rsid w:val="008B70B4"/>
    <w:rsid w:val="008C1115"/>
    <w:rsid w:val="008C14D5"/>
    <w:rsid w:val="008C5354"/>
    <w:rsid w:val="008D0D86"/>
    <w:rsid w:val="008D514B"/>
    <w:rsid w:val="008D5492"/>
    <w:rsid w:val="008E39BE"/>
    <w:rsid w:val="008E75B9"/>
    <w:rsid w:val="00912402"/>
    <w:rsid w:val="00912674"/>
    <w:rsid w:val="0092739E"/>
    <w:rsid w:val="009411B3"/>
    <w:rsid w:val="0094254B"/>
    <w:rsid w:val="00960875"/>
    <w:rsid w:val="00964996"/>
    <w:rsid w:val="00991263"/>
    <w:rsid w:val="00993FE2"/>
    <w:rsid w:val="00996A4B"/>
    <w:rsid w:val="009A4488"/>
    <w:rsid w:val="009D7A5D"/>
    <w:rsid w:val="009E1A59"/>
    <w:rsid w:val="009E48B4"/>
    <w:rsid w:val="00A34F00"/>
    <w:rsid w:val="00A43451"/>
    <w:rsid w:val="00A53BE8"/>
    <w:rsid w:val="00A7002B"/>
    <w:rsid w:val="00A71785"/>
    <w:rsid w:val="00A7272A"/>
    <w:rsid w:val="00A8479B"/>
    <w:rsid w:val="00A97D07"/>
    <w:rsid w:val="00AA3B64"/>
    <w:rsid w:val="00AB0065"/>
    <w:rsid w:val="00AB5082"/>
    <w:rsid w:val="00AB75C5"/>
    <w:rsid w:val="00AE6B23"/>
    <w:rsid w:val="00AF388E"/>
    <w:rsid w:val="00B2558B"/>
    <w:rsid w:val="00B37D35"/>
    <w:rsid w:val="00B454B8"/>
    <w:rsid w:val="00B466C1"/>
    <w:rsid w:val="00B512CA"/>
    <w:rsid w:val="00B71A8A"/>
    <w:rsid w:val="00B83AB9"/>
    <w:rsid w:val="00BA43D0"/>
    <w:rsid w:val="00BA4FD9"/>
    <w:rsid w:val="00BB026F"/>
    <w:rsid w:val="00BC0286"/>
    <w:rsid w:val="00BC1E8D"/>
    <w:rsid w:val="00BF150D"/>
    <w:rsid w:val="00C1164F"/>
    <w:rsid w:val="00C16F6E"/>
    <w:rsid w:val="00C30E81"/>
    <w:rsid w:val="00C34EFB"/>
    <w:rsid w:val="00C47A1D"/>
    <w:rsid w:val="00C92126"/>
    <w:rsid w:val="00C93C43"/>
    <w:rsid w:val="00C957E1"/>
    <w:rsid w:val="00C95EA3"/>
    <w:rsid w:val="00CA284F"/>
    <w:rsid w:val="00CA3E29"/>
    <w:rsid w:val="00CB29F6"/>
    <w:rsid w:val="00CB315E"/>
    <w:rsid w:val="00CB3523"/>
    <w:rsid w:val="00CB7391"/>
    <w:rsid w:val="00CC1D2F"/>
    <w:rsid w:val="00CE2F53"/>
    <w:rsid w:val="00CF05D8"/>
    <w:rsid w:val="00CF6AEC"/>
    <w:rsid w:val="00D01D61"/>
    <w:rsid w:val="00D0519D"/>
    <w:rsid w:val="00D222E5"/>
    <w:rsid w:val="00D22DA8"/>
    <w:rsid w:val="00D72786"/>
    <w:rsid w:val="00D75191"/>
    <w:rsid w:val="00D772D1"/>
    <w:rsid w:val="00D81069"/>
    <w:rsid w:val="00D9050E"/>
    <w:rsid w:val="00DB6B3A"/>
    <w:rsid w:val="00DC09BA"/>
    <w:rsid w:val="00DE5856"/>
    <w:rsid w:val="00E202C8"/>
    <w:rsid w:val="00E238E3"/>
    <w:rsid w:val="00E25360"/>
    <w:rsid w:val="00E72DE8"/>
    <w:rsid w:val="00E77F30"/>
    <w:rsid w:val="00E81220"/>
    <w:rsid w:val="00E85990"/>
    <w:rsid w:val="00E9690F"/>
    <w:rsid w:val="00E96AEF"/>
    <w:rsid w:val="00EA191A"/>
    <w:rsid w:val="00EA2ABD"/>
    <w:rsid w:val="00EB01B7"/>
    <w:rsid w:val="00EB55AE"/>
    <w:rsid w:val="00EC4AA8"/>
    <w:rsid w:val="00EC5CDB"/>
    <w:rsid w:val="00EC5DB4"/>
    <w:rsid w:val="00ED344C"/>
    <w:rsid w:val="00EF0421"/>
    <w:rsid w:val="00EF10D3"/>
    <w:rsid w:val="00EF7BB9"/>
    <w:rsid w:val="00F16036"/>
    <w:rsid w:val="00F2448D"/>
    <w:rsid w:val="00F3394D"/>
    <w:rsid w:val="00F4488F"/>
    <w:rsid w:val="00F51F85"/>
    <w:rsid w:val="00F56CE3"/>
    <w:rsid w:val="00F65131"/>
    <w:rsid w:val="00F71A95"/>
    <w:rsid w:val="00F74393"/>
    <w:rsid w:val="00F74412"/>
    <w:rsid w:val="00F76E3C"/>
    <w:rsid w:val="00F91863"/>
    <w:rsid w:val="00FD491F"/>
    <w:rsid w:val="00FD540B"/>
    <w:rsid w:val="00FD5F8F"/>
    <w:rsid w:val="00FE04B7"/>
    <w:rsid w:val="00FE1589"/>
    <w:rsid w:val="06863964"/>
    <w:rsid w:val="07460FFA"/>
    <w:rsid w:val="07DA6997"/>
    <w:rsid w:val="10A21601"/>
    <w:rsid w:val="143413B9"/>
    <w:rsid w:val="152E1E5A"/>
    <w:rsid w:val="17E17150"/>
    <w:rsid w:val="1E837CA1"/>
    <w:rsid w:val="23FC09DD"/>
    <w:rsid w:val="2DFB2D41"/>
    <w:rsid w:val="31EB11FE"/>
    <w:rsid w:val="322221DC"/>
    <w:rsid w:val="36E72EA9"/>
    <w:rsid w:val="38E03679"/>
    <w:rsid w:val="3A214876"/>
    <w:rsid w:val="3B6F0A32"/>
    <w:rsid w:val="41AE7225"/>
    <w:rsid w:val="44CB0DFE"/>
    <w:rsid w:val="4EE37A22"/>
    <w:rsid w:val="50CA619D"/>
    <w:rsid w:val="513E67CD"/>
    <w:rsid w:val="520C7F7D"/>
    <w:rsid w:val="54C95776"/>
    <w:rsid w:val="567F2B1E"/>
    <w:rsid w:val="583C6C6E"/>
    <w:rsid w:val="58B83E06"/>
    <w:rsid w:val="5AC8398A"/>
    <w:rsid w:val="6D885A35"/>
    <w:rsid w:val="7D0B2F9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C511D"/>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91F"/>
    <w:pPr>
      <w:overflowPunct w:val="0"/>
      <w:autoSpaceDE w:val="0"/>
      <w:autoSpaceDN w:val="0"/>
      <w:adjustRightInd w:val="0"/>
      <w:spacing w:before="120" w:after="120" w:line="300" w:lineRule="auto"/>
      <w:textAlignment w:val="baseline"/>
    </w:pPr>
    <w:rPr>
      <w:rFonts w:ascii="Arial" w:hAnsi="Arial"/>
      <w:sz w:val="22"/>
      <w:lang w:val="en-GB" w:eastAsia="en-US"/>
    </w:rPr>
  </w:style>
  <w:style w:type="paragraph" w:styleId="Heading1">
    <w:name w:val="heading 1"/>
    <w:basedOn w:val="Normal"/>
    <w:next w:val="Normal"/>
    <w:qFormat/>
    <w:rsid w:val="00F71A95"/>
    <w:pPr>
      <w:keepNext/>
      <w:pBdr>
        <w:bottom w:val="single" w:sz="6" w:space="1" w:color="auto"/>
      </w:pBdr>
      <w:spacing w:before="240" w:after="60"/>
      <w:outlineLvl w:val="0"/>
    </w:pPr>
    <w:rPr>
      <w:b/>
      <w:kern w:val="28"/>
      <w:sz w:val="32"/>
    </w:rPr>
  </w:style>
  <w:style w:type="paragraph" w:styleId="Heading2">
    <w:name w:val="heading 2"/>
    <w:basedOn w:val="Normal"/>
    <w:next w:val="Normal"/>
    <w:autoRedefine/>
    <w:qFormat/>
    <w:rsid w:val="00F74393"/>
    <w:pPr>
      <w:keepNext/>
      <w:tabs>
        <w:tab w:val="left" w:pos="851"/>
      </w:tabs>
      <w:spacing w:before="240" w:after="60"/>
      <w:ind w:left="567" w:hanging="567"/>
      <w:outlineLvl w:val="1"/>
    </w:pPr>
    <w:rPr>
      <w:rFonts w:cs="Arial"/>
      <w:b/>
      <w:color w:val="000000" w:themeColor="text1"/>
      <w:sz w:val="24"/>
      <w:szCs w:val="22"/>
    </w:rPr>
  </w:style>
  <w:style w:type="paragraph" w:styleId="Heading3">
    <w:name w:val="heading 3"/>
    <w:basedOn w:val="Normal"/>
    <w:next w:val="Normal"/>
    <w:autoRedefine/>
    <w:qFormat/>
    <w:rsid w:val="003A12A2"/>
    <w:pPr>
      <w:keepNext/>
      <w:spacing w:before="240" w:after="60"/>
      <w:outlineLvl w:val="2"/>
    </w:pPr>
    <w:rPr>
      <w:rFonts w:ascii="Tahoma" w:hAnsi="Tahoma"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link w:val="BalloonTextChar"/>
    <w:uiPriority w:val="99"/>
    <w:unhideWhenUsed/>
    <w:rPr>
      <w:rFonts w:ascii="Tahoma" w:hAnsi="Tahoma" w:cs="Tahoma"/>
      <w:sz w:val="16"/>
      <w:szCs w:val="16"/>
    </w:rPr>
  </w:style>
  <w:style w:type="paragraph" w:styleId="TOC2">
    <w:name w:val="toc 2"/>
    <w:basedOn w:val="Normal"/>
    <w:next w:val="Normal"/>
    <w:autoRedefine/>
    <w:uiPriority w:val="39"/>
    <w:rsid w:val="003147DE"/>
    <w:pPr>
      <w:tabs>
        <w:tab w:val="right" w:leader="dot" w:pos="8313"/>
      </w:tabs>
      <w:ind w:left="238"/>
    </w:pPr>
    <w:rPr>
      <w:lang w:val="en-AU" w:eastAsia="en-AU"/>
    </w:rPr>
  </w:style>
  <w:style w:type="paragraph" w:styleId="TOC1">
    <w:name w:val="toc 1"/>
    <w:basedOn w:val="Normal"/>
    <w:next w:val="Normal"/>
    <w:autoRedefine/>
    <w:uiPriority w:val="39"/>
    <w:rsid w:val="003147DE"/>
    <w:pPr>
      <w:tabs>
        <w:tab w:val="left" w:pos="480"/>
        <w:tab w:val="right" w:leader="dot" w:pos="8313"/>
      </w:tabs>
    </w:pPr>
    <w:rPr>
      <w:noProof/>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qFormat/>
    <w:pPr>
      <w:tabs>
        <w:tab w:val="right" w:leader="dot" w:pos="8313"/>
      </w:tabs>
      <w:ind w:left="480"/>
    </w:pPr>
    <w:rPr>
      <w:i/>
      <w:sz w:val="20"/>
      <w:lang w:val="en-AU" w:eastAsia="en-AU"/>
    </w:rPr>
  </w:style>
  <w:style w:type="paragraph" w:styleId="TOCHeading">
    <w:name w:val="TOC Heading"/>
    <w:basedOn w:val="Heading1"/>
    <w:next w:val="Normal"/>
    <w:autoRedefine/>
    <w:uiPriority w:val="39"/>
    <w:qFormat/>
    <w:rsid w:val="003147DE"/>
    <w:pPr>
      <w:keepLines/>
      <w:pBdr>
        <w:bottom w:val="none" w:sz="0" w:space="0" w:color="auto"/>
      </w:pBdr>
      <w:overflowPunct/>
      <w:autoSpaceDE/>
      <w:autoSpaceDN/>
      <w:adjustRightInd/>
      <w:spacing w:before="0" w:after="0" w:line="276" w:lineRule="auto"/>
      <w:textAlignment w:val="auto"/>
      <w:outlineLvl w:val="9"/>
    </w:pPr>
    <w:rPr>
      <w:rFonts w:eastAsia="MS Gothic"/>
      <w:bCs/>
      <w:kern w:val="0"/>
      <w:sz w:val="24"/>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eastAsia="SimSun"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5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uiPriority w:val="4"/>
    <w:qFormat/>
    <w:rsid w:val="00FD491F"/>
    <w:pPr>
      <w:widowControl w:val="0"/>
      <w:suppressAutoHyphens/>
      <w:overflowPunct/>
      <w:autoSpaceDE/>
      <w:autoSpaceDN/>
      <w:adjustRightInd/>
      <w:spacing w:before="80" w:after="80"/>
      <w:textAlignment w:val="auto"/>
    </w:pPr>
    <w:rPr>
      <w:rFonts w:eastAsia="SimSun" w:cs="Arial"/>
      <w:kern w:val="1"/>
      <w:lang w:val="en-AU" w:eastAsia="hi-IN" w:bidi="hi-IN"/>
    </w:rPr>
  </w:style>
  <w:style w:type="character" w:styleId="Emphasis">
    <w:name w:val="Emphasis"/>
    <w:basedOn w:val="DefaultParagraphFont"/>
    <w:uiPriority w:val="20"/>
    <w:qFormat/>
    <w:rsid w:val="002355F0"/>
    <w:rPr>
      <w:i/>
      <w:iCs/>
    </w:rPr>
  </w:style>
  <w:style w:type="paragraph" w:customStyle="1" w:styleId="paragraph">
    <w:name w:val="paragraph"/>
    <w:basedOn w:val="Normal"/>
    <w:rsid w:val="00047EC9"/>
    <w:pPr>
      <w:overflowPunct/>
      <w:autoSpaceDE/>
      <w:autoSpaceDN/>
      <w:adjustRightInd/>
      <w:spacing w:before="100" w:beforeAutospacing="1" w:after="100" w:afterAutospacing="1"/>
      <w:textAlignment w:val="auto"/>
    </w:pPr>
    <w:rPr>
      <w:rFonts w:ascii="Times New Roman" w:hAnsi="Times New Roman"/>
      <w:sz w:val="24"/>
      <w:szCs w:val="24"/>
      <w:lang w:val="en-AU" w:eastAsia="en-AU"/>
    </w:rPr>
  </w:style>
  <w:style w:type="table" w:customStyle="1" w:styleId="TableGrid1">
    <w:name w:val="Table Grid1"/>
    <w:basedOn w:val="TableNormal"/>
    <w:next w:val="TableGrid"/>
    <w:uiPriority w:val="59"/>
    <w:rsid w:val="006E6FF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4"/>
    <w:qFormat/>
    <w:rsid w:val="00C30E81"/>
    <w:pPr>
      <w:widowControl w:val="0"/>
      <w:suppressAutoHyphens/>
      <w:overflowPunct/>
      <w:autoSpaceDE/>
      <w:autoSpaceDN/>
      <w:adjustRightInd/>
      <w:spacing w:before="80" w:after="80"/>
      <w:textAlignment w:val="auto"/>
    </w:pPr>
    <w:rPr>
      <w:rFonts w:eastAsia="SimSun" w:cs="Arial"/>
      <w:b/>
      <w:kern w:val="1"/>
      <w:szCs w:val="22"/>
      <w:lang w:val="en-AU" w:eastAsia="hi-IN" w:bidi="hi-IN"/>
    </w:rPr>
  </w:style>
  <w:style w:type="character" w:customStyle="1" w:styleId="BalloonTextChar">
    <w:name w:val="Balloon Text Char"/>
    <w:basedOn w:val="DefaultParagraphFont"/>
    <w:link w:val="BalloonText"/>
    <w:uiPriority w:val="99"/>
    <w:rsid w:val="00C30E81"/>
    <w:rPr>
      <w:rFonts w:ascii="Tahoma" w:hAnsi="Tahoma" w:cs="Tahoma"/>
      <w:sz w:val="16"/>
      <w:szCs w:val="16"/>
      <w:lang w:val="en-GB" w:eastAsia="en-US"/>
    </w:rPr>
  </w:style>
  <w:style w:type="paragraph" w:styleId="Subtitle">
    <w:name w:val="Subtitle"/>
    <w:basedOn w:val="Normal"/>
    <w:next w:val="Normal"/>
    <w:link w:val="SubtitleChar"/>
    <w:uiPriority w:val="11"/>
    <w:qFormat/>
    <w:rsid w:val="00C30E81"/>
    <w:pPr>
      <w:widowControl w:val="0"/>
      <w:numPr>
        <w:ilvl w:val="1"/>
      </w:numPr>
      <w:suppressAutoHyphens/>
      <w:overflowPunct/>
      <w:autoSpaceDE/>
      <w:autoSpaceDN/>
      <w:adjustRightInd/>
      <w:textAlignment w:val="auto"/>
    </w:pPr>
    <w:rPr>
      <w:rFonts w:asciiTheme="majorHAnsi" w:eastAsiaTheme="majorEastAsia" w:hAnsiTheme="majorHAnsi" w:cs="Mangal"/>
      <w:i/>
      <w:iCs/>
      <w:color w:val="5B9BD5" w:themeColor="accent1"/>
      <w:spacing w:val="15"/>
      <w:kern w:val="1"/>
      <w:szCs w:val="21"/>
      <w:lang w:val="en-AU" w:eastAsia="hi-IN" w:bidi="hi-IN"/>
    </w:rPr>
  </w:style>
  <w:style w:type="character" w:customStyle="1" w:styleId="SubtitleChar">
    <w:name w:val="Subtitle Char"/>
    <w:basedOn w:val="DefaultParagraphFont"/>
    <w:link w:val="Subtitle"/>
    <w:uiPriority w:val="11"/>
    <w:rsid w:val="00C30E81"/>
    <w:rPr>
      <w:rFonts w:asciiTheme="majorHAnsi" w:eastAsiaTheme="majorEastAsia" w:hAnsiTheme="majorHAnsi" w:cs="Mangal"/>
      <w:i/>
      <w:iCs/>
      <w:color w:val="5B9BD5" w:themeColor="accent1"/>
      <w:spacing w:val="15"/>
      <w:kern w:val="1"/>
      <w:sz w:val="22"/>
      <w:szCs w:val="21"/>
      <w:lang w:eastAsia="hi-IN" w:bidi="hi-IN"/>
    </w:rPr>
  </w:style>
  <w:style w:type="paragraph" w:customStyle="1" w:styleId="Bullet-main">
    <w:name w:val="Bullet - main"/>
    <w:basedOn w:val="Normal"/>
    <w:uiPriority w:val="4"/>
    <w:qFormat/>
    <w:rsid w:val="00964996"/>
    <w:pPr>
      <w:numPr>
        <w:numId w:val="54"/>
      </w:numPr>
      <w:tabs>
        <w:tab w:val="left" w:pos="567"/>
      </w:tabs>
      <w:overflowPunct/>
      <w:autoSpaceDE/>
      <w:autoSpaceDN/>
      <w:adjustRightInd/>
      <w:ind w:left="567" w:hanging="567"/>
      <w:textAlignment w:val="auto"/>
    </w:pPr>
    <w:rPr>
      <w:rFonts w:eastAsia="Calibri"/>
      <w:szCs w:val="22"/>
      <w:lang w:val="en-AU"/>
    </w:rPr>
  </w:style>
  <w:style w:type="paragraph" w:customStyle="1" w:styleId="Bullet-sub">
    <w:name w:val="Bullet - sub"/>
    <w:basedOn w:val="Bullet-main"/>
    <w:qFormat/>
    <w:rsid w:val="00964996"/>
    <w:pPr>
      <w:numPr>
        <w:numId w:val="55"/>
      </w:numPr>
      <w:tabs>
        <w:tab w:val="clear" w:pos="567"/>
        <w:tab w:val="left" w:pos="1134"/>
      </w:tabs>
      <w:ind w:left="1134" w:hanging="567"/>
    </w:pPr>
  </w:style>
  <w:style w:type="paragraph" w:customStyle="1" w:styleId="Tablebullet-sub">
    <w:name w:val="Table bullet - sub"/>
    <w:basedOn w:val="Bullet-sub"/>
    <w:qFormat/>
    <w:rsid w:val="00964996"/>
  </w:style>
  <w:style w:type="paragraph" w:customStyle="1" w:styleId="Tableheading0">
    <w:name w:val="Table heading"/>
    <w:basedOn w:val="Bullet-sub"/>
    <w:qFormat/>
    <w:rsid w:val="00964996"/>
  </w:style>
  <w:style w:type="paragraph" w:customStyle="1" w:styleId="Tabletext0">
    <w:name w:val="Table text"/>
    <w:basedOn w:val="Bullet-sub"/>
    <w:qFormat/>
    <w:rsid w:val="00964996"/>
  </w:style>
  <w:style w:type="paragraph" w:customStyle="1" w:styleId="Bullet-sub2">
    <w:name w:val="Bullet - sub2"/>
    <w:basedOn w:val="Bullet-main"/>
    <w:uiPriority w:val="4"/>
    <w:qFormat/>
    <w:rsid w:val="00964996"/>
    <w:pPr>
      <w:numPr>
        <w:numId w:val="56"/>
      </w:numPr>
      <w:tabs>
        <w:tab w:val="clear" w:pos="567"/>
        <w:tab w:val="num" w:pos="360"/>
        <w:tab w:val="left" w:pos="1134"/>
      </w:tabs>
      <w:ind w:left="1134"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37135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siness.qld.gov.au/running-business/whs/whs-laws/whs-act" TargetMode="External"/><Relationship Id="rId18" Type="http://schemas.openxmlformats.org/officeDocument/2006/relationships/hyperlink" Target="https://www.russellkennedy.com.au/insights-events/insights/new-privacy-legislation-in-2024-government-responds-to-proposed-reforms-to-australia-s-privacy-laws" TargetMode="External"/><Relationship Id="rId26" Type="http://schemas.openxmlformats.org/officeDocument/2006/relationships/hyperlink" Target="https://www.oaic.gov.au/privacy/australian-privacy-principles/read-the-australian-privacy-principles" TargetMode="External"/><Relationship Id="rId39" Type="http://schemas.openxmlformats.org/officeDocument/2006/relationships/hyperlink" Target="https://www.stationx.net/how-to-use-maltego/" TargetMode="External"/><Relationship Id="rId21" Type="http://schemas.openxmlformats.org/officeDocument/2006/relationships/hyperlink" Target="https://www.accc.gov.au/business/selling-products-and-services/contracts" TargetMode="External"/><Relationship Id="rId34" Type="http://schemas.openxmlformats.org/officeDocument/2006/relationships/hyperlink" Target="https://www.alpinesecurity.com/blog/empire-a-powershell-post-exploitation-tool/"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g.gov.au/crime/publications/commonwealth-criminal-code-guide-practitioners-draft/criminal-code-act-1995" TargetMode="External"/><Relationship Id="rId20" Type="http://schemas.openxmlformats.org/officeDocument/2006/relationships/hyperlink" Target="https://www.pwc.com.au/cyber-security-digital-trust/2023-privacy-act-review-report.html" TargetMode="External"/><Relationship Id="rId29" Type="http://schemas.openxmlformats.org/officeDocument/2006/relationships/hyperlink" Target="https://status.net/articles/code-of-conduct-and-ethics-what-to-include-with-example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g.gov.au/legal-system/electronic-signatures-documents-and-transactions" TargetMode="External"/><Relationship Id="rId24" Type="http://schemas.openxmlformats.org/officeDocument/2006/relationships/hyperlink" Target="https://www.ag.gov.au/crime/telecommunications-interception-and-surveillance/reform-australias-electronic-surveillance-framework" TargetMode="External"/><Relationship Id="rId32" Type="http://schemas.openxmlformats.org/officeDocument/2006/relationships/hyperlink" Target="https://www.sentinelone.com/cybersecurity-101/threat-intelligence/what-is-cobalt-strike/" TargetMode="External"/><Relationship Id="rId37" Type="http://schemas.openxmlformats.org/officeDocument/2006/relationships/hyperlink" Target="https://docs.zeek.org/en/master/quickstart.html" TargetMode="External"/><Relationship Id="rId40" Type="http://schemas.openxmlformats.org/officeDocument/2006/relationships/hyperlink" Target="https://www.tomsguide.com/buying-guide/best-file-sharing-apps" TargetMode="External"/><Relationship Id="rId5" Type="http://schemas.openxmlformats.org/officeDocument/2006/relationships/numbering" Target="numbering.xml"/><Relationship Id="rId15" Type="http://schemas.openxmlformats.org/officeDocument/2006/relationships/hyperlink" Target="https://www.oaic.gov.au/privacy/notifiable-data-breaches/about-the-notifiable-data-breaches-scheme" TargetMode="External"/><Relationship Id="rId23" Type="http://schemas.openxmlformats.org/officeDocument/2006/relationships/hyperlink" Target="https://www.homeaffairs.gov.au/about-us/our-portfolios/national-security/lawful-access-telecommunications/surveillance-legislation-amendment-identify-and-disrupt-act-2021" TargetMode="External"/><Relationship Id="rId28" Type="http://schemas.openxmlformats.org/officeDocument/2006/relationships/hyperlink" Target="https://www.indeed.com/career-advice/career-development/create-code-of-ethics" TargetMode="External"/><Relationship Id="rId36" Type="http://schemas.openxmlformats.org/officeDocument/2006/relationships/hyperlink" Target="https://www.ossec.net/docs/" TargetMode="External"/><Relationship Id="rId10" Type="http://schemas.openxmlformats.org/officeDocument/2006/relationships/endnotes" Target="endnotes.xml"/><Relationship Id="rId19" Type="http://schemas.openxmlformats.org/officeDocument/2006/relationships/hyperlink" Target="https://www.jonesday.com/en/insights/2024/04/us-congress-reintroduces-new-comprehensive-federal-privacy-law" TargetMode="External"/><Relationship Id="rId31" Type="http://schemas.openxmlformats.org/officeDocument/2006/relationships/hyperlink" Target="https://www.nhmrc.gov.au/about-us/publications/australian-code-responsible-conduct-research-2018"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gislation.qld.gov.au/view/pdf/inforce/current/act-2011-018" TargetMode="External"/><Relationship Id="rId22" Type="http://schemas.openxmlformats.org/officeDocument/2006/relationships/hyperlink" Target="https://www.accc.gov.au/system/files/Unfair%20contract%20terms%20-%20A%20guide%20for%20businesses%20and%20legal%20practitioners.pdf" TargetMode="External"/><Relationship Id="rId27" Type="http://schemas.openxmlformats.org/officeDocument/2006/relationships/hyperlink" Target="https://www.acwa.org.au/workers/ethics-and-standards/" TargetMode="External"/><Relationship Id="rId30" Type="http://schemas.openxmlformats.org/officeDocument/2006/relationships/hyperlink" Target="https://www.wikihow.com/Develop-a-Code-of-Ethics" TargetMode="External"/><Relationship Id="rId35" Type="http://schemas.openxmlformats.org/officeDocument/2006/relationships/hyperlink" Target="https://kalilinuxtutorials.com/social-engineering-toolkit-tutorial/"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egislation.gov.au/C2004A02124/latest" TargetMode="External"/><Relationship Id="rId17" Type="http://schemas.openxmlformats.org/officeDocument/2006/relationships/hyperlink" Target="https://consumer.gov.au/australian-consumer-law" TargetMode="External"/><Relationship Id="rId25" Type="http://schemas.openxmlformats.org/officeDocument/2006/relationships/hyperlink" Target="https://www.oaic.gov.au/privacy/australian-privacy-principles" TargetMode="External"/><Relationship Id="rId33" Type="http://schemas.openxmlformats.org/officeDocument/2006/relationships/hyperlink" Target="https://www.pentestpartners.com/security-blog/bloodhound-walkthrough-a-tool-for-many-tradecrafts/" TargetMode="External"/><Relationship Id="rId38" Type="http://schemas.openxmlformats.org/officeDocument/2006/relationships/hyperlink" Target="https://www.elastic.co/guide/en/kibana/curren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511C2-1A57-4098-8C78-E20D4C7BB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837F0F-B8DB-488E-9FB6-C09B6941789A}">
  <ds:schemaRefs>
    <ds:schemaRef ds:uri="http://schemas.microsoft.com/sharepoint/v3/contenttype/forms"/>
  </ds:schemaRefs>
</ds:datastoreItem>
</file>

<file path=customXml/itemProps3.xml><?xml version="1.0" encoding="utf-8"?>
<ds:datastoreItem xmlns:ds="http://schemas.openxmlformats.org/officeDocument/2006/customXml" ds:itemID="{FA090E3F-4F57-44D6-AD78-CF24675FB8CB}">
  <ds:schemaRefs>
    <ds:schemaRef ds:uri="http://schemas.microsoft.com/office/2006/metadata/properties"/>
    <ds:schemaRef ds:uri="http://schemas.microsoft.com/office/infopath/2007/PartnerControls"/>
    <ds:schemaRef ds:uri="688aeeea-db70-49fc-acfa-1a2dd513aa3d"/>
    <ds:schemaRef ds:uri="ccda9f58-1f93-4a49-8fd5-9ad0648138ec"/>
    <ds:schemaRef ds:uri="http://schemas.microsoft.com/sharepoint/v3"/>
  </ds:schemaRefs>
</ds:datastoreItem>
</file>

<file path=customXml/itemProps4.xml><?xml version="1.0" encoding="utf-8"?>
<ds:datastoreItem xmlns:ds="http://schemas.openxmlformats.org/officeDocument/2006/customXml" ds:itemID="{357D749F-11F6-4586-B835-7BFBCA6B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32</Pages>
  <Words>7242</Words>
  <Characters>41283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A Sample Java[TM] Applet -kkkk</vt:lpstr>
    </vt:vector>
  </TitlesOfParts>
  <Company>MAJOR Software &amp; Text Publ.</Company>
  <LinksUpToDate>false</LinksUpToDate>
  <CharactersWithSpaces>48429</CharactersWithSpaces>
  <SharedDoc>false</SharedDoc>
  <HLinks>
    <vt:vector size="306" baseType="variant">
      <vt:variant>
        <vt:i4>1638448</vt:i4>
      </vt:variant>
      <vt:variant>
        <vt:i4>302</vt:i4>
      </vt:variant>
      <vt:variant>
        <vt:i4>0</vt:i4>
      </vt:variant>
      <vt:variant>
        <vt:i4>5</vt:i4>
      </vt:variant>
      <vt:variant>
        <vt:lpwstr/>
      </vt:variant>
      <vt:variant>
        <vt:lpwstr>_Toc23162219</vt:lpwstr>
      </vt:variant>
      <vt:variant>
        <vt:i4>1572912</vt:i4>
      </vt:variant>
      <vt:variant>
        <vt:i4>296</vt:i4>
      </vt:variant>
      <vt:variant>
        <vt:i4>0</vt:i4>
      </vt:variant>
      <vt:variant>
        <vt:i4>5</vt:i4>
      </vt:variant>
      <vt:variant>
        <vt:lpwstr/>
      </vt:variant>
      <vt:variant>
        <vt:lpwstr>_Toc23162218</vt:lpwstr>
      </vt:variant>
      <vt:variant>
        <vt:i4>1507376</vt:i4>
      </vt:variant>
      <vt:variant>
        <vt:i4>290</vt:i4>
      </vt:variant>
      <vt:variant>
        <vt:i4>0</vt:i4>
      </vt:variant>
      <vt:variant>
        <vt:i4>5</vt:i4>
      </vt:variant>
      <vt:variant>
        <vt:lpwstr/>
      </vt:variant>
      <vt:variant>
        <vt:lpwstr>_Toc23162217</vt:lpwstr>
      </vt:variant>
      <vt:variant>
        <vt:i4>1441840</vt:i4>
      </vt:variant>
      <vt:variant>
        <vt:i4>284</vt:i4>
      </vt:variant>
      <vt:variant>
        <vt:i4>0</vt:i4>
      </vt:variant>
      <vt:variant>
        <vt:i4>5</vt:i4>
      </vt:variant>
      <vt:variant>
        <vt:lpwstr/>
      </vt:variant>
      <vt:variant>
        <vt:lpwstr>_Toc23162216</vt:lpwstr>
      </vt:variant>
      <vt:variant>
        <vt:i4>1376304</vt:i4>
      </vt:variant>
      <vt:variant>
        <vt:i4>278</vt:i4>
      </vt:variant>
      <vt:variant>
        <vt:i4>0</vt:i4>
      </vt:variant>
      <vt:variant>
        <vt:i4>5</vt:i4>
      </vt:variant>
      <vt:variant>
        <vt:lpwstr/>
      </vt:variant>
      <vt:variant>
        <vt:lpwstr>_Toc23162215</vt:lpwstr>
      </vt:variant>
      <vt:variant>
        <vt:i4>1310768</vt:i4>
      </vt:variant>
      <vt:variant>
        <vt:i4>272</vt:i4>
      </vt:variant>
      <vt:variant>
        <vt:i4>0</vt:i4>
      </vt:variant>
      <vt:variant>
        <vt:i4>5</vt:i4>
      </vt:variant>
      <vt:variant>
        <vt:lpwstr/>
      </vt:variant>
      <vt:variant>
        <vt:lpwstr>_Toc23162214</vt:lpwstr>
      </vt:variant>
      <vt:variant>
        <vt:i4>1245232</vt:i4>
      </vt:variant>
      <vt:variant>
        <vt:i4>266</vt:i4>
      </vt:variant>
      <vt:variant>
        <vt:i4>0</vt:i4>
      </vt:variant>
      <vt:variant>
        <vt:i4>5</vt:i4>
      </vt:variant>
      <vt:variant>
        <vt:lpwstr/>
      </vt:variant>
      <vt:variant>
        <vt:lpwstr>_Toc23162213</vt:lpwstr>
      </vt:variant>
      <vt:variant>
        <vt:i4>1179696</vt:i4>
      </vt:variant>
      <vt:variant>
        <vt:i4>260</vt:i4>
      </vt:variant>
      <vt:variant>
        <vt:i4>0</vt:i4>
      </vt:variant>
      <vt:variant>
        <vt:i4>5</vt:i4>
      </vt:variant>
      <vt:variant>
        <vt:lpwstr/>
      </vt:variant>
      <vt:variant>
        <vt:lpwstr>_Toc23162212</vt:lpwstr>
      </vt:variant>
      <vt:variant>
        <vt:i4>1114160</vt:i4>
      </vt:variant>
      <vt:variant>
        <vt:i4>254</vt:i4>
      </vt:variant>
      <vt:variant>
        <vt:i4>0</vt:i4>
      </vt:variant>
      <vt:variant>
        <vt:i4>5</vt:i4>
      </vt:variant>
      <vt:variant>
        <vt:lpwstr/>
      </vt:variant>
      <vt:variant>
        <vt:lpwstr>_Toc23162211</vt:lpwstr>
      </vt:variant>
      <vt:variant>
        <vt:i4>1048624</vt:i4>
      </vt:variant>
      <vt:variant>
        <vt:i4>248</vt:i4>
      </vt:variant>
      <vt:variant>
        <vt:i4>0</vt:i4>
      </vt:variant>
      <vt:variant>
        <vt:i4>5</vt:i4>
      </vt:variant>
      <vt:variant>
        <vt:lpwstr/>
      </vt:variant>
      <vt:variant>
        <vt:lpwstr>_Toc23162210</vt:lpwstr>
      </vt:variant>
      <vt:variant>
        <vt:i4>1638449</vt:i4>
      </vt:variant>
      <vt:variant>
        <vt:i4>242</vt:i4>
      </vt:variant>
      <vt:variant>
        <vt:i4>0</vt:i4>
      </vt:variant>
      <vt:variant>
        <vt:i4>5</vt:i4>
      </vt:variant>
      <vt:variant>
        <vt:lpwstr/>
      </vt:variant>
      <vt:variant>
        <vt:lpwstr>_Toc23162209</vt:lpwstr>
      </vt:variant>
      <vt:variant>
        <vt:i4>1572913</vt:i4>
      </vt:variant>
      <vt:variant>
        <vt:i4>236</vt:i4>
      </vt:variant>
      <vt:variant>
        <vt:i4>0</vt:i4>
      </vt:variant>
      <vt:variant>
        <vt:i4>5</vt:i4>
      </vt:variant>
      <vt:variant>
        <vt:lpwstr/>
      </vt:variant>
      <vt:variant>
        <vt:lpwstr>_Toc23162208</vt:lpwstr>
      </vt:variant>
      <vt:variant>
        <vt:i4>1507377</vt:i4>
      </vt:variant>
      <vt:variant>
        <vt:i4>230</vt:i4>
      </vt:variant>
      <vt:variant>
        <vt:i4>0</vt:i4>
      </vt:variant>
      <vt:variant>
        <vt:i4>5</vt:i4>
      </vt:variant>
      <vt:variant>
        <vt:lpwstr/>
      </vt:variant>
      <vt:variant>
        <vt:lpwstr>_Toc23162207</vt:lpwstr>
      </vt:variant>
      <vt:variant>
        <vt:i4>1441841</vt:i4>
      </vt:variant>
      <vt:variant>
        <vt:i4>224</vt:i4>
      </vt:variant>
      <vt:variant>
        <vt:i4>0</vt:i4>
      </vt:variant>
      <vt:variant>
        <vt:i4>5</vt:i4>
      </vt:variant>
      <vt:variant>
        <vt:lpwstr/>
      </vt:variant>
      <vt:variant>
        <vt:lpwstr>_Toc23162206</vt:lpwstr>
      </vt:variant>
      <vt:variant>
        <vt:i4>1376305</vt:i4>
      </vt:variant>
      <vt:variant>
        <vt:i4>218</vt:i4>
      </vt:variant>
      <vt:variant>
        <vt:i4>0</vt:i4>
      </vt:variant>
      <vt:variant>
        <vt:i4>5</vt:i4>
      </vt:variant>
      <vt:variant>
        <vt:lpwstr/>
      </vt:variant>
      <vt:variant>
        <vt:lpwstr>_Toc23162205</vt:lpwstr>
      </vt:variant>
      <vt:variant>
        <vt:i4>1310769</vt:i4>
      </vt:variant>
      <vt:variant>
        <vt:i4>212</vt:i4>
      </vt:variant>
      <vt:variant>
        <vt:i4>0</vt:i4>
      </vt:variant>
      <vt:variant>
        <vt:i4>5</vt:i4>
      </vt:variant>
      <vt:variant>
        <vt:lpwstr/>
      </vt:variant>
      <vt:variant>
        <vt:lpwstr>_Toc23162204</vt:lpwstr>
      </vt:variant>
      <vt:variant>
        <vt:i4>1245233</vt:i4>
      </vt:variant>
      <vt:variant>
        <vt:i4>206</vt:i4>
      </vt:variant>
      <vt:variant>
        <vt:i4>0</vt:i4>
      </vt:variant>
      <vt:variant>
        <vt:i4>5</vt:i4>
      </vt:variant>
      <vt:variant>
        <vt:lpwstr/>
      </vt:variant>
      <vt:variant>
        <vt:lpwstr>_Toc23162203</vt:lpwstr>
      </vt:variant>
      <vt:variant>
        <vt:i4>1179697</vt:i4>
      </vt:variant>
      <vt:variant>
        <vt:i4>200</vt:i4>
      </vt:variant>
      <vt:variant>
        <vt:i4>0</vt:i4>
      </vt:variant>
      <vt:variant>
        <vt:i4>5</vt:i4>
      </vt:variant>
      <vt:variant>
        <vt:lpwstr/>
      </vt:variant>
      <vt:variant>
        <vt:lpwstr>_Toc23162202</vt:lpwstr>
      </vt:variant>
      <vt:variant>
        <vt:i4>1114161</vt:i4>
      </vt:variant>
      <vt:variant>
        <vt:i4>194</vt:i4>
      </vt:variant>
      <vt:variant>
        <vt:i4>0</vt:i4>
      </vt:variant>
      <vt:variant>
        <vt:i4>5</vt:i4>
      </vt:variant>
      <vt:variant>
        <vt:lpwstr/>
      </vt:variant>
      <vt:variant>
        <vt:lpwstr>_Toc23162201</vt:lpwstr>
      </vt:variant>
      <vt:variant>
        <vt:i4>1048625</vt:i4>
      </vt:variant>
      <vt:variant>
        <vt:i4>188</vt:i4>
      </vt:variant>
      <vt:variant>
        <vt:i4>0</vt:i4>
      </vt:variant>
      <vt:variant>
        <vt:i4>5</vt:i4>
      </vt:variant>
      <vt:variant>
        <vt:lpwstr/>
      </vt:variant>
      <vt:variant>
        <vt:lpwstr>_Toc23162200</vt:lpwstr>
      </vt:variant>
      <vt:variant>
        <vt:i4>1703992</vt:i4>
      </vt:variant>
      <vt:variant>
        <vt:i4>182</vt:i4>
      </vt:variant>
      <vt:variant>
        <vt:i4>0</vt:i4>
      </vt:variant>
      <vt:variant>
        <vt:i4>5</vt:i4>
      </vt:variant>
      <vt:variant>
        <vt:lpwstr/>
      </vt:variant>
      <vt:variant>
        <vt:lpwstr>_Toc23162199</vt:lpwstr>
      </vt:variant>
      <vt:variant>
        <vt:i4>1769528</vt:i4>
      </vt:variant>
      <vt:variant>
        <vt:i4>176</vt:i4>
      </vt:variant>
      <vt:variant>
        <vt:i4>0</vt:i4>
      </vt:variant>
      <vt:variant>
        <vt:i4>5</vt:i4>
      </vt:variant>
      <vt:variant>
        <vt:lpwstr/>
      </vt:variant>
      <vt:variant>
        <vt:lpwstr>_Toc23162198</vt:lpwstr>
      </vt:variant>
      <vt:variant>
        <vt:i4>1310776</vt:i4>
      </vt:variant>
      <vt:variant>
        <vt:i4>170</vt:i4>
      </vt:variant>
      <vt:variant>
        <vt:i4>0</vt:i4>
      </vt:variant>
      <vt:variant>
        <vt:i4>5</vt:i4>
      </vt:variant>
      <vt:variant>
        <vt:lpwstr/>
      </vt:variant>
      <vt:variant>
        <vt:lpwstr>_Toc23162197</vt:lpwstr>
      </vt:variant>
      <vt:variant>
        <vt:i4>1376312</vt:i4>
      </vt:variant>
      <vt:variant>
        <vt:i4>164</vt:i4>
      </vt:variant>
      <vt:variant>
        <vt:i4>0</vt:i4>
      </vt:variant>
      <vt:variant>
        <vt:i4>5</vt:i4>
      </vt:variant>
      <vt:variant>
        <vt:lpwstr/>
      </vt:variant>
      <vt:variant>
        <vt:lpwstr>_Toc23162196</vt:lpwstr>
      </vt:variant>
      <vt:variant>
        <vt:i4>1441848</vt:i4>
      </vt:variant>
      <vt:variant>
        <vt:i4>158</vt:i4>
      </vt:variant>
      <vt:variant>
        <vt:i4>0</vt:i4>
      </vt:variant>
      <vt:variant>
        <vt:i4>5</vt:i4>
      </vt:variant>
      <vt:variant>
        <vt:lpwstr/>
      </vt:variant>
      <vt:variant>
        <vt:lpwstr>_Toc23162195</vt:lpwstr>
      </vt:variant>
      <vt:variant>
        <vt:i4>1507384</vt:i4>
      </vt:variant>
      <vt:variant>
        <vt:i4>152</vt:i4>
      </vt:variant>
      <vt:variant>
        <vt:i4>0</vt:i4>
      </vt:variant>
      <vt:variant>
        <vt:i4>5</vt:i4>
      </vt:variant>
      <vt:variant>
        <vt:lpwstr/>
      </vt:variant>
      <vt:variant>
        <vt:lpwstr>_Toc23162194</vt:lpwstr>
      </vt:variant>
      <vt:variant>
        <vt:i4>1048632</vt:i4>
      </vt:variant>
      <vt:variant>
        <vt:i4>146</vt:i4>
      </vt:variant>
      <vt:variant>
        <vt:i4>0</vt:i4>
      </vt:variant>
      <vt:variant>
        <vt:i4>5</vt:i4>
      </vt:variant>
      <vt:variant>
        <vt:lpwstr/>
      </vt:variant>
      <vt:variant>
        <vt:lpwstr>_Toc23162193</vt:lpwstr>
      </vt:variant>
      <vt:variant>
        <vt:i4>1114168</vt:i4>
      </vt:variant>
      <vt:variant>
        <vt:i4>140</vt:i4>
      </vt:variant>
      <vt:variant>
        <vt:i4>0</vt:i4>
      </vt:variant>
      <vt:variant>
        <vt:i4>5</vt:i4>
      </vt:variant>
      <vt:variant>
        <vt:lpwstr/>
      </vt:variant>
      <vt:variant>
        <vt:lpwstr>_Toc23162192</vt:lpwstr>
      </vt:variant>
      <vt:variant>
        <vt:i4>1179704</vt:i4>
      </vt:variant>
      <vt:variant>
        <vt:i4>134</vt:i4>
      </vt:variant>
      <vt:variant>
        <vt:i4>0</vt:i4>
      </vt:variant>
      <vt:variant>
        <vt:i4>5</vt:i4>
      </vt:variant>
      <vt:variant>
        <vt:lpwstr/>
      </vt:variant>
      <vt:variant>
        <vt:lpwstr>_Toc23162191</vt:lpwstr>
      </vt:variant>
      <vt:variant>
        <vt:i4>1245240</vt:i4>
      </vt:variant>
      <vt:variant>
        <vt:i4>128</vt:i4>
      </vt:variant>
      <vt:variant>
        <vt:i4>0</vt:i4>
      </vt:variant>
      <vt:variant>
        <vt:i4>5</vt:i4>
      </vt:variant>
      <vt:variant>
        <vt:lpwstr/>
      </vt:variant>
      <vt:variant>
        <vt:lpwstr>_Toc23162190</vt:lpwstr>
      </vt:variant>
      <vt:variant>
        <vt:i4>1703993</vt:i4>
      </vt:variant>
      <vt:variant>
        <vt:i4>122</vt:i4>
      </vt:variant>
      <vt:variant>
        <vt:i4>0</vt:i4>
      </vt:variant>
      <vt:variant>
        <vt:i4>5</vt:i4>
      </vt:variant>
      <vt:variant>
        <vt:lpwstr/>
      </vt:variant>
      <vt:variant>
        <vt:lpwstr>_Toc23162189</vt:lpwstr>
      </vt:variant>
      <vt:variant>
        <vt:i4>1769529</vt:i4>
      </vt:variant>
      <vt:variant>
        <vt:i4>116</vt:i4>
      </vt:variant>
      <vt:variant>
        <vt:i4>0</vt:i4>
      </vt:variant>
      <vt:variant>
        <vt:i4>5</vt:i4>
      </vt:variant>
      <vt:variant>
        <vt:lpwstr/>
      </vt:variant>
      <vt:variant>
        <vt:lpwstr>_Toc23162188</vt:lpwstr>
      </vt:variant>
      <vt:variant>
        <vt:i4>1310777</vt:i4>
      </vt:variant>
      <vt:variant>
        <vt:i4>110</vt:i4>
      </vt:variant>
      <vt:variant>
        <vt:i4>0</vt:i4>
      </vt:variant>
      <vt:variant>
        <vt:i4>5</vt:i4>
      </vt:variant>
      <vt:variant>
        <vt:lpwstr/>
      </vt:variant>
      <vt:variant>
        <vt:lpwstr>_Toc23162187</vt:lpwstr>
      </vt:variant>
      <vt:variant>
        <vt:i4>1376313</vt:i4>
      </vt:variant>
      <vt:variant>
        <vt:i4>104</vt:i4>
      </vt:variant>
      <vt:variant>
        <vt:i4>0</vt:i4>
      </vt:variant>
      <vt:variant>
        <vt:i4>5</vt:i4>
      </vt:variant>
      <vt:variant>
        <vt:lpwstr/>
      </vt:variant>
      <vt:variant>
        <vt:lpwstr>_Toc23162186</vt:lpwstr>
      </vt:variant>
      <vt:variant>
        <vt:i4>1441849</vt:i4>
      </vt:variant>
      <vt:variant>
        <vt:i4>98</vt:i4>
      </vt:variant>
      <vt:variant>
        <vt:i4>0</vt:i4>
      </vt:variant>
      <vt:variant>
        <vt:i4>5</vt:i4>
      </vt:variant>
      <vt:variant>
        <vt:lpwstr/>
      </vt:variant>
      <vt:variant>
        <vt:lpwstr>_Toc23162185</vt:lpwstr>
      </vt:variant>
      <vt:variant>
        <vt:i4>1507385</vt:i4>
      </vt:variant>
      <vt:variant>
        <vt:i4>92</vt:i4>
      </vt:variant>
      <vt:variant>
        <vt:i4>0</vt:i4>
      </vt:variant>
      <vt:variant>
        <vt:i4>5</vt:i4>
      </vt:variant>
      <vt:variant>
        <vt:lpwstr/>
      </vt:variant>
      <vt:variant>
        <vt:lpwstr>_Toc23162184</vt:lpwstr>
      </vt:variant>
      <vt:variant>
        <vt:i4>1048633</vt:i4>
      </vt:variant>
      <vt:variant>
        <vt:i4>86</vt:i4>
      </vt:variant>
      <vt:variant>
        <vt:i4>0</vt:i4>
      </vt:variant>
      <vt:variant>
        <vt:i4>5</vt:i4>
      </vt:variant>
      <vt:variant>
        <vt:lpwstr/>
      </vt:variant>
      <vt:variant>
        <vt:lpwstr>_Toc23162183</vt:lpwstr>
      </vt:variant>
      <vt:variant>
        <vt:i4>1114169</vt:i4>
      </vt:variant>
      <vt:variant>
        <vt:i4>80</vt:i4>
      </vt:variant>
      <vt:variant>
        <vt:i4>0</vt:i4>
      </vt:variant>
      <vt:variant>
        <vt:i4>5</vt:i4>
      </vt:variant>
      <vt:variant>
        <vt:lpwstr/>
      </vt:variant>
      <vt:variant>
        <vt:lpwstr>_Toc23162182</vt:lpwstr>
      </vt:variant>
      <vt:variant>
        <vt:i4>1179705</vt:i4>
      </vt:variant>
      <vt:variant>
        <vt:i4>74</vt:i4>
      </vt:variant>
      <vt:variant>
        <vt:i4>0</vt:i4>
      </vt:variant>
      <vt:variant>
        <vt:i4>5</vt:i4>
      </vt:variant>
      <vt:variant>
        <vt:lpwstr/>
      </vt:variant>
      <vt:variant>
        <vt:lpwstr>_Toc23162181</vt:lpwstr>
      </vt:variant>
      <vt:variant>
        <vt:i4>1245241</vt:i4>
      </vt:variant>
      <vt:variant>
        <vt:i4>68</vt:i4>
      </vt:variant>
      <vt:variant>
        <vt:i4>0</vt:i4>
      </vt:variant>
      <vt:variant>
        <vt:i4>5</vt:i4>
      </vt:variant>
      <vt:variant>
        <vt:lpwstr/>
      </vt:variant>
      <vt:variant>
        <vt:lpwstr>_Toc23162180</vt:lpwstr>
      </vt:variant>
      <vt:variant>
        <vt:i4>1703990</vt:i4>
      </vt:variant>
      <vt:variant>
        <vt:i4>62</vt:i4>
      </vt:variant>
      <vt:variant>
        <vt:i4>0</vt:i4>
      </vt:variant>
      <vt:variant>
        <vt:i4>5</vt:i4>
      </vt:variant>
      <vt:variant>
        <vt:lpwstr/>
      </vt:variant>
      <vt:variant>
        <vt:lpwstr>_Toc23162179</vt:lpwstr>
      </vt:variant>
      <vt:variant>
        <vt:i4>1769526</vt:i4>
      </vt:variant>
      <vt:variant>
        <vt:i4>56</vt:i4>
      </vt:variant>
      <vt:variant>
        <vt:i4>0</vt:i4>
      </vt:variant>
      <vt:variant>
        <vt:i4>5</vt:i4>
      </vt:variant>
      <vt:variant>
        <vt:lpwstr/>
      </vt:variant>
      <vt:variant>
        <vt:lpwstr>_Toc23162178</vt:lpwstr>
      </vt:variant>
      <vt:variant>
        <vt:i4>1310774</vt:i4>
      </vt:variant>
      <vt:variant>
        <vt:i4>50</vt:i4>
      </vt:variant>
      <vt:variant>
        <vt:i4>0</vt:i4>
      </vt:variant>
      <vt:variant>
        <vt:i4>5</vt:i4>
      </vt:variant>
      <vt:variant>
        <vt:lpwstr/>
      </vt:variant>
      <vt:variant>
        <vt:lpwstr>_Toc23162177</vt:lpwstr>
      </vt:variant>
      <vt:variant>
        <vt:i4>1376310</vt:i4>
      </vt:variant>
      <vt:variant>
        <vt:i4>44</vt:i4>
      </vt:variant>
      <vt:variant>
        <vt:i4>0</vt:i4>
      </vt:variant>
      <vt:variant>
        <vt:i4>5</vt:i4>
      </vt:variant>
      <vt:variant>
        <vt:lpwstr/>
      </vt:variant>
      <vt:variant>
        <vt:lpwstr>_Toc23162176</vt:lpwstr>
      </vt:variant>
      <vt:variant>
        <vt:i4>1441846</vt:i4>
      </vt:variant>
      <vt:variant>
        <vt:i4>38</vt:i4>
      </vt:variant>
      <vt:variant>
        <vt:i4>0</vt:i4>
      </vt:variant>
      <vt:variant>
        <vt:i4>5</vt:i4>
      </vt:variant>
      <vt:variant>
        <vt:lpwstr/>
      </vt:variant>
      <vt:variant>
        <vt:lpwstr>_Toc23162175</vt:lpwstr>
      </vt:variant>
      <vt:variant>
        <vt:i4>1507382</vt:i4>
      </vt:variant>
      <vt:variant>
        <vt:i4>32</vt:i4>
      </vt:variant>
      <vt:variant>
        <vt:i4>0</vt:i4>
      </vt:variant>
      <vt:variant>
        <vt:i4>5</vt:i4>
      </vt:variant>
      <vt:variant>
        <vt:lpwstr/>
      </vt:variant>
      <vt:variant>
        <vt:lpwstr>_Toc23162174</vt:lpwstr>
      </vt:variant>
      <vt:variant>
        <vt:i4>1048630</vt:i4>
      </vt:variant>
      <vt:variant>
        <vt:i4>26</vt:i4>
      </vt:variant>
      <vt:variant>
        <vt:i4>0</vt:i4>
      </vt:variant>
      <vt:variant>
        <vt:i4>5</vt:i4>
      </vt:variant>
      <vt:variant>
        <vt:lpwstr/>
      </vt:variant>
      <vt:variant>
        <vt:lpwstr>_Toc23162173</vt:lpwstr>
      </vt:variant>
      <vt:variant>
        <vt:i4>1114166</vt:i4>
      </vt:variant>
      <vt:variant>
        <vt:i4>20</vt:i4>
      </vt:variant>
      <vt:variant>
        <vt:i4>0</vt:i4>
      </vt:variant>
      <vt:variant>
        <vt:i4>5</vt:i4>
      </vt:variant>
      <vt:variant>
        <vt:lpwstr/>
      </vt:variant>
      <vt:variant>
        <vt:lpwstr>_Toc23162172</vt:lpwstr>
      </vt:variant>
      <vt:variant>
        <vt:i4>1179702</vt:i4>
      </vt:variant>
      <vt:variant>
        <vt:i4>14</vt:i4>
      </vt:variant>
      <vt:variant>
        <vt:i4>0</vt:i4>
      </vt:variant>
      <vt:variant>
        <vt:i4>5</vt:i4>
      </vt:variant>
      <vt:variant>
        <vt:lpwstr/>
      </vt:variant>
      <vt:variant>
        <vt:lpwstr>_Toc23162171</vt:lpwstr>
      </vt:variant>
      <vt:variant>
        <vt:i4>1245238</vt:i4>
      </vt:variant>
      <vt:variant>
        <vt:i4>8</vt:i4>
      </vt:variant>
      <vt:variant>
        <vt:i4>0</vt:i4>
      </vt:variant>
      <vt:variant>
        <vt:i4>5</vt:i4>
      </vt:variant>
      <vt:variant>
        <vt:lpwstr/>
      </vt:variant>
      <vt:variant>
        <vt:lpwstr>_Toc23162170</vt:lpwstr>
      </vt:variant>
      <vt:variant>
        <vt:i4>1703991</vt:i4>
      </vt:variant>
      <vt:variant>
        <vt:i4>2</vt:i4>
      </vt:variant>
      <vt:variant>
        <vt:i4>0</vt:i4>
      </vt:variant>
      <vt:variant>
        <vt:i4>5</vt:i4>
      </vt:variant>
      <vt:variant>
        <vt:lpwstr/>
      </vt:variant>
      <vt:variant>
        <vt:lpwstr>_Toc23162169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Mahdi Sarikhanifard</cp:lastModifiedBy>
  <cp:revision>42</cp:revision>
  <cp:lastPrinted>2001-06-21T10:51:00Z</cp:lastPrinted>
  <dcterms:created xsi:type="dcterms:W3CDTF">2023-01-16T03:06:00Z</dcterms:created>
  <dcterms:modified xsi:type="dcterms:W3CDTF">2024-09-30T10:48:00Z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GrammarlyDocumentId">
    <vt:lpwstr>6f76a8ac1e747c126d4524cf5deb9715733ae2adbdf8552fa74084624b018c89</vt:lpwstr>
  </property>
  <property fmtid="{D5CDD505-2E9C-101B-9397-08002B2CF9AE}" pid="4" name="ContentTypeId">
    <vt:lpwstr>0x01010043EB5C7E759B7542951DC6F7F2BEE612</vt:lpwstr>
  </property>
  <property fmtid="{D5CDD505-2E9C-101B-9397-08002B2CF9AE}" pid="5" name="Order">
    <vt:r8>9569200</vt:r8>
  </property>
  <property fmtid="{D5CDD505-2E9C-101B-9397-08002B2CF9AE}" pid="6" name="xd_Signature">
    <vt:bool>false</vt:bool>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MediaServiceImageTags">
    <vt:lpwstr/>
  </property>
</Properties>
</file>