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854E7" w14:textId="05EF7542" w:rsidR="002854E5" w:rsidRPr="00CD3DF5" w:rsidRDefault="00462F82" w:rsidP="000E59D3">
      <w:pPr>
        <w:jc w:val="both"/>
        <w:rPr>
          <w:b/>
          <w:bCs/>
          <w:lang w:val="en-US"/>
        </w:rPr>
      </w:pPr>
      <w:r w:rsidRPr="00CD3DF5">
        <w:rPr>
          <w:b/>
          <w:bCs/>
          <w:lang w:val="en-US"/>
        </w:rPr>
        <w:t xml:space="preserve">Project </w:t>
      </w:r>
      <w:r w:rsidR="009A3795">
        <w:rPr>
          <w:b/>
          <w:bCs/>
          <w:lang w:val="en-US"/>
        </w:rPr>
        <w:t>4</w:t>
      </w:r>
    </w:p>
    <w:p w14:paraId="1E2C82C5" w14:textId="232369CD" w:rsidR="00462F82" w:rsidRPr="00CD3DF5" w:rsidRDefault="00CD3DF5" w:rsidP="000E59D3">
      <w:pPr>
        <w:pStyle w:val="Titolo1"/>
        <w:jc w:val="center"/>
        <w:rPr>
          <w:lang w:val="en-US"/>
        </w:rPr>
      </w:pPr>
      <w:r>
        <w:rPr>
          <w:lang w:val="en-US"/>
        </w:rPr>
        <w:t>Rating Migrations</w:t>
      </w:r>
    </w:p>
    <w:p w14:paraId="3C0C03FF" w14:textId="77777777" w:rsidR="00462F82" w:rsidRPr="00462F82" w:rsidRDefault="00462F82" w:rsidP="000E59D3">
      <w:pPr>
        <w:jc w:val="center"/>
        <w:rPr>
          <w:lang w:val="en-US"/>
        </w:rPr>
      </w:pPr>
      <w:r w:rsidRPr="00462F82">
        <w:rPr>
          <w:lang w:val="en-US"/>
        </w:rPr>
        <w:t>Financial Engineering AY 2024-2025</w:t>
      </w:r>
    </w:p>
    <w:p w14:paraId="2AE36686" w14:textId="0AF9FB14" w:rsidR="008D5CF7" w:rsidRDefault="005042C5" w:rsidP="000E59D3">
      <w:pPr>
        <w:jc w:val="both"/>
        <w:rPr>
          <w:lang w:val="en-US"/>
        </w:rPr>
      </w:pPr>
      <w:r w:rsidRPr="005042C5">
        <w:rPr>
          <w:lang w:val="en-US"/>
        </w:rPr>
        <w:t xml:space="preserve">Credit portfolio </w:t>
      </w:r>
      <w:proofErr w:type="spellStart"/>
      <w:r w:rsidRPr="005042C5">
        <w:rPr>
          <w:lang w:val="en-US"/>
        </w:rPr>
        <w:t>VaR</w:t>
      </w:r>
      <w:proofErr w:type="spellEnd"/>
      <w:r w:rsidRPr="005042C5">
        <w:rPr>
          <w:lang w:val="en-US"/>
        </w:rPr>
        <w:t xml:space="preserve"> (</w:t>
      </w:r>
      <w:proofErr w:type="spellStart"/>
      <w:r w:rsidRPr="005042C5">
        <w:rPr>
          <w:lang w:val="en-US"/>
        </w:rPr>
        <w:t>Schonbucher</w:t>
      </w:r>
      <w:proofErr w:type="spellEnd"/>
      <w:r w:rsidRPr="005042C5">
        <w:rPr>
          <w:lang w:val="en-US"/>
        </w:rPr>
        <w:t xml:space="preserve"> par. 10.4) is very sensitive to the average correlation between </w:t>
      </w:r>
      <w:r w:rsidR="00287215">
        <w:rPr>
          <w:lang w:val="en-US"/>
        </w:rPr>
        <w:t>s</w:t>
      </w:r>
      <w:r w:rsidRPr="005042C5">
        <w:rPr>
          <w:lang w:val="en-US"/>
        </w:rPr>
        <w:t xml:space="preserve">tandardized asset </w:t>
      </w:r>
      <w:proofErr w:type="gramStart"/>
      <w:r w:rsidRPr="005042C5">
        <w:rPr>
          <w:lang w:val="en-US"/>
        </w:rPr>
        <w:t xml:space="preserve">returns </w:t>
      </w:r>
      <w:proofErr w:type="gramEnd"/>
      <m:oMath>
        <m:r>
          <w:rPr>
            <w:rFonts w:ascii="Cambria Math" w:hAnsi="Cambria Math"/>
            <w:lang w:val="en-US"/>
          </w:rPr>
          <m:t>ρ</m:t>
        </m:r>
      </m:oMath>
      <w:r w:rsidRPr="005042C5">
        <w:rPr>
          <w:lang w:val="en-US"/>
        </w:rPr>
        <w:t xml:space="preserve">, which is an unobservable parameter for which calibration on historical data has been in the last twenty years a problem not completely solved. For a review of </w:t>
      </w:r>
      <w:proofErr w:type="gramStart"/>
      <w:r w:rsidRPr="005042C5">
        <w:rPr>
          <w:lang w:val="en-US"/>
        </w:rPr>
        <w:t>results</w:t>
      </w:r>
      <w:proofErr w:type="gramEnd"/>
      <w:r w:rsidRPr="005042C5">
        <w:rPr>
          <w:lang w:val="en-US"/>
        </w:rPr>
        <w:t xml:space="preserve"> see [2].</w:t>
      </w:r>
    </w:p>
    <w:p w14:paraId="34851737" w14:textId="3D32B217" w:rsidR="00E72E9D" w:rsidRDefault="00E72E9D" w:rsidP="000E59D3">
      <w:pPr>
        <w:jc w:val="both"/>
        <w:rPr>
          <w:rFonts w:eastAsiaTheme="minorEastAsia"/>
          <w:lang w:val="en-US"/>
        </w:rPr>
      </w:pPr>
      <w:proofErr w:type="spellStart"/>
      <w:r w:rsidRPr="00E72E9D">
        <w:rPr>
          <w:rFonts w:eastAsiaTheme="minorEastAsia"/>
          <w:lang w:val="en-US"/>
        </w:rPr>
        <w:t>Gupton</w:t>
      </w:r>
      <w:proofErr w:type="spellEnd"/>
      <w:r w:rsidRPr="00E72E9D">
        <w:rPr>
          <w:rFonts w:eastAsiaTheme="minorEastAsia"/>
          <w:lang w:val="en-US"/>
        </w:rPr>
        <w:t xml:space="preserve"> et al. [1] published an elaboration based on quarterly joint rating migrations of two corporate issuers reported by S&amp;P across a time series of 40 quarters, with a sample composed by firms with initial rating A and BBB (table 8.2, page 84). Count of joint migrations is translated into probabilities of joint credit movements (table 8.3, page 84) across a </w:t>
      </w:r>
      <w:proofErr w:type="gramStart"/>
      <w:r w:rsidRPr="00E72E9D">
        <w:rPr>
          <w:rFonts w:eastAsiaTheme="minorEastAsia"/>
          <w:lang w:val="en-US"/>
        </w:rPr>
        <w:t>three month</w:t>
      </w:r>
      <w:proofErr w:type="gramEnd"/>
      <w:r w:rsidRPr="00E72E9D">
        <w:rPr>
          <w:rFonts w:eastAsiaTheme="minorEastAsia"/>
          <w:lang w:val="en-US"/>
        </w:rPr>
        <w:t xml:space="preserve"> period. The two tables are in the annex spreadsheet RatingMigrations_data.xlsx.</w:t>
      </w:r>
    </w:p>
    <w:p w14:paraId="2D15CAC9" w14:textId="77777777" w:rsidR="00AC11D7" w:rsidRPr="00621D10" w:rsidRDefault="00621D10" w:rsidP="00AC11D7">
      <w:pPr>
        <w:pStyle w:val="Paragrafoelenco"/>
        <w:numPr>
          <w:ilvl w:val="0"/>
          <w:numId w:val="2"/>
        </w:numPr>
        <w:jc w:val="both"/>
        <w:rPr>
          <w:rFonts w:eastAsiaTheme="minorEastAsia"/>
          <w:lang w:val="en-US"/>
        </w:rPr>
      </w:pPr>
      <w:r w:rsidRPr="00AC11D7">
        <w:rPr>
          <w:rFonts w:eastAsiaTheme="minorEastAsia"/>
          <w:lang w:val="en-US"/>
        </w:rPr>
        <w:t xml:space="preserve">Let’s assume that the standardized asset returns of firms rated A or BBB is described by the single-factor </w:t>
      </w:r>
      <w:proofErr w:type="spellStart"/>
      <w:r w:rsidRPr="00AC11D7">
        <w:rPr>
          <w:rFonts w:eastAsiaTheme="minorEastAsia"/>
          <w:lang w:val="en-US"/>
        </w:rPr>
        <w:t>Vasicek</w:t>
      </w:r>
      <w:proofErr w:type="spellEnd"/>
      <w:r w:rsidRPr="00AC11D7">
        <w:rPr>
          <w:rFonts w:eastAsiaTheme="minorEastAsia"/>
          <w:lang w:val="en-US"/>
        </w:rPr>
        <w:t xml:space="preserve"> model with constant </w:t>
      </w:r>
      <w:proofErr w:type="gramStart"/>
      <w:r w:rsidRPr="00AC11D7">
        <w:rPr>
          <w:rFonts w:eastAsiaTheme="minorEastAsia"/>
          <w:lang w:val="en-US"/>
        </w:rPr>
        <w:t xml:space="preserve">correlation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ρ</m:t>
        </m:r>
      </m:oMath>
      <w:r w:rsidRPr="00AC11D7">
        <w:rPr>
          <w:rFonts w:eastAsiaTheme="minorEastAsia"/>
          <w:lang w:val="en-US"/>
        </w:rPr>
        <w:t>. Based on the probabilities of joint credit move</w:t>
      </w:r>
      <w:proofErr w:type="spellStart"/>
      <w:r w:rsidRPr="00AC11D7">
        <w:rPr>
          <w:rFonts w:eastAsiaTheme="minorEastAsia"/>
          <w:lang w:val="en-US"/>
        </w:rPr>
        <w:t>ments</w:t>
      </w:r>
      <w:proofErr w:type="spellEnd"/>
      <w:r w:rsidRPr="00AC11D7">
        <w:rPr>
          <w:rFonts w:eastAsiaTheme="minorEastAsia"/>
          <w:lang w:val="en-US"/>
        </w:rPr>
        <w:t xml:space="preserve"> above, students shall </w:t>
      </w:r>
      <w:proofErr w:type="gramStart"/>
      <w:r w:rsidRPr="00AC11D7">
        <w:rPr>
          <w:rFonts w:eastAsiaTheme="minorEastAsia"/>
          <w:lang w:val="en-US"/>
        </w:rPr>
        <w:t xml:space="preserve">calibrate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ρ</m:t>
        </m:r>
      </m:oMath>
      <w:r w:rsidRPr="00AC11D7">
        <w:rPr>
          <w:rFonts w:eastAsiaTheme="minorEastAsia"/>
          <w:lang w:val="en-US"/>
        </w:rPr>
        <w:t xml:space="preserve">. </w:t>
      </w:r>
      <w:r w:rsidR="00AC11D7" w:rsidRPr="00621D10">
        <w:rPr>
          <w:rFonts w:eastAsiaTheme="minorEastAsia"/>
          <w:lang w:val="en-US"/>
        </w:rPr>
        <w:t>Discuss the calibration results</w:t>
      </w:r>
      <w:r w:rsidR="00AC11D7">
        <w:rPr>
          <w:rFonts w:eastAsiaTheme="minorEastAsia"/>
          <w:lang w:val="en-US"/>
        </w:rPr>
        <w:t xml:space="preserve"> varying the loss function and the starting point of the minimization algorithm.</w:t>
      </w:r>
      <w:r w:rsidR="00AC11D7" w:rsidRPr="00621D10">
        <w:rPr>
          <w:rFonts w:eastAsiaTheme="minorEastAsia"/>
          <w:lang w:val="en-US"/>
        </w:rPr>
        <w:t xml:space="preserve"> </w:t>
      </w:r>
    </w:p>
    <w:p w14:paraId="4521E951" w14:textId="3BF8A36B" w:rsidR="00AC1F0E" w:rsidRPr="00AC11D7" w:rsidRDefault="00AC1F0E" w:rsidP="00CC2D9E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 w:rsidRPr="00AC11D7">
        <w:rPr>
          <w:lang w:val="en-GB"/>
        </w:rPr>
        <w:t xml:space="preserve">Extend the elementary single-factor </w:t>
      </w:r>
      <w:r w:rsidR="00AC11D7" w:rsidRPr="00AC11D7">
        <w:rPr>
          <w:lang w:val="en-GB"/>
        </w:rPr>
        <w:t>Markov Chain</w:t>
      </w:r>
      <w:r w:rsidRPr="00AC11D7">
        <w:rPr>
          <w:lang w:val="en-GB"/>
        </w:rPr>
        <w:t xml:space="preserve"> model for the calculation of the Credit Portfolio </w:t>
      </w:r>
      <w:proofErr w:type="spellStart"/>
      <w:r w:rsidRPr="00AC11D7">
        <w:rPr>
          <w:lang w:val="en-GB"/>
        </w:rPr>
        <w:t>VaR</w:t>
      </w:r>
      <w:proofErr w:type="spellEnd"/>
      <w:r w:rsidRPr="00AC11D7">
        <w:rPr>
          <w:lang w:val="en-GB"/>
        </w:rPr>
        <w:t xml:space="preserve">, by introducing seven rating classes (i.e. AAA, AA, A, BBB, BB, B, CCC) prior to default according to the following </w:t>
      </w:r>
      <w:r w:rsidR="00371EF4" w:rsidRPr="00AC11D7">
        <w:rPr>
          <w:lang w:val="en-GB"/>
        </w:rPr>
        <w:t xml:space="preserve">1-year </w:t>
      </w:r>
      <w:r w:rsidRPr="00AC11D7">
        <w:rPr>
          <w:lang w:val="en-GB"/>
        </w:rPr>
        <w:t xml:space="preserve">rating transition matrix: </w:t>
      </w:r>
    </w:p>
    <w:p w14:paraId="7705AE96" w14:textId="77777777" w:rsidR="007B7AB7" w:rsidRDefault="00C60147" w:rsidP="000E59D3">
      <w:pPr>
        <w:jc w:val="both"/>
        <w:rPr>
          <w:rFonts w:eastAsiaTheme="minorEastAsia"/>
          <w:lang w:val="en-US"/>
        </w:rPr>
      </w:pPr>
      <w:r w:rsidRPr="00C60147">
        <w:rPr>
          <w:rFonts w:eastAsiaTheme="minorEastAsia"/>
          <w:noProof/>
          <w:lang w:eastAsia="it-IT"/>
        </w:rPr>
        <w:drawing>
          <wp:inline distT="0" distB="0" distL="0" distR="0" wp14:anchorId="655364FB" wp14:editId="5F9D3D80">
            <wp:extent cx="6120130" cy="1750060"/>
            <wp:effectExtent l="0" t="0" r="0" b="2540"/>
            <wp:docPr id="44863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8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50B" w14:textId="204E823D" w:rsidR="00C60147" w:rsidRDefault="00437581" w:rsidP="000E59D3">
      <w:pPr>
        <w:ind w:left="70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 the s</w:t>
      </w:r>
      <w:r w:rsidR="007B7AB7" w:rsidRPr="007B7AB7">
        <w:rPr>
          <w:rFonts w:eastAsiaTheme="minorEastAsia"/>
          <w:lang w:val="en-US"/>
        </w:rPr>
        <w:t>pot</w:t>
      </w:r>
      <w:r w:rsidR="00123AFC">
        <w:rPr>
          <w:rFonts w:eastAsiaTheme="minorEastAsia"/>
          <w:lang w:val="en-US"/>
        </w:rPr>
        <w:t xml:space="preserve"> r</w:t>
      </w:r>
      <w:r w:rsidR="007B7AB7" w:rsidRPr="007B7AB7">
        <w:rPr>
          <w:rFonts w:eastAsiaTheme="minorEastAsia"/>
          <w:lang w:val="en-US"/>
        </w:rPr>
        <w:t xml:space="preserve">isk-free zero-coupon rate </w:t>
      </w:r>
      <w:r w:rsidR="00AC11D7">
        <w:rPr>
          <w:rFonts w:eastAsiaTheme="minorEastAsia"/>
          <w:lang w:val="en-US"/>
        </w:rPr>
        <w:t xml:space="preserve">on </w:t>
      </w:r>
      <w:proofErr w:type="gramStart"/>
      <w:r w:rsidR="00AC11D7">
        <w:rPr>
          <w:rFonts w:eastAsiaTheme="minorEastAsia"/>
          <w:lang w:val="en-US"/>
        </w:rPr>
        <w:t>the 31</w:t>
      </w:r>
      <w:r w:rsidR="00AC11D7" w:rsidRPr="00AC11D7">
        <w:rPr>
          <w:rFonts w:eastAsiaTheme="minorEastAsia"/>
          <w:vertAlign w:val="superscript"/>
          <w:lang w:val="en-US"/>
        </w:rPr>
        <w:t>st</w:t>
      </w:r>
      <w:r w:rsidR="00AC11D7">
        <w:rPr>
          <w:rFonts w:eastAsiaTheme="minorEastAsia"/>
          <w:lang w:val="en-US"/>
        </w:rPr>
        <w:t xml:space="preserve"> of January</w:t>
      </w:r>
      <w:proofErr w:type="gramEnd"/>
      <w:r w:rsidR="00AC11D7">
        <w:rPr>
          <w:rFonts w:eastAsiaTheme="minorEastAsia"/>
          <w:lang w:val="en-US"/>
        </w:rPr>
        <w:t xml:space="preserve"> 2023 </w:t>
      </w:r>
      <w:r w:rsidR="007B7AB7" w:rsidRPr="007B7AB7">
        <w:rPr>
          <w:rFonts w:eastAsiaTheme="minorEastAsia"/>
          <w:lang w:val="en-US"/>
        </w:rPr>
        <w:t>and recovery rate</w:t>
      </w:r>
      <w:r w:rsidR="00D122F3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  <w:lang w:val="en-US"/>
          </w:rPr>
          <m:t>= 40%</m:t>
        </m:r>
      </m:oMath>
      <w:r w:rsidR="007B7AB7" w:rsidRPr="007B7AB7">
        <w:rPr>
          <w:rFonts w:eastAsiaTheme="minorEastAsia"/>
          <w:lang w:val="en-US"/>
        </w:rPr>
        <w:t xml:space="preserve"> for all issuers.</w:t>
      </w:r>
    </w:p>
    <w:p w14:paraId="3DD4A5D3" w14:textId="77777777" w:rsidR="004300BA" w:rsidRDefault="004300BA" w:rsidP="000E59D3">
      <w:pPr>
        <w:ind w:left="708"/>
        <w:jc w:val="both"/>
        <w:rPr>
          <w:rFonts w:eastAsiaTheme="minorEastAsia"/>
          <w:lang w:val="en-US"/>
        </w:rPr>
      </w:pPr>
      <w:r w:rsidRPr="004300BA">
        <w:rPr>
          <w:rFonts w:eastAsiaTheme="minorEastAsia"/>
          <w:lang w:val="en-US"/>
        </w:rPr>
        <w:t xml:space="preserve">Thanks to the improved MC simulation, students shall calculate the 99.9% </w:t>
      </w:r>
      <w:proofErr w:type="spellStart"/>
      <w:r w:rsidRPr="004300BA">
        <w:rPr>
          <w:rFonts w:eastAsiaTheme="minorEastAsia"/>
          <w:lang w:val="en-US"/>
        </w:rPr>
        <w:t>VaR</w:t>
      </w:r>
      <w:proofErr w:type="spellEnd"/>
      <w:r w:rsidRPr="004300BA">
        <w:rPr>
          <w:rFonts w:eastAsiaTheme="minorEastAsia"/>
          <w:lang w:val="en-US"/>
        </w:rPr>
        <w:t xml:space="preserve"> with </w:t>
      </w:r>
      <w:proofErr w:type="gramStart"/>
      <w:r w:rsidRPr="004300BA">
        <w:rPr>
          <w:rFonts w:eastAsiaTheme="minorEastAsia"/>
          <w:lang w:val="en-US"/>
        </w:rPr>
        <w:t>one year</w:t>
      </w:r>
      <w:proofErr w:type="gramEnd"/>
      <w:r w:rsidRPr="004300BA">
        <w:rPr>
          <w:rFonts w:eastAsiaTheme="minorEastAsia"/>
          <w:lang w:val="en-US"/>
        </w:rPr>
        <w:t xml:space="preserve"> time </w:t>
      </w:r>
      <w:r>
        <w:rPr>
          <w:rFonts w:eastAsiaTheme="minorEastAsia"/>
          <w:lang w:val="en-US"/>
        </w:rPr>
        <w:t>h</w:t>
      </w:r>
      <w:r w:rsidRPr="004300BA">
        <w:rPr>
          <w:rFonts w:eastAsiaTheme="minorEastAsia"/>
          <w:lang w:val="en-US"/>
        </w:rPr>
        <w:t xml:space="preserve">orizon given the portfolio composed by 100 exposures as follows: </w:t>
      </w:r>
      <w:bookmarkStart w:id="0" w:name="_GoBack"/>
      <w:bookmarkEnd w:id="0"/>
    </w:p>
    <w:p w14:paraId="132330F4" w14:textId="77777777" w:rsidR="004300BA" w:rsidRDefault="004300BA" w:rsidP="000E59D3">
      <w:pPr>
        <w:pStyle w:val="Paragrafoelenco"/>
        <w:numPr>
          <w:ilvl w:val="0"/>
          <w:numId w:val="3"/>
        </w:numPr>
        <w:jc w:val="both"/>
        <w:rPr>
          <w:rFonts w:eastAsiaTheme="minorEastAsia"/>
          <w:lang w:val="en-US"/>
        </w:rPr>
      </w:pPr>
      <w:r w:rsidRPr="004300BA">
        <w:rPr>
          <w:rFonts w:eastAsiaTheme="minorEastAsia"/>
          <w:lang w:val="en-US"/>
        </w:rPr>
        <w:t xml:space="preserve">50 zero-coupon bonds with 2y original maturity, which pay the Face Value FV = 1$ at maturity issued by different A-rated issuers; </w:t>
      </w:r>
    </w:p>
    <w:p w14:paraId="22F72B92" w14:textId="1CDA818C" w:rsidR="00430D03" w:rsidRDefault="004300BA" w:rsidP="00430D03">
      <w:pPr>
        <w:pStyle w:val="Paragrafoelenco"/>
        <w:numPr>
          <w:ilvl w:val="0"/>
          <w:numId w:val="3"/>
        </w:numPr>
        <w:jc w:val="both"/>
        <w:rPr>
          <w:rFonts w:eastAsiaTheme="minorEastAsia"/>
          <w:lang w:val="en-US"/>
        </w:rPr>
      </w:pPr>
      <w:r w:rsidRPr="004300BA">
        <w:rPr>
          <w:rFonts w:eastAsiaTheme="minorEastAsia"/>
          <w:lang w:val="en-US"/>
        </w:rPr>
        <w:t xml:space="preserve">50 zero-coupon bonds with 2y original maturity, which pay the Face Value FV = </w:t>
      </w:r>
      <w:proofErr w:type="gramStart"/>
      <w:r w:rsidRPr="004300BA">
        <w:rPr>
          <w:rFonts w:eastAsiaTheme="minorEastAsia"/>
          <w:lang w:val="en-US"/>
        </w:rPr>
        <w:t>1</w:t>
      </w:r>
      <w:proofErr w:type="gramEnd"/>
      <w:r w:rsidRPr="004300BA">
        <w:rPr>
          <w:rFonts w:eastAsiaTheme="minorEastAsia"/>
          <w:lang w:val="en-US"/>
        </w:rPr>
        <w:t xml:space="preserve">$ at maturity issued by different BBB-rated issuers. </w:t>
      </w:r>
    </w:p>
    <w:p w14:paraId="6090C15E" w14:textId="77777777" w:rsidR="00580C3F" w:rsidRDefault="00580C3F" w:rsidP="000E59D3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Students shall execute the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calculation under the two assumptions:</w:t>
      </w:r>
    </w:p>
    <w:p w14:paraId="705806F8" w14:textId="2EC41F13" w:rsidR="000324A2" w:rsidRDefault="00580C3F" w:rsidP="000E59D3">
      <w:pPr>
        <w:pStyle w:val="Default"/>
        <w:numPr>
          <w:ilvl w:val="0"/>
          <w:numId w:val="6"/>
        </w:numPr>
        <w:jc w:val="both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A753F">
        <w:rPr>
          <w:sz w:val="22"/>
          <w:szCs w:val="22"/>
        </w:rPr>
        <w:t>correlation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580C3F">
        <w:rPr>
          <w:sz w:val="22"/>
          <w:szCs w:val="22"/>
        </w:rPr>
        <w:t xml:space="preserve">used to </w:t>
      </w:r>
      <w:r w:rsidR="004A753F">
        <w:rPr>
          <w:sz w:val="22"/>
          <w:szCs w:val="22"/>
        </w:rPr>
        <w:t xml:space="preserve">simulate the </w:t>
      </w:r>
      <w:proofErr w:type="spellStart"/>
      <w:r w:rsidR="004A753F">
        <w:rPr>
          <w:sz w:val="22"/>
          <w:szCs w:val="22"/>
        </w:rPr>
        <w:t>Vasicek</w:t>
      </w:r>
      <w:proofErr w:type="spellEnd"/>
      <w:r w:rsidR="004A753F">
        <w:rPr>
          <w:sz w:val="22"/>
          <w:szCs w:val="22"/>
        </w:rPr>
        <w:t xml:space="preserve"> model</w:t>
      </w:r>
      <w:r w:rsidRPr="00580C3F">
        <w:rPr>
          <w:sz w:val="22"/>
          <w:szCs w:val="22"/>
        </w:rPr>
        <w:t xml:space="preserve"> should be derived from the constant correlation calibrated at the point 1 above</w:t>
      </w:r>
      <w:r w:rsidR="000324A2">
        <w:rPr>
          <w:sz w:val="22"/>
          <w:szCs w:val="22"/>
        </w:rPr>
        <w:t>;</w:t>
      </w:r>
    </w:p>
    <w:p w14:paraId="170A8AFA" w14:textId="2A876FA2" w:rsidR="00594A83" w:rsidRPr="004A753F" w:rsidRDefault="004A753F" w:rsidP="004A753F">
      <w:pPr>
        <w:pStyle w:val="Default"/>
        <w:numPr>
          <w:ilvl w:val="0"/>
          <w:numId w:val="6"/>
        </w:numPr>
        <w:jc w:val="both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The correlation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580C3F">
        <w:rPr>
          <w:sz w:val="22"/>
          <w:szCs w:val="22"/>
        </w:rPr>
        <w:t xml:space="preserve">used to </w:t>
      </w:r>
      <w:r>
        <w:rPr>
          <w:sz w:val="22"/>
          <w:szCs w:val="22"/>
        </w:rPr>
        <w:t xml:space="preserve">simulate the </w:t>
      </w:r>
      <w:proofErr w:type="spellStart"/>
      <w:r>
        <w:rPr>
          <w:sz w:val="22"/>
          <w:szCs w:val="22"/>
        </w:rPr>
        <w:t>Vasicek</w:t>
      </w:r>
      <w:proofErr w:type="spellEnd"/>
      <w:r>
        <w:rPr>
          <w:sz w:val="22"/>
          <w:szCs w:val="22"/>
        </w:rPr>
        <w:t xml:space="preserve"> model</w:t>
      </w:r>
      <w:r w:rsidRPr="00580C3F">
        <w:rPr>
          <w:sz w:val="22"/>
          <w:szCs w:val="22"/>
        </w:rPr>
        <w:t xml:space="preserve"> should be derived </w:t>
      </w:r>
      <w:r w:rsidR="00580C3F" w:rsidRPr="004A753F">
        <w:rPr>
          <w:sz w:val="22"/>
          <w:szCs w:val="22"/>
        </w:rPr>
        <w:t xml:space="preserve">from the rating class of the </w:t>
      </w:r>
      <w:proofErr w:type="spellStart"/>
      <w:r w:rsidR="00580C3F" w:rsidRPr="004A753F">
        <w:rPr>
          <w:sz w:val="22"/>
          <w:szCs w:val="22"/>
        </w:rPr>
        <w:t>i-th</w:t>
      </w:r>
      <w:proofErr w:type="spellEnd"/>
      <w:r w:rsidR="00580C3F" w:rsidRPr="004A753F">
        <w:rPr>
          <w:sz w:val="22"/>
          <w:szCs w:val="22"/>
        </w:rPr>
        <w:t xml:space="preserve"> issuer (i.e. from the one year PD associated to each rating class - see the transition matrix above) thanks to the asset correlation function presented on page 13 of [3] with size adjustment calculated in the case of annual sales S = €50m.</w:t>
      </w:r>
    </w:p>
    <w:p w14:paraId="2993C2AB" w14:textId="77777777" w:rsidR="004A753F" w:rsidRPr="004A753F" w:rsidRDefault="004A753F" w:rsidP="004A753F">
      <w:pPr>
        <w:pStyle w:val="Default"/>
        <w:ind w:left="1068"/>
        <w:jc w:val="both"/>
        <w:rPr>
          <w:rFonts w:eastAsiaTheme="minorEastAsia"/>
          <w:sz w:val="22"/>
          <w:szCs w:val="22"/>
        </w:rPr>
      </w:pPr>
    </w:p>
    <w:p w14:paraId="57E21176" w14:textId="77777777" w:rsidR="00594A83" w:rsidRDefault="00594A83" w:rsidP="000E59D3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Students shall discuss the results of the points 2.a and 2.b above, taking also into account the evidence provided by Frye (see [2]). </w:t>
      </w:r>
    </w:p>
    <w:p w14:paraId="466D07C5" w14:textId="5C58C3D3" w:rsidR="00AC11D7" w:rsidRDefault="00AC11D7" w:rsidP="000E59D3">
      <w:pPr>
        <w:pStyle w:val="Default"/>
        <w:jc w:val="both"/>
        <w:rPr>
          <w:i/>
          <w:iCs/>
          <w:sz w:val="22"/>
          <w:szCs w:val="22"/>
        </w:rPr>
      </w:pPr>
    </w:p>
    <w:p w14:paraId="1B1B624F" w14:textId="77777777" w:rsidR="00AC11D7" w:rsidRDefault="00AC11D7" w:rsidP="00AC11D7">
      <w:pPr>
        <w:pStyle w:val="Default"/>
        <w:jc w:val="both"/>
        <w:rPr>
          <w:sz w:val="22"/>
          <w:szCs w:val="22"/>
        </w:rPr>
      </w:pPr>
      <w:r w:rsidRPr="373CF1B8">
        <w:rPr>
          <w:sz w:val="22"/>
          <w:szCs w:val="22"/>
        </w:rPr>
        <w:t xml:space="preserve">Room: </w:t>
      </w:r>
      <w:proofErr w:type="spellStart"/>
      <w:r w:rsidRPr="373CF1B8">
        <w:rPr>
          <w:sz w:val="22"/>
          <w:szCs w:val="22"/>
        </w:rPr>
        <w:t>Soldati</w:t>
      </w:r>
      <w:proofErr w:type="spellEnd"/>
    </w:p>
    <w:p w14:paraId="106C6D01" w14:textId="0497394F" w:rsidR="003A41D4" w:rsidRDefault="003A41D4" w:rsidP="000E59D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Realize a library in </w:t>
      </w:r>
      <w:proofErr w:type="spellStart"/>
      <w:r w:rsidR="00AC11D7">
        <w:rPr>
          <w:sz w:val="22"/>
          <w:szCs w:val="22"/>
        </w:rPr>
        <w:t>Matlab</w:t>
      </w:r>
      <w:proofErr w:type="spellEnd"/>
      <w:r w:rsidR="00AC11D7">
        <w:rPr>
          <w:sz w:val="22"/>
          <w:szCs w:val="22"/>
        </w:rPr>
        <w:t xml:space="preserve"> and </w:t>
      </w:r>
      <w:r w:rsidRPr="003A1034">
        <w:rPr>
          <w:sz w:val="22"/>
          <w:szCs w:val="22"/>
        </w:rPr>
        <w:t>Python</w:t>
      </w:r>
      <w:r>
        <w:rPr>
          <w:sz w:val="22"/>
          <w:szCs w:val="22"/>
        </w:rPr>
        <w:t>.</w:t>
      </w:r>
    </w:p>
    <w:p w14:paraId="1C668F56" w14:textId="77777777" w:rsidR="00B41F8A" w:rsidRDefault="00B41F8A" w:rsidP="000E59D3">
      <w:pPr>
        <w:pStyle w:val="Default"/>
        <w:jc w:val="both"/>
        <w:rPr>
          <w:sz w:val="22"/>
          <w:szCs w:val="22"/>
        </w:rPr>
      </w:pPr>
    </w:p>
    <w:p w14:paraId="12E91906" w14:textId="77777777" w:rsidR="00594A83" w:rsidRDefault="00594A83" w:rsidP="000E59D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References: </w:t>
      </w:r>
    </w:p>
    <w:p w14:paraId="1371C091" w14:textId="73C7C771" w:rsidR="00594A83" w:rsidRDefault="00594A83" w:rsidP="000E59D3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proofErr w:type="spellStart"/>
      <w:r>
        <w:rPr>
          <w:sz w:val="22"/>
          <w:szCs w:val="22"/>
        </w:rPr>
        <w:t>Gupton</w:t>
      </w:r>
      <w:proofErr w:type="spellEnd"/>
      <w:r>
        <w:rPr>
          <w:sz w:val="22"/>
          <w:szCs w:val="22"/>
        </w:rPr>
        <w:t xml:space="preserve">, G. M., Finger C. C. and Bhatia, M. </w:t>
      </w:r>
      <w:proofErr w:type="spellStart"/>
      <w:r>
        <w:rPr>
          <w:i/>
          <w:iCs/>
          <w:sz w:val="22"/>
          <w:szCs w:val="22"/>
        </w:rPr>
        <w:t>CreditMetrics</w:t>
      </w:r>
      <w:proofErr w:type="spellEnd"/>
      <w:r>
        <w:rPr>
          <w:i/>
          <w:iCs/>
          <w:sz w:val="22"/>
          <w:szCs w:val="22"/>
        </w:rPr>
        <w:t xml:space="preserve"> - Technical Document </w:t>
      </w:r>
      <w:r>
        <w:rPr>
          <w:sz w:val="22"/>
          <w:szCs w:val="22"/>
        </w:rPr>
        <w:t xml:space="preserve">J.P. Morgan, New York 1997. </w:t>
      </w:r>
    </w:p>
    <w:p w14:paraId="0DF535CC" w14:textId="77777777" w:rsidR="00594A83" w:rsidRDefault="00594A83" w:rsidP="000E59D3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Frye, Jon. "Correlation and asset correlation in the structural portfolio model." </w:t>
      </w:r>
      <w:r>
        <w:rPr>
          <w:i/>
          <w:iCs/>
          <w:sz w:val="22"/>
          <w:szCs w:val="22"/>
        </w:rPr>
        <w:t xml:space="preserve">The Journal of Credit Risk </w:t>
      </w:r>
      <w:r>
        <w:rPr>
          <w:sz w:val="22"/>
          <w:szCs w:val="22"/>
        </w:rPr>
        <w:t xml:space="preserve">4.2 (2008): 75-96. </w:t>
      </w:r>
    </w:p>
    <w:p w14:paraId="131D92A7" w14:textId="77777777" w:rsidR="00594A83" w:rsidRDefault="00594A83" w:rsidP="000E59D3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[3] Basel Committee on Banking Supervision, </w:t>
      </w:r>
      <w:r>
        <w:rPr>
          <w:i/>
          <w:iCs/>
          <w:sz w:val="22"/>
          <w:szCs w:val="22"/>
        </w:rPr>
        <w:t>An Explanatory Note on the Basel II IRB Risk Weight functions</w:t>
      </w:r>
      <w:r>
        <w:rPr>
          <w:sz w:val="22"/>
          <w:szCs w:val="22"/>
        </w:rPr>
        <w:t xml:space="preserve">, July 2005. </w:t>
      </w:r>
    </w:p>
    <w:p w14:paraId="32479B5F" w14:textId="77777777" w:rsidR="00D67ADD" w:rsidRDefault="00D67ADD" w:rsidP="000E59D3">
      <w:pPr>
        <w:pStyle w:val="Default"/>
        <w:jc w:val="both"/>
        <w:rPr>
          <w:sz w:val="22"/>
          <w:szCs w:val="22"/>
        </w:rPr>
      </w:pPr>
    </w:p>
    <w:p w14:paraId="3819EF36" w14:textId="77777777" w:rsidR="00DF12C5" w:rsidRDefault="00DF12C5" w:rsidP="000E59D3">
      <w:pPr>
        <w:pStyle w:val="Default"/>
        <w:jc w:val="both"/>
        <w:rPr>
          <w:sz w:val="22"/>
          <w:szCs w:val="22"/>
        </w:rPr>
      </w:pPr>
    </w:p>
    <w:p w14:paraId="5E16EDAA" w14:textId="23C5BD2D" w:rsidR="00594A83" w:rsidRPr="00594A83" w:rsidRDefault="00594A83" w:rsidP="000E59D3">
      <w:pPr>
        <w:pStyle w:val="Default"/>
        <w:jc w:val="both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Delivery address: financial.engineering.polimi@gmail.com</w:t>
      </w:r>
    </w:p>
    <w:p w14:paraId="0CE3DF02" w14:textId="77777777" w:rsidR="00580C3F" w:rsidRPr="00580C3F" w:rsidRDefault="00580C3F" w:rsidP="000E59D3">
      <w:pPr>
        <w:ind w:left="708"/>
        <w:jc w:val="both"/>
        <w:rPr>
          <w:rFonts w:eastAsiaTheme="minorEastAsia"/>
          <w:b/>
          <w:bCs/>
          <w:lang w:val="en-US"/>
        </w:rPr>
      </w:pPr>
    </w:p>
    <w:p w14:paraId="0468E6A4" w14:textId="77777777" w:rsidR="004300BA" w:rsidRPr="00D122F3" w:rsidRDefault="004300BA" w:rsidP="000E59D3">
      <w:pPr>
        <w:ind w:left="708"/>
        <w:jc w:val="both"/>
        <w:rPr>
          <w:rFonts w:eastAsiaTheme="minorEastAsia"/>
          <w:lang w:val="en-US"/>
        </w:rPr>
      </w:pPr>
    </w:p>
    <w:sectPr w:rsidR="004300BA" w:rsidRPr="00D122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519"/>
    <w:multiLevelType w:val="hybridMultilevel"/>
    <w:tmpl w:val="4302112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F93523"/>
    <w:multiLevelType w:val="hybridMultilevel"/>
    <w:tmpl w:val="8C7CF2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031"/>
    <w:multiLevelType w:val="hybridMultilevel"/>
    <w:tmpl w:val="591E41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A9512F"/>
    <w:multiLevelType w:val="hybridMultilevel"/>
    <w:tmpl w:val="8CE6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F4E05"/>
    <w:multiLevelType w:val="hybridMultilevel"/>
    <w:tmpl w:val="BE3EF7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47E6F6D"/>
    <w:multiLevelType w:val="hybridMultilevel"/>
    <w:tmpl w:val="56E853C8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82"/>
    <w:rsid w:val="00000650"/>
    <w:rsid w:val="00026B0E"/>
    <w:rsid w:val="000324A2"/>
    <w:rsid w:val="0004106E"/>
    <w:rsid w:val="00052652"/>
    <w:rsid w:val="00075337"/>
    <w:rsid w:val="000E59D3"/>
    <w:rsid w:val="00123AFC"/>
    <w:rsid w:val="00150FE1"/>
    <w:rsid w:val="001D53D0"/>
    <w:rsid w:val="002630B6"/>
    <w:rsid w:val="002854E5"/>
    <w:rsid w:val="00287215"/>
    <w:rsid w:val="00352678"/>
    <w:rsid w:val="00371EF4"/>
    <w:rsid w:val="003A1034"/>
    <w:rsid w:val="003A41D4"/>
    <w:rsid w:val="0041486B"/>
    <w:rsid w:val="004300BA"/>
    <w:rsid w:val="00430D03"/>
    <w:rsid w:val="00437581"/>
    <w:rsid w:val="00462F82"/>
    <w:rsid w:val="004A753F"/>
    <w:rsid w:val="004D0CA2"/>
    <w:rsid w:val="005042C5"/>
    <w:rsid w:val="00517A19"/>
    <w:rsid w:val="00580C3F"/>
    <w:rsid w:val="00592684"/>
    <w:rsid w:val="00594978"/>
    <w:rsid w:val="00594A83"/>
    <w:rsid w:val="00621D10"/>
    <w:rsid w:val="00655955"/>
    <w:rsid w:val="006A7D90"/>
    <w:rsid w:val="0070473C"/>
    <w:rsid w:val="00757F6F"/>
    <w:rsid w:val="00797556"/>
    <w:rsid w:val="007B7AB7"/>
    <w:rsid w:val="0083490D"/>
    <w:rsid w:val="008755F4"/>
    <w:rsid w:val="00884EA7"/>
    <w:rsid w:val="008D5CF7"/>
    <w:rsid w:val="00972504"/>
    <w:rsid w:val="009A3795"/>
    <w:rsid w:val="009E0B62"/>
    <w:rsid w:val="00A04BC8"/>
    <w:rsid w:val="00A75681"/>
    <w:rsid w:val="00AC11D7"/>
    <w:rsid w:val="00AC1F0E"/>
    <w:rsid w:val="00AC58F4"/>
    <w:rsid w:val="00B3753A"/>
    <w:rsid w:val="00B41F8A"/>
    <w:rsid w:val="00B94876"/>
    <w:rsid w:val="00BB6A70"/>
    <w:rsid w:val="00BC396E"/>
    <w:rsid w:val="00BC797A"/>
    <w:rsid w:val="00C11155"/>
    <w:rsid w:val="00C60147"/>
    <w:rsid w:val="00C73FB6"/>
    <w:rsid w:val="00CA0CE7"/>
    <w:rsid w:val="00CD3DF5"/>
    <w:rsid w:val="00D122F3"/>
    <w:rsid w:val="00D67ADD"/>
    <w:rsid w:val="00DC6121"/>
    <w:rsid w:val="00DF12C5"/>
    <w:rsid w:val="00E72E9D"/>
    <w:rsid w:val="00EF299C"/>
    <w:rsid w:val="00F3677F"/>
    <w:rsid w:val="00F61B0C"/>
    <w:rsid w:val="00FD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A8F4"/>
  <w15:chartTrackingRefBased/>
  <w15:docId w15:val="{64F4F6DC-E35A-405B-8627-4997C39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2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2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2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2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2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2F8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2F8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2F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2F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2F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2F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6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2F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62F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62F8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2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2F8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62F8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462F82"/>
    <w:rPr>
      <w:color w:val="666666"/>
    </w:rPr>
  </w:style>
  <w:style w:type="paragraph" w:customStyle="1" w:styleId="Default">
    <w:name w:val="Default"/>
    <w:rsid w:val="006559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 Soldati</dc:creator>
  <cp:keywords/>
  <dc:description/>
  <cp:lastModifiedBy>user</cp:lastModifiedBy>
  <cp:revision>58</cp:revision>
  <dcterms:created xsi:type="dcterms:W3CDTF">2025-05-05T16:14:00Z</dcterms:created>
  <dcterms:modified xsi:type="dcterms:W3CDTF">2025-05-12T13:23:00Z</dcterms:modified>
</cp:coreProperties>
</file>