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>Fares mhamdi</w:t>
      </w:r>
      <w:bookmarkStart w:id="0" w:name="_GoBack"/>
      <w:bookmarkEnd w:id="0"/>
    </w:p>
    <w:p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>1)algorithme</w:t>
      </w:r>
    </w:p>
    <w:p/>
    <w:p/>
    <w:p>
      <w:r>
        <w:drawing>
          <wp:inline distT="0" distB="0" distL="114300" distR="114300">
            <wp:extent cx="5266690" cy="2226945"/>
            <wp:effectExtent l="0" t="0" r="1016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2)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SFBX1000" w:hAnsi="SFBX1000" w:eastAsia="SFBX1000" w:cs="SFBX10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–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 xml:space="preserve">Un ensemble </w:t>
      </w:r>
      <w:r>
        <w:rPr>
          <w:rFonts w:ascii="SFTI1000" w:hAnsi="SFTI1000" w:eastAsia="SFTI1000" w:cs="SFTI1000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Q </w:t>
      </w: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 xml:space="preserve">qui contient la clique partielle qui est construite à un instant 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>Un ensemble</w:t>
      </w: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fr-FR" w:eastAsia="zh-CN" w:bidi="ar"/>
        </w:rPr>
        <w:t xml:space="preserve"> </w:t>
      </w:r>
      <w:r>
        <w:rPr>
          <w:rFonts w:ascii="SFTI1000" w:hAnsi="SFTI1000" w:eastAsia="SFTI1000" w:cs="SFTI1000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SUBG </w:t>
      </w: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 xml:space="preserve">et un ensemble </w:t>
      </w:r>
      <w:r>
        <w:rPr>
          <w:rFonts w:hint="default" w:ascii="SFTI1000" w:hAnsi="SFTI1000" w:eastAsia="SFTI1000" w:cs="SFTI1000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CAND </w:t>
      </w: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>qui permettent de sélectionner</w:t>
      </w: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fr-FR" w:eastAsia="zh-CN" w:bidi="ar"/>
        </w:rPr>
        <w:t xml:space="preserve"> </w:t>
      </w: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 xml:space="preserve">le meilleur pivot possible, puis le meilleur candidat, dans le but d’agrandir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>la clique.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3)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Cet algorithme est créer pour resoudre le probleme de clique maximum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 xml:space="preserve">L’algorithme initialise l’ensemble </w:t>
      </w:r>
      <w:r>
        <w:rPr>
          <w:rFonts w:ascii="SFTI1000" w:hAnsi="SFTI1000" w:eastAsia="SFTI1000" w:cs="SFTI1000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Q </w:t>
      </w: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 xml:space="preserve">à vide tandis que </w:t>
      </w:r>
      <w:r>
        <w:rPr>
          <w:rFonts w:hint="default" w:ascii="SFTI1000" w:hAnsi="SFTI1000" w:eastAsia="SFTI1000" w:cs="SFTI1000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SUBG </w:t>
      </w: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 xml:space="preserve">et </w:t>
      </w:r>
      <w:r>
        <w:rPr>
          <w:rFonts w:hint="default" w:ascii="SFTI1000" w:hAnsi="SFTI1000" w:eastAsia="SFTI1000" w:cs="SFTI1000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CAND </w:t>
      </w: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 xml:space="preserve">sont initialisés avec l’ensemble des nœuds V. L’élagage se fait par le choix du pivot.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 xml:space="preserve">Ce choix permet une recherche plus rapide car il maximise la taille de l’ensemble </w:t>
      </w:r>
      <w:r>
        <w:rPr>
          <w:rFonts w:hint="default" w:ascii="SFTI1000" w:hAnsi="SFTI1000" w:eastAsia="SFTI1000" w:cs="SFTI1000"/>
          <w:i/>
          <w:iCs/>
          <w:color w:val="000000"/>
          <w:kern w:val="0"/>
          <w:sz w:val="22"/>
          <w:szCs w:val="22"/>
          <w:lang w:val="en-US" w:eastAsia="zh-CN" w:bidi="ar"/>
        </w:rPr>
        <w:t>CAND</w:t>
      </w: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 xml:space="preserve">. De plus si l’ensemble </w:t>
      </w:r>
      <w:r>
        <w:rPr>
          <w:rFonts w:hint="default" w:ascii="SFTI1000" w:hAnsi="SFTI1000" w:eastAsia="SFTI1000" w:cs="SFTI1000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CAND </w:t>
      </w: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 xml:space="preserve">est vide mais pas </w:t>
      </w:r>
      <w:r>
        <w:rPr>
          <w:rFonts w:hint="default" w:ascii="SFTI1000" w:hAnsi="SFTI1000" w:eastAsia="SFTI1000" w:cs="SFTI1000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SUBG </w:t>
      </w: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 xml:space="preserve">on retourne en arrière car la clique courante </w:t>
      </w:r>
      <w:r>
        <w:rPr>
          <w:rFonts w:hint="default" w:ascii="SFTI1000" w:hAnsi="SFTI1000" w:eastAsia="SFTI1000" w:cs="SFTI1000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 </w:t>
      </w:r>
      <w:r>
        <w:rPr>
          <w:rFonts w:hint="default" w:ascii="SFRM1000" w:hAnsi="SFRM1000" w:eastAsia="SFRM1000" w:cs="SFRM1000"/>
          <w:color w:val="000000"/>
          <w:kern w:val="0"/>
          <w:sz w:val="22"/>
          <w:szCs w:val="22"/>
          <w:lang w:val="en-US" w:eastAsia="zh-CN" w:bidi="ar"/>
        </w:rPr>
        <w:t xml:space="preserve">générée peut être un sous ensemble d’une clique maximale. La procédure est présenté dans Algorithme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FBX1000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RM1000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TI1000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23C86"/>
    <w:rsid w:val="02950767"/>
    <w:rsid w:val="0AFE2CC2"/>
    <w:rsid w:val="413700C6"/>
    <w:rsid w:val="5F0F12BE"/>
    <w:rsid w:val="72A45DCC"/>
    <w:rsid w:val="7F82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2021-11-30T13:01:00Z</dcterms:created>
  <dc:creator>fares</dc:creator>
  <cp:lastModifiedBy>fares</cp:lastModifiedBy>
  <dcterms:modified xsi:type="dcterms:W3CDTF">2021-11-30T14:26:56Z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835B630D445846C698890C6AF5AC8CEE</vt:lpwstr>
  </property>
</Properties>
</file>