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ru-RU"/>
        </w:rPr>
        <w:t>1</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06.</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3" w:type="dxa"/>
        <w:jc w:val="left"/>
        <w:tblInd w:w="3" w:type="dxa"/>
        <w:tblBorders>
          <w:top w:val="single" w:sz="2" w:space="0" w:color="000001"/>
          <w:left w:val="single" w:sz="2" w:space="0" w:color="000001"/>
          <w:bottom w:val="single" w:sz="2" w:space="0" w:color="000001"/>
          <w:insideH w:val="single" w:sz="2" w:space="0" w:color="000001"/>
        </w:tblBorders>
        <w:tblCellMar>
          <w:top w:w="55" w:type="dxa"/>
          <w:left w:w="-1" w:type="dxa"/>
          <w:bottom w:w="55" w:type="dxa"/>
          <w:right w:w="55" w:type="dxa"/>
        </w:tblCellMar>
        <w:tblLook w:firstRow="0" w:noVBand="0" w:lastRow="0" w:firstColumn="0" w:lastColumn="0" w:noHBand="0" w:val="0000"/>
      </w:tblPr>
      <w:tblGrid>
        <w:gridCol w:w="578"/>
        <w:gridCol w:w="6502"/>
        <w:gridCol w:w="1200"/>
        <w:gridCol w:w="1362"/>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rPr>
            </w:pPr>
            <w:r>
              <w:rPr>
                <w:rFonts w:cs="Times New Roman"/>
              </w:rPr>
              <w:t xml:space="preserve">№ </w:t>
            </w:r>
            <w:r>
              <w:rPr>
                <w:rFonts w:cs="Times New Roman"/>
                <w:lang w:val="ru-RU"/>
              </w:rPr>
              <w:t>п/п</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ru-RU"/>
              </w:rPr>
            </w:pPr>
            <w:r>
              <w:rPr>
                <w:rFonts w:cs="Times New Roman"/>
                <w:lang w:val="ru-RU"/>
              </w:rPr>
              <w:t>Краткое описание товара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ru-RU"/>
              </w:rPr>
            </w:pPr>
            <w:r>
              <w:rPr>
                <w:rFonts w:cs="Times New Roman"/>
                <w:lang w:val="ru-RU"/>
              </w:rPr>
              <w:t>Цена закупаемых товаров</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center"/>
              <w:rPr>
                <w:rFonts w:cs="Times New Roman"/>
              </w:rPr>
            </w:pPr>
            <w:r>
              <w:rPr>
                <w:rFonts w:cs="Times New Roman"/>
                <w:sz w:val="24"/>
                <w:szCs w:val="24"/>
              </w:rPr>
              <w:t>1</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протромбинового времени и МНО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17 955,00</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Тест-полоски для определения протромбинового времени</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center"/>
              <w:rPr>
                <w:sz w:val="24"/>
                <w:szCs w:val="24"/>
                <w:lang w:val="ru-RU"/>
              </w:rPr>
            </w:pPr>
            <w:r>
              <w:rPr>
                <w:sz w:val="24"/>
                <w:szCs w:val="24"/>
                <w:lang w:val="ru-RU"/>
              </w:rPr>
              <w:t>2</w:t>
            </w:r>
          </w:p>
        </w:tc>
        <w:tc>
          <w:tcPr>
            <w:tcW w:w="6502"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концентрации фибриногена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более 24 тест-полоски.</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56 544,00</w:t>
            </w:r>
          </w:p>
        </w:tc>
        <w:tc>
          <w:tcPr>
            <w:tcW w:w="1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Тест-полоски для определения концентрации фибриногена</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1" w:type="dxa"/>
            </w:tcMar>
          </w:tcPr>
          <w:p>
            <w:pPr>
              <w:pStyle w:val="Style18"/>
              <w:jc w:val="center"/>
              <w:rPr>
                <w:sz w:val="24"/>
                <w:szCs w:val="24"/>
              </w:rPr>
            </w:pPr>
            <w:r>
              <w:rPr>
                <w:sz w:val="24"/>
                <w:szCs w:val="24"/>
              </w:rPr>
              <w:t>3</w:t>
            </w:r>
          </w:p>
        </w:tc>
        <w:tc>
          <w:tcPr>
            <w:tcW w:w="6502"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АПТВ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200"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32 016,00</w:t>
            </w:r>
          </w:p>
        </w:tc>
        <w:tc>
          <w:tcPr>
            <w:tcW w:w="13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Тест-полоски для определения АПТВ</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1" w:type="dxa"/>
            </w:tcMar>
          </w:tcPr>
          <w:p>
            <w:pPr>
              <w:pStyle w:val="Style18"/>
              <w:jc w:val="center"/>
              <w:rPr>
                <w:sz w:val="24"/>
                <w:szCs w:val="24"/>
              </w:rPr>
            </w:pPr>
            <w:r>
              <w:rPr>
                <w:sz w:val="24"/>
                <w:szCs w:val="24"/>
              </w:rPr>
              <w:t>4</w:t>
            </w:r>
          </w:p>
        </w:tc>
        <w:tc>
          <w:tcPr>
            <w:tcW w:w="6502"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eastAsia="Calibri" w:cs="Times New Roman"/>
                <w:sz w:val="24"/>
                <w:szCs w:val="24"/>
              </w:rPr>
              <w:t>Специальная пластиковая тест-полоска для количественного определения тромбинового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200"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60 840,00</w:t>
            </w:r>
          </w:p>
        </w:tc>
        <w:tc>
          <w:tcPr>
            <w:tcW w:w="13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center"/>
              <w:rPr>
                <w:sz w:val="24"/>
                <w:szCs w:val="24"/>
              </w:rPr>
            </w:pPr>
            <w:r>
              <w:rPr>
                <w:rFonts w:eastAsia="Calibri" w:cs="Times New Roman"/>
                <w:sz w:val="24"/>
                <w:szCs w:val="24"/>
              </w:rPr>
              <w:t>Тест-полоски для определения тромбинового времени</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1" w:type="dxa"/>
            </w:tcMar>
          </w:tcPr>
          <w:p>
            <w:pPr>
              <w:pStyle w:val="Style18"/>
              <w:jc w:val="center"/>
              <w:rPr>
                <w:sz w:val="24"/>
                <w:szCs w:val="24"/>
              </w:rPr>
            </w:pPr>
            <w:r>
              <w:rPr>
                <w:sz w:val="24"/>
                <w:szCs w:val="24"/>
              </w:rPr>
              <w:t>5</w:t>
            </w:r>
          </w:p>
        </w:tc>
        <w:tc>
          <w:tcPr>
            <w:tcW w:w="6502"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Специальный контрольный материал для проведения QC клоттинговых тестов при выполнении исследований с помощью тест-полосок на анализаторе коагуляции закрытого типа OCG-102. Контрольный материал представляет из себя плазму со специальной обработкой цитратом натрия. Контроль должен быть двухуровневым и состоять из двух флаконов с нормальным и патологическим диапазонами. Обязательное наличие аттестованных референтных значений.</w:t>
            </w:r>
          </w:p>
        </w:tc>
        <w:tc>
          <w:tcPr>
            <w:tcW w:w="1200"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88 000,00</w:t>
            </w:r>
          </w:p>
        </w:tc>
        <w:tc>
          <w:tcPr>
            <w:tcW w:w="1362"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center"/>
              <w:rPr>
                <w:sz w:val="24"/>
                <w:szCs w:val="24"/>
              </w:rPr>
            </w:pPr>
            <w:r>
              <w:rPr>
                <w:rFonts w:eastAsia="Calibri" w:cs="Times New Roman"/>
                <w:sz w:val="24"/>
                <w:szCs w:val="24"/>
              </w:rPr>
              <w:t>Стандарт плазма</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ru-RU"/>
        </w:rPr>
        <w:t>03.04.2023г. 11:45ч. ТОО «Мед</w:t>
      </w:r>
      <w:r>
        <w:rPr>
          <w:rFonts w:cs="Times New Roman"/>
          <w:b w:val="false"/>
          <w:bCs w:val="false"/>
          <w:color w:val="00000A"/>
          <w:sz w:val="24"/>
          <w:szCs w:val="24"/>
          <w:lang w:val="ru-RU"/>
        </w:rPr>
        <w:t>ТехСервис</w:t>
      </w:r>
      <w:r>
        <w:rPr>
          <w:rFonts w:cs="Times New Roman"/>
          <w:b w:val="false"/>
          <w:bCs w:val="false"/>
          <w:color w:val="00000A"/>
          <w:sz w:val="24"/>
          <w:szCs w:val="24"/>
          <w:lang w:val="ru-RU"/>
        </w:rPr>
        <w:t>»</w:t>
      </w:r>
    </w:p>
    <w:p>
      <w:pPr>
        <w:pStyle w:val="Standard"/>
        <w:spacing w:before="0" w:after="29"/>
        <w:jc w:val="both"/>
        <w:rPr>
          <w:rStyle w:val="S1"/>
          <w:rFonts w:cs="Times New Roman"/>
          <w:b w:val="false"/>
          <w:b w:val="false"/>
          <w:bCs w:val="false"/>
          <w:color w:val="00000A"/>
          <w:sz w:val="24"/>
          <w:szCs w:val="24"/>
        </w:rPr>
      </w:pPr>
      <w:r>
        <w:rPr>
          <w:rFonts w:cs="Times New Roman"/>
          <w:b w:val="false"/>
          <w:bCs w:val="false"/>
          <w:color w:val="00000A"/>
          <w:sz w:val="24"/>
          <w:szCs w:val="24"/>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color w:val="00000A"/>
          <w:sz w:val="24"/>
          <w:szCs w:val="24"/>
          <w:lang w:val="ru-RU"/>
        </w:rPr>
        <w:t>ТОО «Мед</w:t>
      </w:r>
      <w:r>
        <w:rPr>
          <w:rStyle w:val="S1"/>
          <w:rFonts w:eastAsia="Times New Roman" w:cs="Times New Roman"/>
          <w:b w:val="false"/>
          <w:bCs w:val="false"/>
          <w:color w:val="00000A"/>
          <w:sz w:val="24"/>
          <w:szCs w:val="24"/>
          <w:lang w:val="ru-RU"/>
        </w:rPr>
        <w:t>ТехСервис</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070019 г.Усть-Каменогорск </w:t>
      </w:r>
      <w:r>
        <w:rPr>
          <w:rStyle w:val="S1"/>
          <w:rFonts w:eastAsia="Times New Roman"/>
          <w:b w:val="false"/>
          <w:bCs w:val="false"/>
          <w:sz w:val="24"/>
          <w:szCs w:val="24"/>
          <w:lang w:val="kk-KZ"/>
        </w:rPr>
        <w:t>ул.Добролюбова, 39/2.</w:t>
      </w:r>
      <w:r>
        <w:rPr>
          <w:rStyle w:val="S1"/>
          <w:rFonts w:eastAsia="Times New Roman"/>
          <w:b w:val="false"/>
          <w:bCs w:val="false"/>
          <w:sz w:val="24"/>
          <w:szCs w:val="24"/>
          <w:lang w:val="ru-RU"/>
        </w:rPr>
        <w:t xml:space="preserve"> </w:t>
      </w:r>
      <w:r>
        <w:rPr>
          <w:rStyle w:val="S1"/>
          <w:rFonts w:eastAsia="Times New Roman"/>
          <w:b w:val="false"/>
          <w:bCs w:val="false"/>
          <w:lang w:val="ru-RU"/>
        </w:rPr>
        <w:t xml:space="preserve">Цена договора —  </w:t>
      </w:r>
      <w:r>
        <w:rPr>
          <w:rStyle w:val="S1"/>
          <w:rFonts w:eastAsia="Times New Roman"/>
          <w:b w:val="false"/>
          <w:bCs w:val="false"/>
          <w:lang w:val="en-US"/>
        </w:rPr>
        <w:t>1 523 485</w:t>
      </w:r>
      <w:bookmarkStart w:id="1" w:name="__DdeLink__3455_248438084"/>
      <w:bookmarkStart w:id="2" w:name="__DdeLink__606_136384062"/>
      <w:r>
        <w:rPr>
          <w:rStyle w:val="S1"/>
          <w:rFonts w:eastAsia="Times New Roman" w:cs="Times New Roman"/>
          <w:b w:val="false"/>
          <w:bCs w:val="false"/>
          <w:sz w:val="24"/>
          <w:szCs w:val="24"/>
          <w:lang w:val="en-US"/>
        </w:rPr>
        <w:t>,00</w:t>
      </w:r>
      <w:bookmarkEnd w:id="1"/>
      <w:bookmarkEnd w:id="2"/>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sz w:val="24"/>
          <w:szCs w:val="24"/>
          <w:lang w:val="ru-RU"/>
        </w:rPr>
      </w:pPr>
      <w:r>
        <w:rPr>
          <w:rFonts w:eastAsia="Times New Roman"/>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3" w:name="__DdeLink__339_274108119"/>
      <w:r>
        <w:rPr>
          <w:rStyle w:val="S1"/>
          <w:b w:val="false"/>
          <w:lang w:val="ru-RU"/>
        </w:rPr>
        <w:t xml:space="preserve"> </w:t>
      </w:r>
      <w:bookmarkStart w:id="4" w:name="__DdeLink__509_43780538"/>
      <w:bookmarkStart w:id="5" w:name="__DdeLink__1899_1884759452"/>
      <w:bookmarkEnd w:id="3"/>
      <w:r>
        <w:rPr>
          <w:rStyle w:val="S1"/>
          <w:b w:val="false"/>
          <w:lang w:val="kk-KZ"/>
        </w:rPr>
        <w:t xml:space="preserve"> </w:t>
      </w:r>
      <w:bookmarkEnd w:id="4"/>
      <w:bookmarkEnd w:id="5"/>
      <w:r>
        <w:rPr>
          <w:rStyle w:val="S1"/>
          <w:b w:val="false"/>
          <w:lang w:val="ru-RU"/>
        </w:rPr>
        <w:t>Мукиева Б.С.</w:t>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w:t>
      </w:r>
      <w:bookmarkStart w:id="6" w:name="_GoBack"/>
      <w:bookmarkEnd w:id="6"/>
      <w:r>
        <w:rPr>
          <w:rFonts w:cs="Times New Roman"/>
          <w:lang w:val="ru-RU"/>
        </w:rPr>
        <w:t xml:space="preserve">у қорытындыларының № </w:t>
      </w:r>
      <w:r>
        <w:rPr>
          <w:rFonts w:cs="Times New Roman"/>
          <w:lang w:val="en-US"/>
        </w:rPr>
        <w:t>1</w:t>
      </w:r>
      <w:r>
        <w:rPr>
          <w:rFonts w:cs="Times New Roman"/>
          <w:lang w:val="en-US"/>
        </w:rPr>
        <w:t>1</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06.</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3" w:type="dxa"/>
        <w:tblBorders>
          <w:top w:val="single" w:sz="2" w:space="0" w:color="000001"/>
          <w:left w:val="single" w:sz="2" w:space="0" w:color="000001"/>
          <w:bottom w:val="single" w:sz="2" w:space="0" w:color="000001"/>
          <w:insideH w:val="single" w:sz="2" w:space="0" w:color="000001"/>
        </w:tblBorders>
        <w:tblCellMar>
          <w:top w:w="55" w:type="dxa"/>
          <w:left w:w="-1" w:type="dxa"/>
          <w:bottom w:w="55" w:type="dxa"/>
          <w:right w:w="55" w:type="dxa"/>
        </w:tblCellMar>
        <w:tblLook w:firstRow="0" w:noVBand="0" w:lastRow="0" w:firstColumn="0" w:lastColumn="0" w:noHBand="0" w:val="0000"/>
      </w:tblPr>
      <w:tblGrid>
        <w:gridCol w:w="564"/>
        <w:gridCol w:w="6756"/>
        <w:gridCol w:w="1125"/>
        <w:gridCol w:w="1199"/>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rPr>
            </w:pPr>
            <w:r>
              <w:rPr>
                <w:rFonts w:cs="Times New Roman"/>
              </w:rPr>
              <w:t xml:space="preserve">№ </w:t>
            </w:r>
            <w:r>
              <w:rPr>
                <w:rFonts w:cs="Times New Roman"/>
                <w:lang w:val="ru-RU"/>
              </w:rPr>
              <w:t>п/п</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kk-KZ"/>
              </w:rPr>
            </w:pPr>
            <w:r>
              <w:rPr>
                <w:rFonts w:cs="Times New Roman"/>
                <w:lang w:val="kk-KZ"/>
              </w:rPr>
              <w:t>Қысқаша тауардың атауы</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jc w:val="both"/>
              <w:rPr>
                <w:rFonts w:cs="Times New Roman"/>
                <w:lang w:val="kk-KZ"/>
              </w:rPr>
            </w:pPr>
            <w:r>
              <w:rPr>
                <w:rFonts w:cs="Times New Roman"/>
                <w:lang w:val="kk-KZ"/>
              </w:rPr>
              <w:t>Алатын сатып тауарлардың бағасы</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rPr>
                <w:rFonts w:cs="Times New Roman"/>
              </w:rPr>
            </w:pPr>
            <w:r>
              <w:rPr>
                <w:rFonts w:cs="Times New Roman"/>
                <w:sz w:val="24"/>
                <w:szCs w:val="24"/>
              </w:rPr>
              <w:t>1</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sz w:val="24"/>
                <w:szCs w:val="24"/>
              </w:rPr>
            </w:pPr>
            <w:r>
              <w:rPr>
                <w:rFonts w:cs="Times New Roman"/>
                <w:color w:val="000000"/>
                <w:sz w:val="24"/>
                <w:szCs w:val="24"/>
              </w:rPr>
              <w:t>Протромбин уақытын және бүкіл цитрат қанындағы МО-ны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17 955,00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Протромбин уақытын анықтауға арналған сынақ жолақтары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Style18"/>
              <w:rPr>
                <w:lang w:val="ru-RU"/>
              </w:rPr>
            </w:pPr>
            <w:r>
              <w:rPr>
                <w:sz w:val="24"/>
                <w:szCs w:val="24"/>
                <w:lang w:val="ru-RU"/>
              </w:rPr>
              <w:t>2</w:t>
            </w:r>
          </w:p>
        </w:tc>
        <w:tc>
          <w:tcPr>
            <w:tcW w:w="6756"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Тұтас цитрат қанындағы фибриноген концентрациясын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24 сынақ жолағынан аспайды.</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56 544,00</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Фибриноген концентрациясын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1" w:type="dxa"/>
            </w:tcMar>
          </w:tcPr>
          <w:p>
            <w:pPr>
              <w:pStyle w:val="Style18"/>
              <w:rPr/>
            </w:pPr>
            <w:r>
              <w:rPr/>
              <w:t>3</w:t>
            </w:r>
          </w:p>
        </w:tc>
        <w:tc>
          <w:tcPr>
            <w:tcW w:w="6756"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Тұтас цитрат қанындағы APTV мөлшерін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125"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32 016,00</w:t>
            </w:r>
          </w:p>
        </w:tc>
        <w:tc>
          <w:tcPr>
            <w:tcW w:w="119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sz w:val="24"/>
                <w:szCs w:val="24"/>
              </w:rPr>
            </w:pPr>
            <w:r>
              <w:rPr>
                <w:rFonts w:cs="Times New Roman"/>
                <w:sz w:val="24"/>
                <w:szCs w:val="24"/>
              </w:rPr>
              <w:t>АПТВ</w:t>
            </w:r>
            <w:r>
              <w:rPr>
                <w:sz w:val="24"/>
                <w:szCs w:val="24"/>
              </w:rPr>
              <w:t xml:space="preserve">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1" w:type="dxa"/>
            </w:tcMar>
          </w:tcPr>
          <w:p>
            <w:pPr>
              <w:pStyle w:val="Style18"/>
              <w:rPr/>
            </w:pPr>
            <w:r>
              <w:rPr/>
              <w:t>4</w:t>
            </w:r>
          </w:p>
        </w:tc>
        <w:tc>
          <w:tcPr>
            <w:tcW w:w="6756"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Тұтас цитрат қанындағы тромбинді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125"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60 840,00</w:t>
            </w:r>
          </w:p>
        </w:tc>
        <w:tc>
          <w:tcPr>
            <w:tcW w:w="119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Тромбин уақытын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1" w:type="dxa"/>
            </w:tcMar>
          </w:tcPr>
          <w:p>
            <w:pPr>
              <w:pStyle w:val="Style18"/>
              <w:rPr/>
            </w:pPr>
            <w:r>
              <w:rPr/>
              <w:t>5</w:t>
            </w:r>
          </w:p>
        </w:tc>
        <w:tc>
          <w:tcPr>
            <w:tcW w:w="6756"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OCG-102 жабық типті коагуляция анализаторында сынақ жолақтары арқылы зерттеулер жүргізу кезінде QC клоттинг сынақтарын жүргізуге арналған арнайы бақылау материалы. Бақылау материалы натрий цитратымен арнайы өңделген плазма болып табылады. Бақылау екі деңгейлі болуы керек және қалыпты және патологиялық диапазоны бар екі бөтелкеден тұруы керек. Аттестатталған референттік мәндердің міндетті болуы.</w:t>
            </w:r>
          </w:p>
        </w:tc>
        <w:tc>
          <w:tcPr>
            <w:tcW w:w="1125" w:type="dxa"/>
            <w:tcBorders>
              <w:left w:val="single" w:sz="2" w:space="0" w:color="000001"/>
              <w:bottom w:val="single" w:sz="2" w:space="0" w:color="000001"/>
              <w:insideH w:val="single" w:sz="2" w:space="0" w:color="000001"/>
            </w:tcBorders>
            <w:shd w:color="auto" w:fill="auto" w:val="clear"/>
            <w:tcMar>
              <w:left w:w="-1" w:type="dxa"/>
            </w:tcMar>
          </w:tcPr>
          <w:p>
            <w:pPr>
              <w:pStyle w:val="Normal"/>
              <w:spacing w:lineRule="auto" w:line="240" w:before="0" w:after="0"/>
              <w:jc w:val="center"/>
              <w:rPr>
                <w:sz w:val="24"/>
                <w:szCs w:val="24"/>
              </w:rPr>
            </w:pPr>
            <w:r>
              <w:rPr>
                <w:rFonts w:cs="Times New Roman"/>
                <w:sz w:val="24"/>
                <w:szCs w:val="24"/>
              </w:rPr>
              <w:t>88 000,00</w:t>
            </w:r>
          </w:p>
        </w:tc>
        <w:tc>
          <w:tcPr>
            <w:tcW w:w="119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 w:type="dxa"/>
            </w:tcMar>
          </w:tcPr>
          <w:p>
            <w:pPr>
              <w:pStyle w:val="Normal"/>
              <w:spacing w:lineRule="auto" w:line="240" w:before="0" w:after="0"/>
              <w:jc w:val="left"/>
              <w:rPr>
                <w:sz w:val="24"/>
                <w:szCs w:val="24"/>
              </w:rPr>
            </w:pPr>
            <w:r>
              <w:rPr>
                <w:sz w:val="24"/>
                <w:szCs w:val="24"/>
              </w:rPr>
              <w:t>Стандартты плазма</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b w:val="false"/>
          <w:b w:val="false"/>
          <w:lang w:val="kk-KZ"/>
        </w:rPr>
      </w:pPr>
      <w:r>
        <w:rPr>
          <w:b w:val="false"/>
          <w:lang w:val="kk-KZ"/>
        </w:rPr>
      </w:r>
    </w:p>
    <w:p>
      <w:pPr>
        <w:pStyle w:val="Standard"/>
        <w:spacing w:before="0" w:after="29"/>
        <w:jc w:val="both"/>
        <w:rPr>
          <w:rFonts w:eastAsia="Times New Roman"/>
          <w:b w:val="false"/>
          <w:b w:val="false"/>
          <w:sz w:val="24"/>
          <w:szCs w:val="24"/>
          <w:lang w:val="kk-KZ"/>
        </w:rPr>
      </w:pPr>
      <w:r>
        <w:rPr>
          <w:rStyle w:val="S1"/>
          <w:rFonts w:eastAsia="Times New Roman" w:cs="Times New Roman"/>
          <w:b w:val="false"/>
          <w:bCs w:val="false"/>
          <w:color w:val="00000A"/>
          <w:sz w:val="24"/>
          <w:szCs w:val="24"/>
          <w:lang w:val="ru-RU"/>
        </w:rPr>
        <w:t>03.04.2023</w:t>
      </w:r>
      <w:r>
        <w:rPr>
          <w:rStyle w:val="S1"/>
          <w:rFonts w:eastAsia="Times New Roman" w:cs="Times New Roman"/>
          <w:b w:val="false"/>
          <w:bCs w:val="false"/>
          <w:color w:val="00000A"/>
          <w:sz w:val="24"/>
          <w:szCs w:val="24"/>
          <w:lang w:val="ru-RU"/>
        </w:rPr>
        <w:t>ж</w:t>
      </w:r>
      <w:r>
        <w:rPr>
          <w:rStyle w:val="S1"/>
          <w:rFonts w:eastAsia="Times New Roman" w:cs="Times New Roman"/>
          <w:b w:val="false"/>
          <w:bCs w:val="false"/>
          <w:color w:val="00000A"/>
          <w:sz w:val="24"/>
          <w:szCs w:val="24"/>
          <w:lang w:val="ru-RU"/>
        </w:rPr>
        <w:t>. 11:45</w:t>
      </w:r>
      <w:r>
        <w:rPr>
          <w:rStyle w:val="S1"/>
          <w:rFonts w:eastAsia="Times New Roman" w:cs="Times New Roman"/>
          <w:b w:val="false"/>
          <w:bCs w:val="false"/>
          <w:color w:val="00000A"/>
          <w:sz w:val="24"/>
          <w:szCs w:val="24"/>
          <w:lang w:val="ru-RU"/>
        </w:rPr>
        <w:t>с</w:t>
      </w:r>
      <w:r>
        <w:rPr>
          <w:rStyle w:val="S1"/>
          <w:rFonts w:eastAsia="Times New Roman" w:cs="Times New Roman"/>
          <w:b w:val="false"/>
          <w:bCs w:val="false"/>
          <w:color w:val="00000A"/>
          <w:sz w:val="24"/>
          <w:szCs w:val="24"/>
          <w:lang w:val="ru-RU"/>
        </w:rPr>
        <w:t xml:space="preserve">. </w:t>
      </w:r>
      <w:bookmarkStart w:id="7" w:name="__DdeLink__660_1388152303"/>
      <w:r>
        <w:rPr>
          <w:rStyle w:val="S1"/>
          <w:rFonts w:eastAsia="Times New Roman" w:cs="Times New Roman"/>
          <w:b w:val="false"/>
          <w:bCs w:val="false"/>
          <w:color w:val="00000A"/>
          <w:sz w:val="24"/>
          <w:szCs w:val="24"/>
          <w:lang w:val="ru-RU"/>
        </w:rPr>
        <w:t>«Мед</w:t>
      </w:r>
      <w:r>
        <w:rPr>
          <w:rStyle w:val="S1"/>
          <w:rFonts w:eastAsia="Times New Roman" w:cs="Times New Roman"/>
          <w:b w:val="false"/>
          <w:bCs w:val="false"/>
          <w:color w:val="00000A"/>
          <w:sz w:val="24"/>
          <w:szCs w:val="24"/>
          <w:lang w:val="ru-RU"/>
        </w:rPr>
        <w:t>ТехСервис</w:t>
      </w:r>
      <w:r>
        <w:rPr>
          <w:rStyle w:val="S1"/>
          <w:rFonts w:eastAsia="Times New Roman" w:cs="Times New Roman"/>
          <w:b w:val="false"/>
          <w:bCs w:val="false"/>
          <w:color w:val="00000A"/>
          <w:sz w:val="24"/>
          <w:szCs w:val="24"/>
          <w:lang w:val="ru-RU"/>
        </w:rPr>
        <w:t>»</w:t>
      </w:r>
      <w:bookmarkEnd w:id="7"/>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spacing w:before="0" w:after="29"/>
        <w:jc w:val="both"/>
        <w:rPr>
          <w:rStyle w:val="S1"/>
          <w:b w:val="false"/>
          <w:b w:val="false"/>
        </w:rPr>
      </w:pPr>
      <w:r>
        <w:rPr>
          <w:rFonts w:eastAsia="Times New Roman"/>
          <w:b w:val="false"/>
          <w:sz w:val="24"/>
          <w:szCs w:val="24"/>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color w:val="00000A"/>
          <w:sz w:val="24"/>
          <w:szCs w:val="24"/>
          <w:lang w:val="ru-RU"/>
        </w:rPr>
        <w:t>«Мед</w:t>
      </w:r>
      <w:r>
        <w:rPr>
          <w:rStyle w:val="S1"/>
          <w:rFonts w:eastAsia="Times New Roman" w:cs="Times New Roman"/>
          <w:b w:val="false"/>
          <w:bCs w:val="false"/>
          <w:color w:val="00000A"/>
          <w:sz w:val="24"/>
          <w:szCs w:val="24"/>
          <w:lang w:val="ru-RU"/>
        </w:rPr>
        <w:t>ТехСервис</w:t>
      </w:r>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kk-KZ"/>
        </w:rPr>
        <w:t>ЖШС</w:t>
      </w:r>
      <w:r>
        <w:rPr>
          <w:rStyle w:val="S1"/>
          <w:rFonts w:eastAsia="Times New Roman"/>
          <w:bCs w:val="false"/>
          <w:sz w:val="24"/>
          <w:szCs w:val="24"/>
          <w:lang w:val="ru-RU"/>
        </w:rPr>
        <w:t xml:space="preserve"> </w:t>
      </w:r>
      <w:r>
        <w:rPr>
          <w:rStyle w:val="S1"/>
          <w:rFonts w:eastAsia="Times New Roman"/>
          <w:b w:val="false"/>
          <w:bCs w:val="false"/>
          <w:sz w:val="24"/>
          <w:szCs w:val="24"/>
          <w:lang w:val="kk-KZ"/>
        </w:rPr>
        <w:t xml:space="preserve">ШҚО 070019 Өскемен қ.,  </w:t>
      </w:r>
      <w:r>
        <w:rPr>
          <w:rStyle w:val="S1"/>
          <w:rFonts w:eastAsia="Times New Roman"/>
          <w:b w:val="false"/>
          <w:bCs w:val="false"/>
          <w:sz w:val="24"/>
          <w:szCs w:val="24"/>
          <w:lang w:val="ru-RU"/>
        </w:rPr>
        <w:t xml:space="preserve">Добролюбов көшесі 39/2. </w:t>
      </w:r>
      <w:bookmarkStart w:id="8" w:name="__DdeLink__3017_248438084"/>
      <w:r>
        <w:rPr>
          <w:rStyle w:val="S1"/>
          <w:rFonts w:eastAsia="Times New Roman"/>
          <w:b w:val="false"/>
          <w:bCs w:val="false"/>
          <w:sz w:val="24"/>
          <w:szCs w:val="24"/>
          <w:lang w:val="kk-KZ"/>
        </w:rPr>
        <w:t>Шарттың бағасы</w:t>
      </w:r>
      <w:bookmarkEnd w:id="8"/>
      <w:r>
        <w:rPr>
          <w:rStyle w:val="S1"/>
          <w:rFonts w:eastAsia="Times New Roman"/>
          <w:b w:val="false"/>
          <w:bCs w:val="false"/>
          <w:lang w:val="ru-RU"/>
        </w:rPr>
        <w:t xml:space="preserve"> —  </w:t>
      </w:r>
      <w:r>
        <w:rPr>
          <w:rStyle w:val="S1"/>
          <w:rFonts w:eastAsia="Times New Roman" w:cs="Times New Roman"/>
          <w:b w:val="false"/>
          <w:bCs w:val="false"/>
          <w:sz w:val="24"/>
          <w:szCs w:val="24"/>
          <w:lang w:val="ru-RU"/>
        </w:rPr>
        <w:t>1 523 485,00</w:t>
      </w:r>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rStyle w:val="S1"/>
          <w:rFonts w:eastAsia="Times New Roman" w:cs="Times New Roman"/>
          <w:bCs w:val="false"/>
          <w:sz w:val="24"/>
          <w:szCs w:val="24"/>
          <w:lang w:val="ru-RU"/>
        </w:rPr>
      </w:pPr>
      <w:r>
        <w:rPr>
          <w:rFonts w:eastAsia="Times New Roman" w:cs="Times New Roman"/>
          <w:bCs w:val="false"/>
          <w:sz w:val="24"/>
          <w:szCs w:val="24"/>
          <w:lang w:val="ru-RU"/>
        </w:rPr>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9" w:name="__DdeLink__1899_18847594521"/>
      <w:r>
        <w:rPr>
          <w:rStyle w:val="S1"/>
          <w:b w:val="false"/>
          <w:lang w:val="kk-KZ"/>
        </w:rPr>
        <w:t xml:space="preserve"> </w:t>
      </w:r>
      <w:bookmarkEnd w:id="9"/>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LibreOffice/5.2.2.2$Windows_X86_64 LibreOffice_project/8f96e87c890bf8fa77463cd4b640a2312823f3ad</Application>
  <Pages>4</Pages>
  <Words>927</Words>
  <Characters>6735</Characters>
  <CharactersWithSpaces>7707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2023-04-06T16:51:47Z</cp:lastPrinted>
  <dcterms:modified xsi:type="dcterms:W3CDTF">2023-04-06T17:37:05Z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