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>
        <w:rPr>
          <w:rFonts w:cs="Times New Roman"/>
          <w:lang w:val="ru-RU"/>
        </w:rPr>
        <w:t>2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12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04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02"/>
        <w:gridCol w:w="1201"/>
        <w:gridCol w:w="1361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Вата медицинская, гигроскопическая, гигиеническая  стерильная изготовлена из хлопковолокна 1 сорта Фасуется в упаковки от 50-55 гр. </w:t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340,00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Вата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Вата медицинская, гигроскопическая. Нестерильная. Вата должна быть хорошо прочесанной, сохраняющей связь между волокнами и легко расслаиваться на параллельные слои произвольной толщины.  По техническим показателям вата должна соответствовать требованиям: зольность (не более 0,30%); реакция водной вытяжки: нейтральная; поглотительная  способность (не менее 20 г); засоренность (не более 0,30%); капиллярность (не менее 70 мм). Упаковка от 100 до 110гр.</w:t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325,00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Вата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7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.04.2023г.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09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imes New Roman"/>
          <w:b w:val="false"/>
          <w:bCs w:val="false"/>
          <w:color w:val="00000A"/>
          <w:sz w:val="24"/>
          <w:szCs w:val="24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г.Усть-Каменогорск, ул.Бажова, 333/1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213 000,</w:t>
      </w:r>
      <w:bookmarkStart w:id="1" w:name="__DdeLink__606_136384062"/>
      <w:bookmarkStart w:id="2" w:name="__DdeLink__3455_248438084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1"/>
      <w:bookmarkEnd w:id="2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3" w:name="__DdeLink__339_274108119"/>
      <w:r>
        <w:rPr>
          <w:rStyle w:val="S1"/>
          <w:b w:val="false"/>
          <w:lang w:val="ru-RU"/>
        </w:rPr>
        <w:t xml:space="preserve"> </w:t>
      </w:r>
      <w:bookmarkStart w:id="4" w:name="__DdeLink__1899_1884759452"/>
      <w:bookmarkStart w:id="5" w:name="__DdeLink__509_43780538"/>
      <w:bookmarkEnd w:id="3"/>
      <w:r>
        <w:rPr>
          <w:rStyle w:val="S1"/>
          <w:b w:val="false"/>
          <w:lang w:val="kk-KZ"/>
        </w:rPr>
        <w:t xml:space="preserve"> </w:t>
      </w:r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6" w:name="_GoBack"/>
      <w:bookmarkEnd w:id="6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2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12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04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756"/>
        <w:gridCol w:w="1125"/>
        <w:gridCol w:w="119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Медициналық, гигроскопиялық, гигиеналық стерильді мақта жүні 1-сұрыпты мақта талшығынан жасалған, 50-55 гр қаптамаға салынады.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340,00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Мақта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Медициналық мақта, гигроскопиялық. Стерильді емес. Мақта талшықтар арасындағы байланысты сақтайтын және ерікті қалыңдықтың параллель қабаттарына оңай бөлінетін жақсы таралуы керек.  Техникалық көрсеткіштер бойынша жүн мынадай талаптарға сай болуы тиіс: күлділік (0,30% - дан аспайды); су сорғышының реакциясы: бейтарап; сіңіру қабілеті (кемінде 20 г); бітелу (0,30% - дан аспайды); капиллярлық (кемінде 70 мм). Қаптама 100-ден 110 гр-ға дейін.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325,00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Мақта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>
          <w:b w:val="false"/>
          <w:b w:val="false"/>
        </w:rPr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7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.04.2023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24с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 xml:space="preserve">ШҚО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 xml:space="preserve">Өскемен қ.,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Бажов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 xml:space="preserve"> көшесі, 333/1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. </w:t>
      </w:r>
      <w:bookmarkStart w:id="7" w:name="__DdeLink__3017_248438084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7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213 000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Cs w:val="false"/>
          <w:sz w:val="24"/>
          <w:szCs w:val="24"/>
          <w:lang w:val="ru-RU"/>
        </w:rPr>
      </w:pPr>
      <w:r>
        <w:rPr>
          <w:rFonts w:eastAsia="Times New Roman" w:cs="Times New Roman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LibreOffice/5.2.2.2$Windows_X86_64 LibreOffice_project/8f96e87c890bf8fa77463cd4b640a2312823f3ad</Application>
  <Pages>2</Pages>
  <Words>434</Words>
  <Characters>3070</Characters>
  <CharactersWithSpaces>3570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2023-04-06T16:51:47Z</cp:lastPrinted>
  <dcterms:modified xsi:type="dcterms:W3CDTF">2023-04-12T13:54:55Z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