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3</w:t>
      </w:r>
      <w:r>
        <w:rPr>
          <w:rFonts w:cs="Times New Roman"/>
          <w:lang w:val="ru-RU"/>
        </w:rPr>
        <w:t>2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en-US"/>
        </w:rPr>
        <w:t>26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06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6577"/>
        <w:gridCol w:w="1200"/>
        <w:gridCol w:w="128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  <w:t xml:space="preserve">Игла спинальная тип Квинке без интродьюсера </w:t>
            </w:r>
            <w:r>
              <w:rPr>
                <w:rFonts w:cs="Times New Roman"/>
                <w:b w:val="false"/>
                <w:bCs w:val="false"/>
                <w:color w:val="000000"/>
                <w:lang w:val="en-US"/>
              </w:rPr>
              <w:t>G</w:t>
            </w:r>
            <w:r>
              <w:rPr>
                <w:rFonts w:cs="Times New Roman"/>
                <w:b w:val="false"/>
                <w:bCs w:val="false"/>
                <w:color w:val="000000"/>
              </w:rPr>
              <w:t xml:space="preserve"> 18, стерильная, одноразовая.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  <w:t>Игла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  <w:t>Сгибающий зонд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  <w:t>Втулка зонда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  <w:t>Футляр для иглы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</w:rPr>
              <w:t>615,75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hd w:fill="F5F5F5" w:val="clear"/>
              </w:rPr>
              <w:t>Игла спинальная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65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</w:rPr>
              <w:t>Мочеприемник с ремешком объемом не менее 2000 мл. С Т-образным сливным клапаном, портом для взятия мочи, антирефлюксным клапаном с коническим коннектором и защитным колпачком, дренажной трубкой. Цена деления измерительной шкалы – 100 мл.</w:t>
            </w:r>
          </w:p>
        </w:tc>
        <w:tc>
          <w:tcPr>
            <w:tcW w:w="12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</w:rPr>
              <w:t>468,88</w:t>
            </w:r>
          </w:p>
        </w:tc>
        <w:tc>
          <w:tcPr>
            <w:tcW w:w="1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hd w:fill="F5F5F5" w:val="clear"/>
              </w:rPr>
              <w:t>Мочеприемник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14.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06.2023г. 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47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«Альянс фарм»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6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.2023г.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6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22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ч. 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ИП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MIRA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лот№ 1 -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ИП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MIRA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» - 050036, г.Алматы, Ауэзовский район, мкр.Мамыр-3, 23-19.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Цена договора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en-US"/>
        </w:rPr>
        <w:t>30 760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лот № 2 -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ТОО</w:t>
      </w: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Альянс фарм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”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ВКО,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г.Усть-Каменогорск, ул.Бажова, 333/1.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 Цена договора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17 500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  <w:lang w:val="ru-RU"/>
        </w:rPr>
      </w:pPr>
      <w:r>
        <w:rPr>
          <w:rFonts w:eastAsia="Times New Roman"/>
          <w:b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>Председатель комиссии  - Елшибеков Б.Е.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false"/>
          <w:lang w:val="ru-RU"/>
        </w:rPr>
        <w:t xml:space="preserve"> </w:t>
      </w:r>
      <w:bookmarkStart w:id="2" w:name="__DdeLink__1899_1884759452"/>
      <w:bookmarkStart w:id="3" w:name="__DdeLink__509_43780538"/>
      <w:bookmarkEnd w:id="1"/>
      <w:r>
        <w:rPr>
          <w:rStyle w:val="S1"/>
          <w:b w:val="false"/>
          <w:lang w:val="kk-KZ"/>
        </w:rPr>
        <w:t xml:space="preserve"> </w:t>
      </w:r>
      <w:bookmarkStart w:id="4" w:name="__DdeLink__618_1729379740"/>
      <w:bookmarkEnd w:id="2"/>
      <w:bookmarkEnd w:id="3"/>
      <w:bookmarkEnd w:id="4"/>
      <w:r>
        <w:rPr>
          <w:rStyle w:val="S1"/>
          <w:b w:val="false"/>
          <w:lang w:val="ru-RU"/>
        </w:rPr>
        <w:t>Дында Л.В.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5" w:name="_GoBack"/>
      <w:bookmarkEnd w:id="5"/>
      <w:r>
        <w:rPr>
          <w:rFonts w:cs="Times New Roman"/>
          <w:lang w:val="ru-RU"/>
        </w:rPr>
        <w:t>у қорытындыларының № 3</w:t>
      </w:r>
      <w:r>
        <w:rPr>
          <w:rFonts w:cs="Times New Roman"/>
          <w:lang w:val="ru-RU"/>
        </w:rPr>
        <w:t>2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26.</w:t>
      </w:r>
      <w:r>
        <w:rPr>
          <w:rStyle w:val="S1"/>
          <w:b w:val="false"/>
          <w:lang w:val="en-US"/>
        </w:rPr>
        <w:t>06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6636"/>
        <w:gridCol w:w="1140"/>
        <w:gridCol w:w="1304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>G 18 кіріспесі жоқ, стерильді, бір реттік Квинке түріндегі ине.</w:t>
              <w:br/>
              <w:t>1. Ине</w:t>
              <w:br/>
              <w:t>2. Иілу зонды</w:t>
              <w:br/>
              <w:t>3. Зондтың жеңі</w:t>
              <w:br/>
              <w:t>4. Ине корпусы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</w:rPr>
              <w:t>615,75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  <w:highlight w:val="white"/>
              </w:rPr>
              <w:t>Ине жұлын</w:t>
            </w:r>
          </w:p>
        </w:tc>
      </w:tr>
      <w:tr>
        <w:trPr/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63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Көлемі кемінде 2000 мл болатын несеп қабылдағыш. Т-тәрізді су төгетін клапанмен, зәр шығару портымен, конустық коннекторы бар рефлюкске қарсы клапанмен және қорғаныс қақпағымен, дренаждық түтікпен. Өлшеу шкаласын бөлу бағасы-100 мл.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</w:rPr>
              <w:t>468,88</w:t>
            </w:r>
          </w:p>
        </w:tc>
        <w:tc>
          <w:tcPr>
            <w:tcW w:w="130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Несеп қабылдағыш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14.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06.2023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ж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 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47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с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  «Альянс фарм»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6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.2023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ж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6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22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с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 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MIRA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Fonts w:cs="Times New Roman"/>
          <w:b w:val="false"/>
          <w:bCs w:val="false"/>
          <w:color w:val="00000A"/>
          <w:sz w:val="24"/>
          <w:szCs w:val="24"/>
          <w:lang w:val="kk-KZ"/>
        </w:rPr>
        <w:t>ЖҚ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en-US"/>
        </w:rPr>
      </w:pPr>
      <w:r>
        <w:rPr/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лот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№1 -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MIRA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kk-KZ"/>
        </w:rPr>
        <w:t>ЖҚ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- 050036, Алматы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қ.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, Ауэзов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а.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, мкр.Мамыр-3, 23-19.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en-US"/>
        </w:rPr>
        <w:t>30 760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лот №2 -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«Альянс-фарм»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070010,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Өскемен қ.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Бажов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, 333/1.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 </w:t>
      </w:r>
      <w:bookmarkStart w:id="6" w:name="__DdeLink__552_1868403445"/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bookmarkEnd w:id="6"/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17 500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,</w:t>
      </w:r>
      <w:bookmarkStart w:id="7" w:name="__DdeLink__3455_24843808411"/>
      <w:bookmarkStart w:id="8" w:name="__DdeLink__606_13638406211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00</w:t>
      </w:r>
      <w:bookmarkEnd w:id="7"/>
      <w:bookmarkEnd w:id="8"/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>Комиссия төрайымы –</w:t>
      </w:r>
      <w:r>
        <w:rPr>
          <w:rStyle w:val="S1"/>
          <w:b w:val="false"/>
          <w:lang w:val="ru-RU"/>
        </w:rPr>
        <w:t>Елшибеков Б.Е.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9" w:name="__DdeLink__1899_18847594521"/>
      <w:r>
        <w:rPr>
          <w:rStyle w:val="S1"/>
          <w:b w:val="false"/>
          <w:lang w:val="kk-KZ"/>
        </w:rPr>
        <w:t xml:space="preserve"> </w:t>
      </w:r>
      <w:bookmarkEnd w:id="9"/>
      <w:r>
        <w:rPr>
          <w:rStyle w:val="S1"/>
          <w:b w:val="false"/>
          <w:lang w:val="ru-RU"/>
        </w:rPr>
        <w:t>Дында Л.В.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character" w:styleId="ListLabel55">
    <w:name w:val="ListLabel 55"/>
    <w:qFormat/>
    <w:rPr>
      <w:b w:val="false"/>
      <w:bCs w:val="false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Application>LibreOffice/5.2.2.2$Windows_X86_64 LibreOffice_project/8f96e87c890bf8fa77463cd4b640a2312823f3ad</Application>
  <Pages>2</Pages>
  <Words>449</Words>
  <Characters>2952</Characters>
  <CharactersWithSpaces>3457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2023-05-04T10:07:01Z</cp:lastPrinted>
  <dcterms:modified xsi:type="dcterms:W3CDTF">2023-06-26T14:11:53Z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