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ЛС и </w:t>
      </w:r>
      <w:r>
        <w:rPr>
          <w:rFonts w:cs="Times New Roman" w:ascii="Times New Roman" w:hAnsi="Times New Roman"/>
          <w:sz w:val="28"/>
          <w:szCs w:val="28"/>
        </w:rPr>
        <w:t>(или)</w:t>
      </w:r>
      <w:r>
        <w:rPr>
          <w:rFonts w:cs="Times New Roman" w:ascii="Times New Roman" w:hAnsi="Times New Roman"/>
          <w:sz w:val="28"/>
          <w:szCs w:val="28"/>
        </w:rPr>
        <w:t xml:space="preserve">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34</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color w:val="000000"/>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sz w:val="22"/>
          <w:szCs w:val="22"/>
        </w:rPr>
      </w:r>
    </w:p>
    <w:tbl>
      <w:tblPr>
        <w:tblStyle w:val="ae"/>
        <w:tblW w:w="14673" w:type="dxa"/>
        <w:jc w:val="left"/>
        <w:tblInd w:w="-30" w:type="dxa"/>
        <w:tblCellMar>
          <w:top w:w="0" w:type="dxa"/>
          <w:left w:w="-5" w:type="dxa"/>
          <w:bottom w:w="0" w:type="dxa"/>
          <w:right w:w="108" w:type="dxa"/>
        </w:tblCellMar>
        <w:tblLook w:firstRow="1" w:noVBand="1" w:lastRow="0" w:firstColumn="1" w:lastColumn="0" w:noHBand="0" w:val="04a0"/>
      </w:tblPr>
      <w:tblGrid>
        <w:gridCol w:w="626"/>
        <w:gridCol w:w="1764"/>
        <w:gridCol w:w="2832"/>
        <w:gridCol w:w="1298"/>
        <w:gridCol w:w="1290"/>
        <w:gridCol w:w="1739"/>
        <w:gridCol w:w="2312"/>
        <w:gridCol w:w="2810"/>
      </w:tblGrid>
      <w:tr>
        <w:trPr/>
        <w:tc>
          <w:tcPr>
            <w:tcW w:w="62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764"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2832"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129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1290"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73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2312"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2810"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r>
      <w:tr>
        <w:trPr>
          <w:trHeight w:val="1102" w:hRule="atLeast"/>
        </w:trPr>
        <w:tc>
          <w:tcPr>
            <w:tcW w:w="62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764"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shd w:fill="F5F5F5" w:val="clear"/>
              </w:rPr>
              <w:t xml:space="preserve">Пиперацилин+ тазобактам </w:t>
            </w:r>
          </w:p>
        </w:tc>
        <w:tc>
          <w:tcPr>
            <w:tcW w:w="2832" w:type="dxa"/>
            <w:tcBorders/>
            <w:shd w:color="auto" w:fill="auto" w:val="clear"/>
            <w:tcMar>
              <w:left w:w="-5" w:type="dxa"/>
            </w:tcMar>
          </w:tcPr>
          <w:p>
            <w:pPr>
              <w:pStyle w:val="Normal"/>
              <w:spacing w:lineRule="auto" w:line="240" w:before="0" w:after="0"/>
              <w:rPr>
                <w:color w:val="000000"/>
              </w:rPr>
            </w:pPr>
            <w:r>
              <w:rPr>
                <w:rFonts w:cs="Times New Roman" w:ascii="Times New Roman" w:hAnsi="Times New Roman"/>
                <w:color w:val="000000"/>
                <w:sz w:val="24"/>
                <w:szCs w:val="24"/>
              </w:rPr>
              <w:t>Порошок для приготовления инъекций 4,5 г</w:t>
            </w:r>
          </w:p>
        </w:tc>
        <w:tc>
          <w:tcPr>
            <w:tcW w:w="1298"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флакон</w:t>
            </w:r>
          </w:p>
        </w:tc>
        <w:tc>
          <w:tcPr>
            <w:tcW w:w="1290"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500</w:t>
            </w:r>
          </w:p>
        </w:tc>
        <w:tc>
          <w:tcPr>
            <w:tcW w:w="1739"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2 294,56</w:t>
            </w:r>
          </w:p>
        </w:tc>
        <w:tc>
          <w:tcPr>
            <w:tcW w:w="2312"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1 147 280,00</w:t>
            </w:r>
          </w:p>
        </w:tc>
        <w:tc>
          <w:tcPr>
            <w:tcW w:w="2810"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rPr>
            </w:pPr>
            <w:r>
              <w:rPr>
                <w:rFonts w:cs="Times New Roman" w:ascii="Times New Roman" w:hAnsi="Times New Roman"/>
                <w:color w:val="000000"/>
                <w:sz w:val="24"/>
                <w:szCs w:val="24"/>
              </w:rPr>
              <w:t>В течении  3 дней с даты подачи заявки по адресу: Глубоковский район, село Опытное поле, ул. Локомотивная, 3/1, аптека</w:t>
            </w:r>
          </w:p>
        </w:tc>
      </w:tr>
    </w:tbl>
    <w:p>
      <w:pPr>
        <w:pStyle w:val="Normal"/>
        <w:spacing w:before="0" w:after="0"/>
        <w:ind w:firstLine="400"/>
        <w:jc w:val="both"/>
        <w:rPr>
          <w:rStyle w:val="S0"/>
          <w:sz w:val="22"/>
          <w:szCs w:val="22"/>
        </w:rPr>
      </w:pPr>
      <w:r>
        <w:rPr>
          <w:sz w:val="22"/>
          <w:szCs w:val="22"/>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w:t>
      </w:r>
      <w:r>
        <w:rPr>
          <w:rStyle w:val="S0"/>
          <w:sz w:val="22"/>
          <w:szCs w:val="22"/>
        </w:rPr>
        <w:t xml:space="preserve">с </w:t>
      </w:r>
      <w:r>
        <w:rPr>
          <w:rStyle w:val="S0"/>
          <w:sz w:val="22"/>
          <w:szCs w:val="22"/>
          <w:lang w:val="en-US"/>
        </w:rPr>
        <w:t>10</w:t>
      </w:r>
      <w:r>
        <w:rPr>
          <w:rStyle w:val="S0"/>
          <w:sz w:val="22"/>
          <w:szCs w:val="22"/>
        </w:rPr>
        <w:t xml:space="preserve"> </w:t>
      </w:r>
      <w:r>
        <w:rPr>
          <w:rStyle w:val="S0"/>
          <w:sz w:val="22"/>
          <w:szCs w:val="22"/>
          <w:lang w:val="ru-RU"/>
        </w:rPr>
        <w:t>августа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w:t>
      </w:r>
      <w:r>
        <w:rPr>
          <w:rStyle w:val="S0"/>
          <w:sz w:val="22"/>
          <w:szCs w:val="22"/>
        </w:rPr>
        <w:t xml:space="preserve"> </w:t>
      </w:r>
      <w:r>
        <w:rPr>
          <w:rStyle w:val="S0"/>
          <w:sz w:val="22"/>
          <w:szCs w:val="22"/>
          <w:lang w:val="en-US"/>
        </w:rPr>
        <w:t>17</w:t>
      </w:r>
      <w:r>
        <w:rPr>
          <w:rStyle w:val="S0"/>
          <w:sz w:val="22"/>
          <w:szCs w:val="22"/>
          <w:lang w:val="ru-RU"/>
        </w:rPr>
        <w:t xml:space="preserve"> </w:t>
      </w:r>
      <w:r>
        <w:rPr>
          <w:rStyle w:val="S0"/>
          <w:sz w:val="22"/>
          <w:szCs w:val="22"/>
          <w:lang w:val="ru-RU"/>
        </w:rPr>
        <w:t>августа</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17</w:t>
      </w:r>
      <w:r>
        <w:rPr>
          <w:rStyle w:val="S0"/>
          <w:sz w:val="22"/>
          <w:szCs w:val="22"/>
          <w:lang w:val="ru-RU"/>
        </w:rPr>
        <w:t xml:space="preserve"> </w:t>
      </w:r>
      <w:r>
        <w:rPr>
          <w:rStyle w:val="S0"/>
          <w:sz w:val="22"/>
          <w:szCs w:val="22"/>
          <w:lang w:val="ru-RU"/>
        </w:rPr>
        <w:t>августа</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34</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ДЗ </w:t>
      </w:r>
      <w:r>
        <w:rPr>
          <w:rFonts w:ascii="Times New Roman" w:hAnsi="Times New Roman"/>
          <w:sz w:val="28"/>
          <w:szCs w:val="28"/>
          <w:lang w:val="kk-KZ"/>
        </w:rPr>
        <w:t xml:space="preserve">және </w:t>
      </w:r>
      <w:r>
        <w:rPr>
          <w:rFonts w:ascii="Times New Roman" w:hAnsi="Times New Roman"/>
          <w:sz w:val="28"/>
          <w:szCs w:val="28"/>
          <w:lang w:val="ru-RU"/>
        </w:rPr>
        <w:t xml:space="preserve">(немесе)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sz w:val="22"/>
          <w:szCs w:val="22"/>
          <w:lang w:val="ru-RU"/>
        </w:rPr>
        <w:t>1</w:t>
      </w:r>
      <w:r>
        <w:rPr>
          <w:rFonts w:ascii="Times New Roman" w:hAnsi="Times New Roman"/>
          <w:sz w:val="22"/>
          <w:szCs w:val="22"/>
          <w:lang w:val="kk-KZ"/>
        </w:rPr>
        <w:t xml:space="preserve"> лот).,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3" w:type="dxa"/>
        <w:jc w:val="left"/>
        <w:tblInd w:w="-30" w:type="dxa"/>
        <w:tblCellMar>
          <w:top w:w="0" w:type="dxa"/>
          <w:left w:w="-5" w:type="dxa"/>
          <w:bottom w:w="0" w:type="dxa"/>
          <w:right w:w="108" w:type="dxa"/>
        </w:tblCellMar>
        <w:tblLook w:firstRow="1" w:noVBand="1" w:lastRow="0" w:firstColumn="1" w:lastColumn="0" w:noHBand="0" w:val="04a0"/>
      </w:tblPr>
      <w:tblGrid>
        <w:gridCol w:w="628"/>
        <w:gridCol w:w="1763"/>
        <w:gridCol w:w="3013"/>
        <w:gridCol w:w="1740"/>
        <w:gridCol w:w="1413"/>
        <w:gridCol w:w="2003"/>
        <w:gridCol w:w="2328"/>
        <w:gridCol w:w="1783"/>
      </w:tblGrid>
      <w:tr>
        <w:trPr/>
        <w:tc>
          <w:tcPr>
            <w:tcW w:w="6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топта ма №</w:t>
            </w:r>
          </w:p>
        </w:tc>
        <w:tc>
          <w:tcPr>
            <w:tcW w:w="1763"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тауарлардың</w:t>
            </w:r>
          </w:p>
          <w:p>
            <w:pPr>
              <w:pStyle w:val="Style22"/>
              <w:spacing w:before="0" w:after="0"/>
              <w:rPr>
                <w:sz w:val="22"/>
                <w:szCs w:val="22"/>
              </w:rPr>
            </w:pPr>
            <w:r>
              <w:rPr>
                <w:rFonts w:cs="Times New Roman" w:ascii="Times New Roman" w:hAnsi="Times New Roman"/>
                <w:sz w:val="22"/>
                <w:szCs w:val="22"/>
              </w:rPr>
              <w:t>атауы</w:t>
            </w:r>
          </w:p>
        </w:tc>
        <w:tc>
          <w:tcPr>
            <w:tcW w:w="3013"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740"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Өлшем бірлігі</w:t>
            </w:r>
          </w:p>
        </w:tc>
        <w:tc>
          <w:tcPr>
            <w:tcW w:w="1413"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Саны,</w:t>
            </w:r>
          </w:p>
          <w:p>
            <w:pPr>
              <w:pStyle w:val="Style22"/>
              <w:suppressLineNumbers/>
              <w:spacing w:before="0" w:after="200"/>
              <w:rPr>
                <w:sz w:val="22"/>
                <w:szCs w:val="22"/>
              </w:rPr>
            </w:pPr>
            <w:r>
              <w:rPr>
                <w:rFonts w:cs="Times New Roman" w:ascii="Times New Roman" w:hAnsi="Times New Roman"/>
                <w:sz w:val="22"/>
                <w:szCs w:val="22"/>
              </w:rPr>
              <w:t>көлемі</w:t>
            </w:r>
          </w:p>
        </w:tc>
        <w:tc>
          <w:tcPr>
            <w:tcW w:w="2003"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бағасы</w:t>
            </w:r>
          </w:p>
        </w:tc>
        <w:tc>
          <w:tcPr>
            <w:tcW w:w="23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сомасы</w:t>
            </w:r>
          </w:p>
        </w:tc>
        <w:tc>
          <w:tcPr>
            <w:tcW w:w="1783" w:type="dxa"/>
            <w:tcBorders>
              <w:left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2"/>
                <w:szCs w:val="22"/>
              </w:rPr>
              <w:t>Мерзімі,жеткізу орны мен шарттары</w:t>
            </w:r>
          </w:p>
        </w:tc>
      </w:tr>
      <w:tr>
        <w:trPr>
          <w:trHeight w:val="1102"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763"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shd w:fill="F5F5F5" w:val="clear"/>
              </w:rPr>
              <w:t xml:space="preserve">Пиперацилин+ тазобактам </w:t>
            </w:r>
          </w:p>
        </w:tc>
        <w:tc>
          <w:tcPr>
            <w:tcW w:w="3013"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Инъекцияға арналған ұнтақ 4,5 г</w:t>
            </w:r>
          </w:p>
        </w:tc>
        <w:tc>
          <w:tcPr>
            <w:tcW w:w="1740"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құты</w:t>
            </w:r>
          </w:p>
        </w:tc>
        <w:tc>
          <w:tcPr>
            <w:tcW w:w="1413"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500</w:t>
            </w:r>
          </w:p>
        </w:tc>
        <w:tc>
          <w:tcPr>
            <w:tcW w:w="2003"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2 294,56</w:t>
            </w:r>
          </w:p>
        </w:tc>
        <w:tc>
          <w:tcPr>
            <w:tcW w:w="2328" w:type="dxa"/>
            <w:tcBorders/>
            <w:shd w:color="auto"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sz w:val="24"/>
                <w:szCs w:val="24"/>
              </w:rPr>
              <w:t>1 147 280,00</w:t>
            </w:r>
          </w:p>
        </w:tc>
        <w:tc>
          <w:tcPr>
            <w:tcW w:w="1783"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 берілген күннен бастап 3 күн ішінде: Глубокое ауданы, Опытное поле ауылы, Локомотивная көшесі, 3/1, дәріхана</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w:t>
      </w:r>
      <w:r>
        <w:rPr>
          <w:rFonts w:ascii="Times New Roman" w:hAnsi="Times New Roman"/>
          <w:color w:val="000000"/>
          <w:sz w:val="22"/>
          <w:szCs w:val="22"/>
          <w:lang w:val="kk-KZ"/>
        </w:rPr>
        <w:t xml:space="preserve">ы </w:t>
      </w:r>
      <w:r>
        <w:rPr>
          <w:rFonts w:ascii="Times New Roman" w:hAnsi="Times New Roman"/>
          <w:color w:val="000000"/>
          <w:sz w:val="22"/>
          <w:szCs w:val="22"/>
          <w:lang w:val="ru-RU"/>
        </w:rPr>
        <w:t>10</w:t>
      </w:r>
      <w:r>
        <w:rPr>
          <w:rFonts w:ascii="Times New Roman" w:hAnsi="Times New Roman"/>
          <w:color w:val="000000"/>
          <w:sz w:val="22"/>
          <w:szCs w:val="22"/>
          <w:lang w:val="kk-KZ"/>
        </w:rPr>
        <w:t xml:space="preserve"> </w:t>
      </w:r>
      <w:r>
        <w:rPr>
          <w:rFonts w:ascii="Times New Roman" w:hAnsi="Times New Roman"/>
          <w:color w:val="000000"/>
          <w:sz w:val="22"/>
          <w:szCs w:val="22"/>
          <w:lang w:val="ru-RU"/>
        </w:rPr>
        <w:t>тамыз</w:t>
      </w:r>
      <w:r>
        <w:rPr>
          <w:rFonts w:ascii="Times New Roman" w:hAnsi="Times New Roman"/>
          <w:color w:val="000000"/>
          <w:sz w:val="22"/>
          <w:szCs w:val="22"/>
          <w:lang w:val="kk-KZ"/>
        </w:rPr>
        <w:t>н</w:t>
      </w:r>
      <w:r>
        <w:rPr>
          <w:rFonts w:ascii="Times New Roman" w:hAnsi="Times New Roman"/>
          <w:color w:val="000000"/>
          <w:sz w:val="22"/>
          <w:szCs w:val="22"/>
          <w:lang w:val="ru-RU"/>
        </w:rPr>
        <w:t>ы</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highlight w:val="yellow"/>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b w:val="false"/>
          <w:bCs w:val="false"/>
          <w:color w:val="000000"/>
          <w:sz w:val="22"/>
          <w:szCs w:val="22"/>
          <w:lang w:val="ru-RU"/>
        </w:rPr>
        <w:t>17 тамыз</w:t>
      </w:r>
      <w:bookmarkStart w:id="1" w:name="__DdeLink__17187_1619615538"/>
      <w:r>
        <w:rPr>
          <w:rFonts w:ascii="Times New Roman" w:hAnsi="Times New Roman"/>
          <w:b w:val="false"/>
          <w:bCs w:val="false"/>
          <w:color w:val="000000"/>
          <w:sz w:val="22"/>
          <w:szCs w:val="22"/>
          <w:lang w:val="ru-RU"/>
        </w:rPr>
        <w:t>д</w:t>
      </w:r>
      <w:bookmarkEnd w:id="1"/>
      <w:r>
        <w:rPr>
          <w:rFonts w:ascii="Times New Roman" w:hAnsi="Times New Roman"/>
          <w:b w:val="false"/>
          <w:bCs w:val="false"/>
          <w:color w:val="000000"/>
          <w:sz w:val="22"/>
          <w:szCs w:val="22"/>
          <w:lang w:val="ru-RU"/>
        </w:rPr>
        <w:t>ы</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b w:val="false"/>
          <w:bCs w:val="false"/>
          <w:color w:val="000000"/>
          <w:sz w:val="22"/>
          <w:szCs w:val="22"/>
          <w:lang w:val="ru-RU"/>
        </w:rPr>
        <w:t>17 тамыз</w:t>
      </w:r>
      <w:bookmarkStart w:id="2" w:name="__DdeLink__17187_16196155381"/>
      <w:r>
        <w:rPr>
          <w:rFonts w:ascii="Times New Roman" w:hAnsi="Times New Roman"/>
          <w:b w:val="false"/>
          <w:bCs w:val="false"/>
          <w:color w:val="000000"/>
          <w:sz w:val="22"/>
          <w:szCs w:val="22"/>
          <w:lang w:val="ru-RU"/>
        </w:rPr>
        <w:t>д</w:t>
      </w:r>
      <w:bookmarkEnd w:id="2"/>
      <w:r>
        <w:rPr>
          <w:rFonts w:ascii="Times New Roman" w:hAnsi="Times New Roman"/>
          <w:b w:val="false"/>
          <w:bCs w:val="false"/>
          <w:color w:val="000000"/>
          <w:sz w:val="22"/>
          <w:szCs w:val="22"/>
          <w:lang w:val="ru-RU"/>
        </w:rPr>
        <w:t>ы</w:t>
      </w:r>
      <w:r>
        <w:rPr>
          <w:rFonts w:ascii="Times New Roman" w:hAnsi="Times New Roman"/>
          <w:color w:val="000000"/>
          <w:sz w:val="22"/>
          <w:szCs w:val="22"/>
          <w:lang w:val="ru-RU"/>
        </w:rPr>
        <w:t xml:space="preserve"> 0</w:t>
      </w:r>
      <w:r>
        <w:rPr>
          <w:rFonts w:ascii="Times New Roman" w:hAnsi="Times New Roman"/>
          <w:color w:val="000000"/>
          <w:sz w:val="22"/>
          <w:szCs w:val="22"/>
          <w:lang w:val="kk-KZ"/>
        </w:rPr>
        <w:t>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2670</TotalTime>
  <Application>LibreOffice/5.2.2.2$Windows_X86_64 LibreOffice_project/8f96e87c890bf8fa77463cd4b640a2312823f3ad</Application>
  <Pages>2</Pages>
  <Words>651</Words>
  <Characters>4556</Characters>
  <CharactersWithSpaces>5217</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2023-06-09T11:12:41Z</cp:lastPrinted>
  <dcterms:modified xsi:type="dcterms:W3CDTF">2023-08-08T13:32:10Z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