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b/>
          <w:sz w:val="20"/>
          <w:szCs w:val="20"/>
        </w:rPr>
        <w:t xml:space="preserve"> МИ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9</w:t>
      </w:r>
    </w:p>
    <w:p>
      <w:pPr>
        <w:pStyle w:val="Normal"/>
        <w:tabs>
          <w:tab w:val="left" w:pos="11415" w:leader="none"/>
        </w:tabs>
        <w:spacing w:before="0" w:after="0"/>
        <w:jc w:val="center"/>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Р</w:t>
      </w:r>
      <w:r>
        <w:rPr>
          <w:rFonts w:cs="Times New Roman" w:ascii="Times New Roman" w:hAnsi="Times New Roman"/>
          <w:b w:val="false"/>
          <w:bCs w:val="false"/>
          <w:sz w:val="28"/>
          <w:szCs w:val="28"/>
        </w:rPr>
        <w:t>асходны</w:t>
      </w:r>
      <w:r>
        <w:rPr>
          <w:rFonts w:cs="Times New Roman" w:ascii="Times New Roman" w:hAnsi="Times New Roman"/>
          <w:b w:val="false"/>
          <w:bCs w:val="false"/>
          <w:sz w:val="28"/>
          <w:szCs w:val="28"/>
        </w:rPr>
        <w:t>е</w:t>
      </w:r>
      <w:r>
        <w:rPr>
          <w:rFonts w:cs="Times New Roman" w:ascii="Times New Roman" w:hAnsi="Times New Roman"/>
          <w:b w:val="false"/>
          <w:bCs w:val="false"/>
          <w:sz w:val="28"/>
          <w:szCs w:val="28"/>
        </w:rPr>
        <w:t xml:space="preserve"> материал</w:t>
      </w:r>
      <w:r>
        <w:rPr>
          <w:rFonts w:cs="Times New Roman" w:ascii="Times New Roman" w:hAnsi="Times New Roman"/>
          <w:b w:val="false"/>
          <w:bCs w:val="false"/>
          <w:sz w:val="28"/>
          <w:szCs w:val="28"/>
        </w:rPr>
        <w:t>ы</w:t>
      </w: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lang w:val="kk-KZ"/>
        </w:rPr>
        <w:t xml:space="preserve">для оптического анализатора газов и химического состава крови  </w:t>
      </w:r>
      <w:r>
        <w:rPr>
          <w:rFonts w:cs="Times New Roman" w:ascii="Times New Roman" w:hAnsi="Times New Roman"/>
          <w:b w:val="false"/>
          <w:bCs w:val="false"/>
          <w:sz w:val="28"/>
          <w:szCs w:val="28"/>
          <w:lang w:val="en-US"/>
        </w:rPr>
        <w:t>i</w:t>
      </w:r>
      <w:r>
        <w:rPr>
          <w:rFonts w:cs="Times New Roman" w:ascii="Times New Roman" w:hAnsi="Times New Roman"/>
          <w:b w:val="false"/>
          <w:bCs w:val="false"/>
          <w:sz w:val="28"/>
          <w:szCs w:val="28"/>
          <w:lang w:val="kk-KZ"/>
        </w:rPr>
        <w:t>15  закрытого типа</w:t>
      </w:r>
    </w:p>
    <w:p>
      <w:pPr>
        <w:pStyle w:val="Normal"/>
        <w:tabs>
          <w:tab w:val="left" w:pos="11415" w:leader="none"/>
        </w:tabs>
        <w:spacing w:before="0" w:after="0"/>
        <w:jc w:val="center"/>
        <w:rPr>
          <w:lang w:val="kk-KZ"/>
        </w:rPr>
      </w:pPr>
      <w:r>
        <w:rPr>
          <w:rFonts w:cs="Times New Roman" w:ascii="Times New Roman" w:hAnsi="Times New Roman"/>
          <w:b w:val="false"/>
          <w:bCs w:val="false"/>
          <w:sz w:val="28"/>
          <w:szCs w:val="28"/>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lang w:val="en-US"/>
        </w:rPr>
        <w:t>5</w:t>
      </w:r>
      <w:r>
        <w:rPr>
          <w:rStyle w:val="S1"/>
          <w:b w:val="false"/>
          <w:bCs w:val="false"/>
          <w:sz w:val="22"/>
          <w:szCs w:val="22"/>
          <w:lang w:val="kk-KZ"/>
        </w:rPr>
        <w:t xml:space="preserve"> </w:t>
      </w:r>
      <w:r>
        <w:rPr>
          <w:rStyle w:val="S1"/>
          <w:b w:val="false"/>
          <w:bCs w:val="false"/>
          <w:sz w:val="22"/>
          <w:szCs w:val="22"/>
        </w:rPr>
        <w:t>лотов).</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25" w:type="dxa"/>
        <w:jc w:val="left"/>
        <w:tblInd w:w="-75" w:type="dxa"/>
        <w:tblCellMar>
          <w:top w:w="0" w:type="dxa"/>
          <w:left w:w="-5" w:type="dxa"/>
          <w:bottom w:w="0" w:type="dxa"/>
          <w:right w:w="108" w:type="dxa"/>
        </w:tblCellMar>
        <w:tblLook w:firstRow="1" w:noVBand="1" w:lastRow="0" w:firstColumn="1" w:lastColumn="0" w:noHBand="0" w:val="04a0"/>
      </w:tblPr>
      <w:tblGrid>
        <w:gridCol w:w="630"/>
        <w:gridCol w:w="2145"/>
        <w:gridCol w:w="5385"/>
        <w:gridCol w:w="1185"/>
        <w:gridCol w:w="1020"/>
        <w:gridCol w:w="855"/>
        <w:gridCol w:w="1125"/>
        <w:gridCol w:w="2278"/>
      </w:tblGrid>
      <w:tr>
        <w:trPr/>
        <w:tc>
          <w:tcPr>
            <w:tcW w:w="630"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2145"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538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1185"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102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855"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12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2278" w:type="dxa"/>
            <w:tcBorders>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02" w:hRule="atLeast"/>
        </w:trPr>
        <w:tc>
          <w:tcPr>
            <w:tcW w:w="63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2145" w:type="dxa"/>
            <w:tcBorders/>
            <w:shd w:color="auto" w:fill="auto" w:val="clear"/>
            <w:tcMar>
              <w:left w:w="-5" w:type="dxa"/>
            </w:tcMar>
          </w:tcPr>
          <w:p>
            <w:pPr>
              <w:pStyle w:val="Normal"/>
              <w:spacing w:lineRule="auto" w:line="240" w:before="0" w:after="0"/>
              <w:jc w:val="both"/>
              <w:rPr>
                <w:sz w:val="22"/>
                <w:szCs w:val="22"/>
              </w:rPr>
            </w:pPr>
            <w:r>
              <w:rPr>
                <w:rFonts w:cs="Times New Roman" w:ascii="Times New Roman" w:hAnsi="Times New Roman"/>
                <w:color w:val="000000"/>
                <w:sz w:val="22"/>
                <w:szCs w:val="22"/>
              </w:rPr>
              <w:t>Набор реагентов</w:t>
            </w:r>
          </w:p>
        </w:tc>
        <w:tc>
          <w:tcPr>
            <w:tcW w:w="5385" w:type="dxa"/>
            <w:tcBorders/>
            <w:shd w:color="auto" w:fill="auto" w:val="clear"/>
            <w:tcMar>
              <w:left w:w="-5" w:type="dxa"/>
            </w:tcMar>
          </w:tcPr>
          <w:p>
            <w:pPr>
              <w:pStyle w:val="Normal"/>
              <w:spacing w:lineRule="auto" w:line="240" w:before="0" w:after="0"/>
              <w:rPr>
                <w:sz w:val="22"/>
                <w:szCs w:val="22"/>
              </w:rPr>
            </w:pPr>
            <w:r>
              <w:rPr>
                <w:rFonts w:cs="Times New Roman" w:ascii="Times New Roman" w:hAnsi="Times New Roman"/>
                <w:color w:val="000000"/>
                <w:sz w:val="22"/>
                <w:szCs w:val="22"/>
              </w:rPr>
              <w:t xml:space="preserve">Набор реагентов в виде специального картриджа для закрытой системы </w:t>
            </w:r>
            <w:r>
              <w:rPr>
                <w:rFonts w:cs="Times New Roman" w:ascii="Times New Roman" w:hAnsi="Times New Roman"/>
                <w:b w:val="false"/>
                <w:bCs w:val="false"/>
                <w:color w:val="000000"/>
                <w:sz w:val="22"/>
                <w:szCs w:val="22"/>
              </w:rPr>
              <w:t>i15 E</w:t>
            </w:r>
            <w:r>
              <w:rPr>
                <w:rFonts w:cs="Times New Roman" w:ascii="Times New Roman" w:hAnsi="Times New Roman"/>
                <w:color w:val="000000"/>
                <w:sz w:val="22"/>
                <w:szCs w:val="22"/>
              </w:rPr>
              <w:t>DAN. Один картридж позволяет выполнить одновременно следующие тесты: pH, pO2, pСO2, K+, Na+, Cl-, Ca++, Hct, Glu, Lac. На борту картриджа должны быть встроенные чип, позволяющий системе автоматически проводить идентификацию, калибровку, а также автоматическая система контроля качества. Время считывания картриджа не более 2 минут. Фасовка: одна упаковка – (</w:t>
            </w:r>
            <w:r>
              <w:rPr>
                <w:rFonts w:cs="Times New Roman" w:ascii="Times New Roman" w:hAnsi="Times New Roman"/>
                <w:color w:val="000000"/>
                <w:sz w:val="22"/>
                <w:szCs w:val="22"/>
              </w:rPr>
              <w:t xml:space="preserve">не менее </w:t>
            </w:r>
            <w:r>
              <w:rPr>
                <w:rFonts w:cs="Times New Roman" w:ascii="Times New Roman" w:hAnsi="Times New Roman"/>
                <w:color w:val="000000"/>
                <w:sz w:val="22"/>
                <w:szCs w:val="22"/>
              </w:rPr>
              <w:t>25 картриджей/упак) (</w:t>
            </w:r>
            <w:r>
              <w:rPr>
                <w:rFonts w:cs="Times New Roman" w:ascii="Times New Roman" w:hAnsi="Times New Roman"/>
                <w:color w:val="000000"/>
                <w:sz w:val="22"/>
                <w:szCs w:val="22"/>
              </w:rPr>
              <w:t xml:space="preserve">не менее </w:t>
            </w:r>
            <w:r>
              <w:rPr>
                <w:rFonts w:cs="Times New Roman" w:ascii="Times New Roman" w:hAnsi="Times New Roman"/>
                <w:color w:val="000000"/>
                <w:sz w:val="22"/>
                <w:szCs w:val="22"/>
              </w:rPr>
              <w:t>4 упаковки/наборе) №100</w:t>
            </w:r>
          </w:p>
        </w:tc>
        <w:tc>
          <w:tcPr>
            <w:tcW w:w="1185" w:type="dxa"/>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Набор</w:t>
            </w:r>
          </w:p>
        </w:tc>
        <w:tc>
          <w:tcPr>
            <w:tcW w:w="1020"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7</w:t>
            </w:r>
          </w:p>
        </w:tc>
        <w:tc>
          <w:tcPr>
            <w:tcW w:w="85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693 000,</w:t>
            </w:r>
            <w:r>
              <w:rPr>
                <w:rFonts w:cs="Times New Roman" w:ascii="Times New Roman" w:hAnsi="Times New Roman"/>
                <w:sz w:val="22"/>
                <w:szCs w:val="22"/>
              </w:rPr>
              <w:t>00</w:t>
            </w:r>
          </w:p>
        </w:tc>
        <w:tc>
          <w:tcPr>
            <w:tcW w:w="1125" w:type="dxa"/>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4 851 000,</w:t>
            </w:r>
            <w:r>
              <w:rPr>
                <w:rFonts w:eastAsia="Times New Roman" w:cs="Times New Roman" w:ascii="Times New Roman" w:hAnsi="Times New Roman"/>
                <w:color w:val="000000"/>
                <w:sz w:val="22"/>
                <w:szCs w:val="22"/>
              </w:rPr>
              <w:t>00</w:t>
            </w:r>
          </w:p>
        </w:tc>
        <w:tc>
          <w:tcPr>
            <w:tcW w:w="2278" w:type="dxa"/>
            <w:tcBorders>
              <w:top w:val="nil"/>
              <w:left w:val="nil"/>
            </w:tcBorders>
            <w:shd w:color="auto" w:fill="auto" w:val="clear"/>
            <w:tcMar>
              <w:top w:w="55" w:type="dxa"/>
              <w:left w:w="58" w:type="dxa"/>
              <w:bottom w:w="5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По заявкам  в течении   2023 по адресу :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pPr>
            <w:r>
              <w:rPr/>
              <w:t>2</w:t>
            </w:r>
          </w:p>
        </w:tc>
        <w:tc>
          <w:tcPr>
            <w:tcW w:w="2145" w:type="dxa"/>
            <w:tcBorders>
              <w:top w:val="nil"/>
            </w:tcBorders>
            <w:shd w:color="auto" w:fill="auto" w:val="clear"/>
            <w:tcMar>
              <w:left w:w="-5" w:type="dxa"/>
            </w:tcMar>
          </w:tcPr>
          <w:p>
            <w:pPr>
              <w:pStyle w:val="Normal"/>
              <w:spacing w:lineRule="auto" w:line="240" w:before="0" w:after="0"/>
              <w:jc w:val="both"/>
              <w:rPr>
                <w:sz w:val="22"/>
                <w:szCs w:val="22"/>
              </w:rPr>
            </w:pPr>
            <w:r>
              <w:rPr>
                <w:rFonts w:cs="Times New Roman" w:ascii="Times New Roman" w:hAnsi="Times New Roman"/>
                <w:color w:val="000000"/>
                <w:sz w:val="22"/>
                <w:szCs w:val="22"/>
              </w:rPr>
              <w:t>Набор реагентов</w:t>
            </w:r>
          </w:p>
        </w:tc>
        <w:tc>
          <w:tcPr>
            <w:tcW w:w="5385" w:type="dxa"/>
            <w:tcBorders>
              <w:top w:val="nil"/>
            </w:tcBorders>
            <w:shd w:color="auto" w:fill="auto" w:val="clear"/>
            <w:tcMar>
              <w:left w:w="-5" w:type="dxa"/>
            </w:tcMar>
          </w:tcPr>
          <w:p>
            <w:pPr>
              <w:pStyle w:val="Normal"/>
              <w:spacing w:lineRule="auto" w:line="240" w:before="0" w:after="0"/>
              <w:rPr>
                <w:sz w:val="22"/>
                <w:szCs w:val="22"/>
              </w:rPr>
            </w:pPr>
            <w:r>
              <w:rPr>
                <w:rFonts w:cs="Times New Roman" w:ascii="Times New Roman" w:hAnsi="Times New Roman"/>
                <w:color w:val="000000"/>
                <w:sz w:val="22"/>
                <w:szCs w:val="22"/>
              </w:rPr>
              <w:t>BGE жидкий реагент для Контроля качества-Уровень 1 (лактат, глюкоза) в крови (</w:t>
            </w:r>
            <w:r>
              <w:rPr>
                <w:rFonts w:cs="Times New Roman" w:ascii="Times New Roman" w:hAnsi="Times New Roman"/>
                <w:color w:val="000000"/>
                <w:sz w:val="22"/>
                <w:szCs w:val="22"/>
              </w:rPr>
              <w:t xml:space="preserve">не менее </w:t>
            </w:r>
            <w:r>
              <w:rPr>
                <w:rFonts w:cs="Times New Roman" w:ascii="Times New Roman" w:hAnsi="Times New Roman"/>
                <w:color w:val="000000"/>
                <w:sz w:val="22"/>
                <w:szCs w:val="22"/>
              </w:rPr>
              <w:t>5 ампул в наборе)</w:t>
            </w:r>
          </w:p>
        </w:tc>
        <w:tc>
          <w:tcPr>
            <w:tcW w:w="1185"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Набор</w:t>
            </w:r>
          </w:p>
        </w:tc>
        <w:tc>
          <w:tcPr>
            <w:tcW w:w="102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4</w:t>
            </w:r>
          </w:p>
        </w:tc>
        <w:tc>
          <w:tcPr>
            <w:tcW w:w="8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34 900,</w:t>
            </w:r>
            <w:r>
              <w:rPr>
                <w:rFonts w:cs="Times New Roman" w:ascii="Times New Roman" w:hAnsi="Times New Roman"/>
                <w:sz w:val="22"/>
                <w:szCs w:val="22"/>
              </w:rPr>
              <w:t>00</w:t>
            </w:r>
          </w:p>
        </w:tc>
        <w:tc>
          <w:tcPr>
            <w:tcW w:w="1125"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139 600,</w:t>
            </w:r>
            <w:r>
              <w:rPr>
                <w:rFonts w:eastAsia="Times New Roman" w:cs="Times New Roman" w:ascii="Times New Roman" w:hAnsi="Times New Roman"/>
                <w:color w:val="000000"/>
                <w:sz w:val="22"/>
                <w:szCs w:val="22"/>
              </w:rPr>
              <w:t>00</w:t>
            </w:r>
          </w:p>
        </w:tc>
        <w:tc>
          <w:tcPr>
            <w:tcW w:w="2278" w:type="dxa"/>
            <w:tcBorders>
              <w:top w:val="nil"/>
              <w:left w:val="nil"/>
            </w:tcBorders>
            <w:shd w:color="auto" w:fill="auto" w:val="clear"/>
            <w:tcMar>
              <w:top w:w="55" w:type="dxa"/>
              <w:left w:w="58" w:type="dxa"/>
              <w:bottom w:w="5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По заявкам  в течении   2023 по адресу : Глубоковский район, село Опытное поле, ул. Локомотивная 3/1, аптека</w:t>
            </w:r>
          </w:p>
        </w:tc>
      </w:tr>
      <w:tr>
        <w:trPr>
          <w:trHeight w:val="390" w:hRule="atLeast"/>
        </w:trPr>
        <w:tc>
          <w:tcPr>
            <w:tcW w:w="630" w:type="dxa"/>
            <w:tcBorders>
              <w:top w:val="nil"/>
            </w:tcBorders>
            <w:shd w:color="auto" w:fill="auto" w:val="clear"/>
            <w:tcMar>
              <w:left w:w="-5" w:type="dxa"/>
            </w:tcMar>
          </w:tcPr>
          <w:p>
            <w:pPr>
              <w:pStyle w:val="Normal"/>
              <w:spacing w:lineRule="auto" w:line="240" w:before="0" w:after="0"/>
              <w:jc w:val="center"/>
              <w:rPr/>
            </w:pPr>
            <w:r>
              <w:rPr/>
              <w:t>3</w:t>
            </w:r>
          </w:p>
        </w:tc>
        <w:tc>
          <w:tcPr>
            <w:tcW w:w="2145" w:type="dxa"/>
            <w:tcBorders>
              <w:top w:val="nil"/>
            </w:tcBorders>
            <w:shd w:color="auto" w:fill="auto" w:val="clear"/>
            <w:tcMar>
              <w:left w:w="-5" w:type="dxa"/>
            </w:tcMar>
          </w:tcPr>
          <w:p>
            <w:pPr>
              <w:pStyle w:val="Normal"/>
              <w:spacing w:lineRule="auto" w:line="240" w:before="0" w:after="0"/>
              <w:jc w:val="both"/>
              <w:rPr>
                <w:sz w:val="22"/>
                <w:szCs w:val="22"/>
              </w:rPr>
            </w:pPr>
            <w:r>
              <w:rPr>
                <w:rFonts w:cs="Times New Roman" w:ascii="Times New Roman" w:hAnsi="Times New Roman"/>
                <w:color w:val="000000"/>
                <w:sz w:val="22"/>
                <w:szCs w:val="22"/>
              </w:rPr>
              <w:t>Набор реагентов</w:t>
            </w:r>
          </w:p>
        </w:tc>
        <w:tc>
          <w:tcPr>
            <w:tcW w:w="5385" w:type="dxa"/>
            <w:tcBorders>
              <w:top w:val="nil"/>
            </w:tcBorders>
            <w:shd w:color="auto" w:fill="auto" w:val="clear"/>
            <w:tcMar>
              <w:left w:w="-5" w:type="dxa"/>
            </w:tcMar>
          </w:tcPr>
          <w:p>
            <w:pPr>
              <w:pStyle w:val="Normal"/>
              <w:spacing w:lineRule="auto" w:line="240" w:before="0" w:after="0"/>
              <w:rPr>
                <w:sz w:val="22"/>
                <w:szCs w:val="22"/>
              </w:rPr>
            </w:pPr>
            <w:r>
              <w:rPr>
                <w:rFonts w:cs="Times New Roman" w:ascii="Times New Roman" w:hAnsi="Times New Roman"/>
                <w:color w:val="000000"/>
                <w:sz w:val="22"/>
                <w:szCs w:val="22"/>
              </w:rPr>
              <w:t>BGE жидкий реагент для Контроля качества-Уровень 2 (</w:t>
            </w:r>
            <w:r>
              <w:rPr>
                <w:rFonts w:cs="Times New Roman" w:ascii="Times New Roman" w:hAnsi="Times New Roman"/>
                <w:color w:val="000000"/>
                <w:sz w:val="22"/>
                <w:szCs w:val="22"/>
              </w:rPr>
              <w:t xml:space="preserve">не менее </w:t>
            </w:r>
            <w:r>
              <w:rPr>
                <w:rFonts w:cs="Times New Roman" w:ascii="Times New Roman" w:hAnsi="Times New Roman"/>
                <w:color w:val="000000"/>
                <w:sz w:val="22"/>
                <w:szCs w:val="22"/>
              </w:rPr>
              <w:t>5 ампул в наборе)</w:t>
            </w:r>
          </w:p>
        </w:tc>
        <w:tc>
          <w:tcPr>
            <w:tcW w:w="1185"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Набор</w:t>
            </w:r>
          </w:p>
        </w:tc>
        <w:tc>
          <w:tcPr>
            <w:tcW w:w="102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4</w:t>
            </w:r>
          </w:p>
        </w:tc>
        <w:tc>
          <w:tcPr>
            <w:tcW w:w="8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34 900,</w:t>
            </w:r>
            <w:r>
              <w:rPr>
                <w:rFonts w:cs="Times New Roman" w:ascii="Times New Roman" w:hAnsi="Times New Roman"/>
                <w:sz w:val="22"/>
                <w:szCs w:val="22"/>
              </w:rPr>
              <w:t>00</w:t>
            </w:r>
          </w:p>
        </w:tc>
        <w:tc>
          <w:tcPr>
            <w:tcW w:w="1125"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139 600,</w:t>
            </w:r>
            <w:r>
              <w:rPr>
                <w:rFonts w:eastAsia="Times New Roman" w:cs="Times New Roman" w:ascii="Times New Roman" w:hAnsi="Times New Roman"/>
                <w:color w:val="000000"/>
                <w:sz w:val="22"/>
                <w:szCs w:val="22"/>
              </w:rPr>
              <w:t>00</w:t>
            </w:r>
          </w:p>
        </w:tc>
        <w:tc>
          <w:tcPr>
            <w:tcW w:w="2278" w:type="dxa"/>
            <w:tcBorders>
              <w:top w:val="nil"/>
              <w:left w:val="nil"/>
            </w:tcBorders>
            <w:shd w:color="auto" w:fill="auto" w:val="clear"/>
            <w:tcMar>
              <w:top w:w="55" w:type="dxa"/>
              <w:left w:w="58" w:type="dxa"/>
              <w:bottom w:w="5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По заявкам  в течении   2023 по адресу :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pPr>
            <w:r>
              <w:rPr/>
              <w:t>4</w:t>
            </w:r>
          </w:p>
        </w:tc>
        <w:tc>
          <w:tcPr>
            <w:tcW w:w="2145" w:type="dxa"/>
            <w:tcBorders>
              <w:top w:val="nil"/>
            </w:tcBorders>
            <w:shd w:color="auto" w:fill="auto" w:val="clear"/>
            <w:tcMar>
              <w:left w:w="-5" w:type="dxa"/>
            </w:tcMar>
          </w:tcPr>
          <w:p>
            <w:pPr>
              <w:pStyle w:val="Normal"/>
              <w:spacing w:lineRule="auto" w:line="240" w:before="0" w:after="0"/>
              <w:jc w:val="both"/>
              <w:rPr>
                <w:sz w:val="22"/>
                <w:szCs w:val="22"/>
              </w:rPr>
            </w:pPr>
            <w:r>
              <w:rPr>
                <w:rFonts w:cs="Times New Roman" w:ascii="Times New Roman" w:hAnsi="Times New Roman"/>
                <w:color w:val="000000"/>
                <w:sz w:val="22"/>
                <w:szCs w:val="22"/>
              </w:rPr>
              <w:t>Набор реагентов</w:t>
            </w:r>
          </w:p>
        </w:tc>
        <w:tc>
          <w:tcPr>
            <w:tcW w:w="5385" w:type="dxa"/>
            <w:tcBorders>
              <w:top w:val="nil"/>
            </w:tcBorders>
            <w:shd w:color="auto" w:fill="auto" w:val="clear"/>
            <w:tcMar>
              <w:left w:w="-5" w:type="dxa"/>
            </w:tcMar>
          </w:tcPr>
          <w:p>
            <w:pPr>
              <w:pStyle w:val="Normal"/>
              <w:spacing w:lineRule="auto" w:line="240" w:before="0" w:after="0"/>
              <w:rPr>
                <w:sz w:val="22"/>
                <w:szCs w:val="22"/>
              </w:rPr>
            </w:pPr>
            <w:r>
              <w:rPr>
                <w:rFonts w:cs="Times New Roman" w:ascii="Times New Roman" w:hAnsi="Times New Roman"/>
                <w:color w:val="000000"/>
                <w:sz w:val="22"/>
                <w:szCs w:val="22"/>
              </w:rPr>
              <w:t>BGE жидкий реагент для Контроля качества-Уровень 3 (</w:t>
            </w:r>
            <w:r>
              <w:rPr>
                <w:rFonts w:cs="Times New Roman" w:ascii="Times New Roman" w:hAnsi="Times New Roman"/>
                <w:color w:val="000000"/>
                <w:sz w:val="22"/>
                <w:szCs w:val="22"/>
              </w:rPr>
              <w:t xml:space="preserve">не менее </w:t>
            </w:r>
            <w:r>
              <w:rPr>
                <w:rFonts w:cs="Times New Roman" w:ascii="Times New Roman" w:hAnsi="Times New Roman"/>
                <w:color w:val="000000"/>
                <w:sz w:val="22"/>
                <w:szCs w:val="22"/>
              </w:rPr>
              <w:t>5 ампул в наборе)</w:t>
            </w:r>
          </w:p>
        </w:tc>
        <w:tc>
          <w:tcPr>
            <w:tcW w:w="1185"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Набор</w:t>
            </w:r>
          </w:p>
        </w:tc>
        <w:tc>
          <w:tcPr>
            <w:tcW w:w="102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4</w:t>
            </w:r>
          </w:p>
        </w:tc>
        <w:tc>
          <w:tcPr>
            <w:tcW w:w="8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34 900,</w:t>
            </w:r>
            <w:r>
              <w:rPr>
                <w:rFonts w:cs="Times New Roman" w:ascii="Times New Roman" w:hAnsi="Times New Roman"/>
                <w:sz w:val="22"/>
                <w:szCs w:val="22"/>
              </w:rPr>
              <w:t>00</w:t>
            </w:r>
          </w:p>
        </w:tc>
        <w:tc>
          <w:tcPr>
            <w:tcW w:w="1125"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139 600,</w:t>
            </w:r>
            <w:r>
              <w:rPr>
                <w:rFonts w:eastAsia="Times New Roman" w:cs="Times New Roman" w:ascii="Times New Roman" w:hAnsi="Times New Roman"/>
                <w:color w:val="000000"/>
                <w:sz w:val="22"/>
                <w:szCs w:val="22"/>
              </w:rPr>
              <w:t>00</w:t>
            </w:r>
          </w:p>
        </w:tc>
        <w:tc>
          <w:tcPr>
            <w:tcW w:w="2278" w:type="dxa"/>
            <w:tcBorders>
              <w:top w:val="nil"/>
              <w:left w:val="nil"/>
            </w:tcBorders>
            <w:shd w:color="auto" w:fill="auto" w:val="clear"/>
            <w:tcMar>
              <w:top w:w="55" w:type="dxa"/>
              <w:left w:w="58" w:type="dxa"/>
              <w:bottom w:w="5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По заявкам  в течении   2023 по адресу :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pPr>
            <w:r>
              <w:rPr/>
              <w:t>5</w:t>
            </w:r>
          </w:p>
        </w:tc>
        <w:tc>
          <w:tcPr>
            <w:tcW w:w="2145" w:type="dxa"/>
            <w:tcBorders>
              <w:top w:val="nil"/>
            </w:tcBorders>
            <w:shd w:color="auto" w:fill="auto" w:val="clear"/>
            <w:tcMar>
              <w:left w:w="-5" w:type="dxa"/>
            </w:tcMar>
          </w:tcPr>
          <w:p>
            <w:pPr>
              <w:pStyle w:val="NormalWeb"/>
              <w:spacing w:lineRule="auto" w:line="240" w:before="280" w:after="0"/>
              <w:jc w:val="both"/>
              <w:rPr>
                <w:sz w:val="22"/>
                <w:szCs w:val="22"/>
              </w:rPr>
            </w:pPr>
            <w:r>
              <w:rPr>
                <w:color w:val="000000"/>
                <w:sz w:val="22"/>
                <w:szCs w:val="22"/>
                <w:shd w:fill="FFFFFF" w:val="clear"/>
              </w:rPr>
              <w:t>Шприцы с сухим гепарином для анализа газов крови 2 мл №50</w:t>
            </w:r>
          </w:p>
        </w:tc>
        <w:tc>
          <w:tcPr>
            <w:tcW w:w="5385" w:type="dxa"/>
            <w:tcBorders>
              <w:top w:val="nil"/>
            </w:tcBorders>
            <w:shd w:color="auto" w:fill="auto" w:val="clear"/>
            <w:tcMar>
              <w:left w:w="-5" w:type="dxa"/>
            </w:tcMar>
          </w:tcPr>
          <w:p>
            <w:pPr>
              <w:pStyle w:val="NormalWeb"/>
              <w:spacing w:lineRule="auto" w:line="240" w:before="280" w:after="0"/>
              <w:rPr>
                <w:sz w:val="22"/>
                <w:szCs w:val="22"/>
              </w:rPr>
            </w:pPr>
            <w:r>
              <w:rPr>
                <w:color w:val="000000"/>
                <w:sz w:val="22"/>
                <w:szCs w:val="22"/>
                <w:shd w:fill="FFFFFF" w:val="clear"/>
              </w:rPr>
              <w:t>Шприцы с сухим гепарином для анализа газов крови 2 мл №50</w:t>
            </w:r>
          </w:p>
        </w:tc>
        <w:tc>
          <w:tcPr>
            <w:tcW w:w="1185"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Упак</w:t>
            </w:r>
          </w:p>
        </w:tc>
        <w:tc>
          <w:tcPr>
            <w:tcW w:w="102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14</w:t>
            </w:r>
          </w:p>
        </w:tc>
        <w:tc>
          <w:tcPr>
            <w:tcW w:w="8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34 500,</w:t>
            </w:r>
            <w:r>
              <w:rPr>
                <w:rFonts w:cs="Times New Roman" w:ascii="Times New Roman" w:hAnsi="Times New Roman"/>
                <w:sz w:val="22"/>
                <w:szCs w:val="22"/>
              </w:rPr>
              <w:t>00</w:t>
            </w:r>
          </w:p>
        </w:tc>
        <w:tc>
          <w:tcPr>
            <w:tcW w:w="1125"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483 000,</w:t>
            </w:r>
            <w:r>
              <w:rPr>
                <w:rFonts w:eastAsia="Times New Roman" w:cs="Times New Roman" w:ascii="Times New Roman" w:hAnsi="Times New Roman"/>
                <w:color w:val="000000"/>
                <w:sz w:val="22"/>
                <w:szCs w:val="22"/>
              </w:rPr>
              <w:t>00</w:t>
            </w:r>
          </w:p>
        </w:tc>
        <w:tc>
          <w:tcPr>
            <w:tcW w:w="2278" w:type="dxa"/>
            <w:tcBorders>
              <w:top w:val="nil"/>
              <w:left w:val="nil"/>
            </w:tcBorders>
            <w:shd w:color="auto" w:fill="auto" w:val="clear"/>
            <w:tcMar>
              <w:top w:w="55" w:type="dxa"/>
              <w:left w:w="58" w:type="dxa"/>
              <w:bottom w:w="5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По заявкам  в течении   2023 по адресу : Глубоковский район, село Опытное поле, ул. Локомотивная 3/1, аптека</w:t>
            </w:r>
          </w:p>
        </w:tc>
      </w:tr>
    </w:tbl>
    <w:p>
      <w:pPr>
        <w:pStyle w:val="Normal"/>
        <w:spacing w:before="0" w:after="29"/>
        <w:ind w:firstLine="400"/>
        <w:jc w:val="both"/>
        <w:rPr/>
      </w:pPr>
      <w:r>
        <w:rPr>
          <w:rStyle w:val="S0"/>
          <w:sz w:val="22"/>
          <w:szCs w:val="22"/>
        </w:rPr>
        <w:tab/>
      </w:r>
    </w:p>
    <w:p>
      <w:pPr>
        <w:pStyle w:val="Normal"/>
        <w:spacing w:before="0" w:after="29"/>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kk-KZ"/>
        </w:rPr>
        <w:t>28</w:t>
      </w:r>
      <w:r>
        <w:rPr>
          <w:rStyle w:val="S0"/>
          <w:sz w:val="22"/>
          <w:szCs w:val="22"/>
        </w:rPr>
        <w:t xml:space="preserve"> </w:t>
      </w:r>
      <w:r>
        <w:rPr>
          <w:rStyle w:val="S0"/>
          <w:sz w:val="22"/>
          <w:szCs w:val="22"/>
          <w:lang w:val="kk-KZ"/>
        </w:rPr>
        <w:t>марта</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 xml:space="preserve">до  </w:t>
      </w:r>
      <w:r>
        <w:rPr>
          <w:rStyle w:val="S0"/>
          <w:sz w:val="22"/>
          <w:szCs w:val="22"/>
          <w:lang w:val="kk-KZ"/>
        </w:rPr>
        <w:t>08</w:t>
      </w:r>
      <w:r>
        <w:rPr>
          <w:rStyle w:val="S0"/>
          <w:sz w:val="22"/>
          <w:szCs w:val="22"/>
        </w:rPr>
        <w:t xml:space="preserve"> часов </w:t>
      </w:r>
      <w:r>
        <w:rPr>
          <w:rStyle w:val="S0"/>
          <w:sz w:val="22"/>
          <w:szCs w:val="22"/>
          <w:lang w:val="ru-RU"/>
        </w:rPr>
        <w:t>15</w:t>
      </w:r>
      <w:r>
        <w:rPr>
          <w:rStyle w:val="S0"/>
          <w:sz w:val="22"/>
          <w:szCs w:val="22"/>
        </w:rPr>
        <w:t xml:space="preserve"> минут 04</w:t>
      </w:r>
      <w:r>
        <w:rPr>
          <w:rStyle w:val="S0"/>
          <w:sz w:val="22"/>
          <w:szCs w:val="22"/>
          <w:lang w:val="ru-RU"/>
        </w:rPr>
        <w:t xml:space="preserve"> апреля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sz w:val="22"/>
          <w:szCs w:val="22"/>
          <w:lang w:val="kk-KZ"/>
        </w:rPr>
        <w:t>04</w:t>
      </w:r>
      <w:r>
        <w:rPr>
          <w:rStyle w:val="S0"/>
          <w:sz w:val="22"/>
          <w:szCs w:val="22"/>
          <w:lang w:val="ru-RU"/>
        </w:rPr>
        <w:t xml:space="preserve"> апреля</w:t>
      </w:r>
      <w:r>
        <w:rPr>
          <w:rStyle w:val="S0"/>
          <w:sz w:val="22"/>
          <w:szCs w:val="22"/>
        </w:rPr>
        <w:t xml:space="preserve"> 2023 года в 09 часов </w:t>
      </w:r>
      <w:r>
        <w:rPr>
          <w:rStyle w:val="S0"/>
          <w:sz w:val="22"/>
          <w:szCs w:val="22"/>
          <w:lang w:val="ru-RU"/>
        </w:rPr>
        <w:t>3</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en-US"/>
        </w:rPr>
        <w:t>9</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МИ</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val="false"/>
          <w:b w:val="false"/>
          <w:bCs w:val="false"/>
          <w:sz w:val="28"/>
          <w:szCs w:val="28"/>
          <w:lang w:val="kk-KZ"/>
        </w:rPr>
      </w:pPr>
      <w:r>
        <w:rPr>
          <w:rFonts w:cs="Times New Roman" w:ascii="Times New Roman" w:hAnsi="Times New Roman"/>
          <w:b w:val="false"/>
          <w:bCs w:val="false"/>
          <w:sz w:val="28"/>
          <w:szCs w:val="28"/>
          <w:lang w:val="kk-KZ"/>
        </w:rPr>
        <w:t>Газ оптикалық анализаторына және жабық типтегі I 15 қан химиясына арналған шығын материалдары</w:t>
      </w:r>
    </w:p>
    <w:p>
      <w:pPr>
        <w:pStyle w:val="Normal"/>
        <w:spacing w:lineRule="auto" w:line="240" w:before="0" w:after="0"/>
        <w:jc w:val="center"/>
        <w:rPr>
          <w:rFonts w:ascii="Times New Roman" w:hAnsi="Times New Roman" w:cs="Times New Roman"/>
          <w:b w:val="false"/>
          <w:b w:val="false"/>
          <w:bCs w:val="false"/>
          <w:sz w:val="28"/>
          <w:szCs w:val="28"/>
          <w:lang w:val="kk-KZ"/>
        </w:rPr>
      </w:pPr>
      <w:r>
        <w:rPr>
          <w:rFonts w:cs="Times New Roman" w:ascii="Times New Roman" w:hAnsi="Times New Roman"/>
          <w:b w:val="false"/>
          <w:bCs w:val="false"/>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w:t>
      </w:r>
      <w:r>
        <w:rPr>
          <w:rFonts w:ascii="Times New Roman" w:hAnsi="Times New Roman"/>
          <w:sz w:val="22"/>
          <w:szCs w:val="22"/>
          <w:lang w:val="ru-RU"/>
        </w:rPr>
        <w:t>5</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40" w:type="dxa"/>
        <w:jc w:val="left"/>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480"/>
        <w:gridCol w:w="2295"/>
        <w:gridCol w:w="3795"/>
        <w:gridCol w:w="1020"/>
        <w:gridCol w:w="915"/>
        <w:gridCol w:w="1410"/>
        <w:gridCol w:w="1245"/>
        <w:gridCol w:w="3478"/>
      </w:tblGrid>
      <w:tr>
        <w:trPr/>
        <w:tc>
          <w:tcPr>
            <w:tcW w:w="4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22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3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10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3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4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22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Реагенттер жиынтығы</w:t>
            </w:r>
          </w:p>
        </w:tc>
        <w:tc>
          <w:tcPr>
            <w:tcW w:w="3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cs="Times New Roman" w:ascii="Times New Roman" w:hAnsi="Times New Roman"/>
                <w:color w:val="000000"/>
                <w:sz w:val="22"/>
                <w:szCs w:val="22"/>
              </w:rPr>
              <w:t>I15 Edan жабық жүйесіне арналған арнайы картридж түріндегі реагенттер жиынтығы. Бір картридж келесі сынақтарды бір уақытта орындауға мүмкіндік береді: РН, pO2, pco2, K+, Na+, Cl-, CA++, Hct, Glu, Lac. Картридждің бортында жүйеге автоматты түрде сәйкестендіруге, калибрлеуге, сондай-ақ сапаны бақылаудың автоматты жүйесіне мүмкіндік беретін кіріктірілген чип болуы керек. Картриджді оқу уақыты 2 минуттан аспайды. Қаптама: бір қаптама - (кемінде 25 картридж / пакет) (кемінде 4 пакет / жинақ) №100</w:t>
            </w:r>
          </w:p>
        </w:tc>
        <w:tc>
          <w:tcPr>
            <w:tcW w:w="10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7</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693 000,</w:t>
            </w:r>
            <w:r>
              <w:rPr>
                <w:rFonts w:cs="Times New Roman" w:ascii="Times New Roman" w:hAnsi="Times New Roman"/>
                <w:sz w:val="22"/>
                <w:szCs w:val="22"/>
              </w:rPr>
              <w:t>00</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4 851 000,</w:t>
            </w:r>
            <w:r>
              <w:rPr>
                <w:rFonts w:eastAsia="Times New Roman" w:cs="Times New Roman" w:ascii="Times New Roman" w:hAnsi="Times New Roman"/>
                <w:color w:val="000000"/>
                <w:sz w:val="22"/>
                <w:szCs w:val="22"/>
              </w:rPr>
              <w:t>00</w:t>
            </w:r>
          </w:p>
        </w:tc>
        <w:tc>
          <w:tcPr>
            <w:tcW w:w="3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 xml:space="preserve">Өтінімдер бойынша 2023 жыл ішінде мына мекен-жай бойынша :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r>
        <w:trPr>
          <w:trHeight w:val="345" w:hRule="atLeast"/>
        </w:trPr>
        <w:tc>
          <w:tcPr>
            <w:tcW w:w="4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2</w:t>
            </w:r>
          </w:p>
        </w:tc>
        <w:tc>
          <w:tcPr>
            <w:tcW w:w="22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Реагенттер жиынтығы</w:t>
            </w:r>
          </w:p>
        </w:tc>
        <w:tc>
          <w:tcPr>
            <w:tcW w:w="3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BGE сұйық сапаны бақылау реагенті-қандағы 1 деңгей (лактат, глюкоза) (жиынтықта кемінде 5 ампула)</w:t>
            </w:r>
          </w:p>
        </w:tc>
        <w:tc>
          <w:tcPr>
            <w:tcW w:w="10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4</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34 900,</w:t>
            </w:r>
            <w:r>
              <w:rPr>
                <w:rFonts w:cs="Times New Roman" w:ascii="Times New Roman" w:hAnsi="Times New Roman"/>
                <w:sz w:val="22"/>
                <w:szCs w:val="22"/>
              </w:rPr>
              <w:t>00</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139 600,</w:t>
            </w:r>
            <w:r>
              <w:rPr>
                <w:rFonts w:eastAsia="Times New Roman" w:cs="Times New Roman" w:ascii="Times New Roman" w:hAnsi="Times New Roman"/>
                <w:color w:val="000000"/>
                <w:sz w:val="22"/>
                <w:szCs w:val="22"/>
              </w:rPr>
              <w:t>00</w:t>
            </w:r>
          </w:p>
        </w:tc>
        <w:tc>
          <w:tcPr>
            <w:tcW w:w="3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 xml:space="preserve">Өтінімдер бойынша 2023 жыл ішінде мына мекен-жай бойынша :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r>
        <w:trPr>
          <w:trHeight w:val="345" w:hRule="atLeast"/>
        </w:trPr>
        <w:tc>
          <w:tcPr>
            <w:tcW w:w="4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3</w:t>
            </w:r>
          </w:p>
        </w:tc>
        <w:tc>
          <w:tcPr>
            <w:tcW w:w="22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Реагенттер жиынтығы</w:t>
            </w:r>
          </w:p>
        </w:tc>
        <w:tc>
          <w:tcPr>
            <w:tcW w:w="3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BGE сұйық сапаны бақылау реагенті-2 деңгей (жиынтықта кемінде 5 ампула)</w:t>
            </w:r>
          </w:p>
        </w:tc>
        <w:tc>
          <w:tcPr>
            <w:tcW w:w="10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4</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34 900,</w:t>
            </w:r>
            <w:r>
              <w:rPr>
                <w:rFonts w:cs="Times New Roman" w:ascii="Times New Roman" w:hAnsi="Times New Roman"/>
                <w:sz w:val="22"/>
                <w:szCs w:val="22"/>
              </w:rPr>
              <w:t>00</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139 600,</w:t>
            </w:r>
            <w:r>
              <w:rPr>
                <w:rFonts w:eastAsia="Times New Roman" w:cs="Times New Roman" w:ascii="Times New Roman" w:hAnsi="Times New Roman"/>
                <w:color w:val="000000"/>
                <w:sz w:val="22"/>
                <w:szCs w:val="22"/>
              </w:rPr>
              <w:t>00</w:t>
            </w:r>
          </w:p>
        </w:tc>
        <w:tc>
          <w:tcPr>
            <w:tcW w:w="3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 xml:space="preserve">Өтінімдер бойынша 2023 жыл ішінде мына мекен-жай бойынша :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r>
        <w:trPr>
          <w:trHeight w:val="345" w:hRule="atLeast"/>
        </w:trPr>
        <w:tc>
          <w:tcPr>
            <w:tcW w:w="4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4</w:t>
            </w:r>
          </w:p>
        </w:tc>
        <w:tc>
          <w:tcPr>
            <w:tcW w:w="22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Реагенттер жиынтығы</w:t>
            </w:r>
          </w:p>
        </w:tc>
        <w:tc>
          <w:tcPr>
            <w:tcW w:w="3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BGE сұйық сапаны бақылау реагенті-3 деңгей (жиынтықта кемінде 5 ампула)</w:t>
            </w:r>
          </w:p>
        </w:tc>
        <w:tc>
          <w:tcPr>
            <w:tcW w:w="10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Жинақ</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4</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34 900,</w:t>
            </w:r>
            <w:r>
              <w:rPr>
                <w:rFonts w:cs="Times New Roman" w:ascii="Times New Roman" w:hAnsi="Times New Roman"/>
                <w:sz w:val="22"/>
                <w:szCs w:val="22"/>
              </w:rPr>
              <w:t>00</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139 600,</w:t>
            </w:r>
            <w:r>
              <w:rPr>
                <w:rFonts w:eastAsia="Times New Roman" w:cs="Times New Roman" w:ascii="Times New Roman" w:hAnsi="Times New Roman"/>
                <w:color w:val="000000"/>
                <w:sz w:val="22"/>
                <w:szCs w:val="22"/>
              </w:rPr>
              <w:t>00</w:t>
            </w:r>
          </w:p>
        </w:tc>
        <w:tc>
          <w:tcPr>
            <w:tcW w:w="3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 xml:space="preserve">Өтінімдер бойынша 2023 жыл ішінде мына мекен-жай бойынша :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r>
        <w:trPr>
          <w:trHeight w:val="345" w:hRule="atLeast"/>
        </w:trPr>
        <w:tc>
          <w:tcPr>
            <w:tcW w:w="4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5</w:t>
            </w:r>
          </w:p>
        </w:tc>
        <w:tc>
          <w:tcPr>
            <w:tcW w:w="22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color w:val="000000"/>
              </w:rPr>
              <w:t>Қан газын талдауға арналған құрғақ гепарин шприцтері 2 мл №50</w:t>
            </w:r>
          </w:p>
        </w:tc>
        <w:tc>
          <w:tcPr>
            <w:tcW w:w="3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Қан газын талдауға арналған құрғақ гепарин шприцтері 2 мл №50</w:t>
            </w:r>
          </w:p>
        </w:tc>
        <w:tc>
          <w:tcPr>
            <w:tcW w:w="10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орау</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14</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34 500,</w:t>
            </w:r>
            <w:r>
              <w:rPr>
                <w:rFonts w:cs="Times New Roman" w:ascii="Times New Roman" w:hAnsi="Times New Roman"/>
                <w:sz w:val="22"/>
                <w:szCs w:val="22"/>
              </w:rPr>
              <w:t>00</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483 000,</w:t>
            </w:r>
            <w:r>
              <w:rPr>
                <w:rFonts w:eastAsia="Times New Roman" w:cs="Times New Roman" w:ascii="Times New Roman" w:hAnsi="Times New Roman"/>
                <w:color w:val="000000"/>
                <w:sz w:val="22"/>
                <w:szCs w:val="22"/>
              </w:rPr>
              <w:t>00</w:t>
            </w:r>
          </w:p>
        </w:tc>
        <w:tc>
          <w:tcPr>
            <w:tcW w:w="34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 xml:space="preserve">Өтінімдер бойынша 2023 жыл ішінде мына мекен-жай бойынша :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bl>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28</w:t>
      </w:r>
      <w:r>
        <w:rPr>
          <w:rFonts w:ascii="Times New Roman" w:hAnsi="Times New Roman"/>
          <w:color w:val="000000"/>
          <w:sz w:val="22"/>
          <w:szCs w:val="22"/>
          <w:lang w:val="kk-KZ"/>
        </w:rPr>
        <w:t xml:space="preserve"> наурызнан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bookmarkStart w:id="1" w:name="__DdeLink__511_975272006"/>
      <w:r>
        <w:rPr>
          <w:rFonts w:ascii="Times New Roman" w:hAnsi="Times New Roman"/>
          <w:color w:val="000000"/>
          <w:sz w:val="22"/>
          <w:szCs w:val="22"/>
          <w:lang w:val="ru-RU"/>
        </w:rPr>
        <w:t>04</w:t>
      </w:r>
      <w:r>
        <w:rPr>
          <w:rFonts w:ascii="Times New Roman" w:hAnsi="Times New Roman"/>
          <w:color w:val="000000"/>
          <w:sz w:val="22"/>
          <w:szCs w:val="22"/>
          <w:lang w:val="kk-KZ"/>
        </w:rPr>
        <w:t xml:space="preserve"> сәуірде</w:t>
      </w:r>
      <w:bookmarkEnd w:id="1"/>
      <w:r>
        <w:rPr>
          <w:rFonts w:ascii="Times New Roman" w:hAnsi="Times New Roman"/>
          <w:color w:val="000000"/>
          <w:sz w:val="22"/>
          <w:szCs w:val="22"/>
          <w:lang w:val="kk-KZ"/>
        </w:rPr>
        <w:t xml:space="preserve"> 08 сағат 15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color w:val="000000"/>
          <w:sz w:val="22"/>
          <w:szCs w:val="22"/>
          <w:lang w:val="ru-RU"/>
        </w:rPr>
        <w:t>04</w:t>
      </w:r>
      <w:r>
        <w:rPr>
          <w:rFonts w:ascii="Times New Roman" w:hAnsi="Times New Roman"/>
          <w:color w:val="000000"/>
          <w:sz w:val="22"/>
          <w:szCs w:val="22"/>
          <w:lang w:val="kk-KZ"/>
        </w:rPr>
        <w:t xml:space="preserve"> сәуірде 09 сағат </w:t>
      </w:r>
      <w:r>
        <w:rPr>
          <w:rFonts w:ascii="Times New Roman" w:hAnsi="Times New Roman"/>
          <w:color w:val="000000"/>
          <w:sz w:val="22"/>
          <w:szCs w:val="22"/>
          <w:lang w:val="kk-KZ"/>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2489</TotalTime>
  <Application>LibreOffice/5.2.2.2$Windows_X86_64 LibreOffice_project/8f96e87c890bf8fa77463cd4b640a2312823f3ad</Application>
  <Pages>4</Pages>
  <Words>1139</Words>
  <Characters>7412</Characters>
  <CharactersWithSpaces>8510</CharactersWithSpaces>
  <Paragraphs>113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2023-03-27T19:54:54Z</cp:lastPrinted>
  <dcterms:modified xsi:type="dcterms:W3CDTF">2023-03-27T19:56:31Z</dcterms:modified>
  <cp:revision>248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