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1</w:t>
      </w:r>
      <w:r>
        <w:rPr>
          <w:rFonts w:cs="Times New Roman"/>
          <w:lang w:val="ru-RU"/>
        </w:rPr>
        <w:t>4</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t>16.04.2024 года</w:t>
      </w:r>
    </w:p>
    <w:p>
      <w:pPr>
        <w:pStyle w:val="Standard"/>
        <w:rPr>
          <w:rFonts w:cs="Times New Roman"/>
          <w:lang w:val="ru-RU"/>
        </w:rPr>
      </w:pPr>
      <w:r>
        <w:rPr>
          <w:rFonts w:cs="Times New Roman"/>
          <w:lang w:val="ru-RU"/>
        </w:rPr>
      </w:r>
    </w:p>
    <w:p>
      <w:pPr>
        <w:pStyle w:val="Standard"/>
        <w:spacing w:before="0" w:after="29"/>
        <w:jc w:val="both"/>
        <w:rPr>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 xml:space="preserve">, </w:t>
      </w:r>
      <w:r>
        <w:rPr>
          <w:rFonts w:cs="Times New Roman"/>
          <w:lang w:val="kk-KZ"/>
        </w:rPr>
        <w:t xml:space="preserve">Юридический адрес: РК, 070512,ВКО, Глубоковский район, с. Опытное поле </w:t>
      </w:r>
      <w:r>
        <w:rPr>
          <w:rFonts w:cs="Times New Roman"/>
          <w:lang w:val="ru-RU"/>
        </w:rPr>
        <w:t xml:space="preserve">ул.Локомотивная, 3/1 </w:t>
      </w: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90"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40"/>
        <w:gridCol w:w="6750"/>
        <w:gridCol w:w="1020"/>
        <w:gridCol w:w="1379"/>
      </w:tblGrid>
      <w:tr>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6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lang w:val="ru-RU"/>
              </w:rPr>
            </w:pPr>
            <w:r>
              <w:rPr>
                <w:rFonts w:cs="Times New Roman"/>
                <w:lang w:val="ru-RU"/>
              </w:rPr>
              <w:t>Краткое описание товара</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Цена закупаемых товаров</w:t>
            </w:r>
          </w:p>
        </w:tc>
        <w:tc>
          <w:tcPr>
            <w:tcW w:w="13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Торговое наименование</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rFonts w:cs="Times New Roman"/>
              </w:rPr>
            </w:pPr>
            <w:r>
              <w:rPr>
                <w:rFonts w:cs="Times New Roman"/>
                <w:sz w:val="24"/>
                <w:szCs w:val="24"/>
              </w:rPr>
              <w:t>1</w:t>
            </w:r>
          </w:p>
        </w:tc>
        <w:tc>
          <w:tcPr>
            <w:tcW w:w="6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Специальная пластиковая тест-полоска для количественного определения протромбинового времени и МНО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менее 24 тест-полоски.</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20 880,00</w:t>
            </w:r>
          </w:p>
        </w:tc>
        <w:tc>
          <w:tcPr>
            <w:tcW w:w="13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Тест-полоски для определения протромбинового времени</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sz w:val="24"/>
                <w:szCs w:val="24"/>
              </w:rPr>
            </w:pPr>
            <w:r>
              <w:rPr>
                <w:sz w:val="24"/>
                <w:szCs w:val="24"/>
              </w:rPr>
              <w:t>2</w:t>
            </w:r>
          </w:p>
        </w:tc>
        <w:tc>
          <w:tcPr>
            <w:tcW w:w="6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Специальная пластиковая тест-полоска для количественного определения концентрации фибриногена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менее 24 тест-полоски.</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56 544,00</w:t>
            </w:r>
          </w:p>
        </w:tc>
        <w:tc>
          <w:tcPr>
            <w:tcW w:w="13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Тест-полоски для определения концентрации фибриногена</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pPr>
            <w:r>
              <w:rPr/>
              <w:t>3</w:t>
            </w:r>
          </w:p>
        </w:tc>
        <w:tc>
          <w:tcPr>
            <w:tcW w:w="6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Специальная пластиковая тест-полоска для количественного определения АПТВ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менее 24 тест-полоски.</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32 016,00</w:t>
            </w:r>
          </w:p>
        </w:tc>
        <w:tc>
          <w:tcPr>
            <w:tcW w:w="13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Тест-полоски для определения АПТВ</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pPr>
            <w:r>
              <w:rPr/>
              <w:t>4</w:t>
            </w:r>
          </w:p>
        </w:tc>
        <w:tc>
          <w:tcPr>
            <w:tcW w:w="6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eastAsia="Calibri" w:cs="Times New Roman"/>
                <w:sz w:val="24"/>
                <w:szCs w:val="24"/>
              </w:rPr>
              <w:t>Специальная пластиковая тест-полоска для количественного определения тромбинового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менее 24 тест-полоски.</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60 840,00</w:t>
            </w:r>
          </w:p>
        </w:tc>
        <w:tc>
          <w:tcPr>
            <w:tcW w:w="13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Calibri" w:cs="Times New Roman"/>
                <w:sz w:val="24"/>
                <w:szCs w:val="24"/>
              </w:rPr>
              <w:t>Тест-полоски для определения тромбинового времени</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pPr>
            <w:r>
              <w:rPr/>
              <w:t>5</w:t>
            </w:r>
          </w:p>
        </w:tc>
        <w:tc>
          <w:tcPr>
            <w:tcW w:w="6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Специальный контрольный материал для проведения QC клоттинговых тестов при выполнении исследований с помощью тест-полосок на анализаторе коагуляции закрытого типа OCG-102. Контрольный материал представляет из себя плазму со специальной обработкой цитратом натрия. Контроль должен быть двухуровневым и состоять из двух флаконов с нормальным и патологическим диапазонами. Обязательное наличие аттестованных референтных значений.</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88 000,00</w:t>
            </w:r>
          </w:p>
        </w:tc>
        <w:tc>
          <w:tcPr>
            <w:tcW w:w="13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Calibri" w:cs="Times New Roman"/>
                <w:sz w:val="24"/>
                <w:szCs w:val="24"/>
              </w:rPr>
              <w:t>Стандарт плазма</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lang w:val="ru-RU"/>
        </w:rPr>
      </w:pPr>
      <w:r>
        <w:rPr>
          <w:rStyle w:val="S1"/>
          <w:b w:val="false"/>
          <w:lang w:val="ru-RU"/>
        </w:rPr>
        <w:t>2. Дата  и время представления ценового предложения:</w:t>
      </w:r>
    </w:p>
    <w:p>
      <w:pPr>
        <w:pStyle w:val="Standard"/>
        <w:spacing w:before="0" w:after="29"/>
        <w:jc w:val="both"/>
        <w:rPr>
          <w:rFonts w:cs="Times New Roman"/>
          <w:lang w:val="ru-RU"/>
        </w:rPr>
      </w:pPr>
      <w:r>
        <w:rPr>
          <w:rFonts w:cs="Times New Roman"/>
          <w:lang w:val="ru-RU"/>
        </w:rPr>
      </w:r>
    </w:p>
    <w:p>
      <w:pPr>
        <w:pStyle w:val="Standard"/>
        <w:spacing w:before="0" w:after="29"/>
        <w:jc w:val="both"/>
        <w:rPr/>
      </w:pPr>
      <w:r>
        <w:rPr>
          <w:rStyle w:val="S1"/>
          <w:b w:val="false"/>
          <w:bCs w:val="false"/>
          <w:color w:val="00000A"/>
          <w:lang w:val="ru-RU"/>
        </w:rPr>
        <w:t>09.04.2024г. 10:20ч.</w:t>
      </w:r>
      <w:r>
        <w:rPr>
          <w:rFonts w:cs="Times New Roman"/>
          <w:lang w:val="ru-RU"/>
        </w:rPr>
        <w:t xml:space="preserve"> </w:t>
      </w:r>
      <w:r>
        <w:rPr>
          <w:rFonts w:cs="Times New Roman"/>
          <w:sz w:val="24"/>
          <w:szCs w:val="24"/>
          <w:lang w:val="ru-RU"/>
        </w:rPr>
        <w:t>ТОО «</w:t>
      </w:r>
      <w:r>
        <w:rPr>
          <w:rFonts w:cs="Times New Roman"/>
          <w:sz w:val="24"/>
          <w:szCs w:val="24"/>
          <w:lang w:val="ru-RU"/>
        </w:rPr>
        <w:t>МедТехСервис</w:t>
      </w:r>
      <w:r>
        <w:rPr>
          <w:rFonts w:cs="Times New Roman"/>
          <w:sz w:val="24"/>
          <w:szCs w:val="24"/>
          <w:lang w:val="ru-RU"/>
        </w:rPr>
        <w:t>»</w:t>
      </w:r>
    </w:p>
    <w:p>
      <w:pPr>
        <w:pStyle w:val="Standard"/>
        <w:spacing w:before="0" w:after="29"/>
        <w:jc w:val="both"/>
        <w:rPr>
          <w:rStyle w:val="S1"/>
          <w:b w:val="false"/>
          <w:b w:val="false"/>
          <w:bCs w:val="false"/>
          <w:color w:val="00000A"/>
          <w:lang w:val="ru-RU"/>
        </w:rPr>
      </w:pPr>
      <w:r>
        <w:rPr>
          <w:b w:val="false"/>
          <w:bCs w:val="false"/>
          <w:color w:val="00000A"/>
          <w:lang w:val="ru-RU"/>
        </w:rPr>
      </w:r>
    </w:p>
    <w:p>
      <w:pPr>
        <w:pStyle w:val="Standard"/>
        <w:spacing w:before="0" w:after="29"/>
        <w:jc w:val="both"/>
        <w:rPr>
          <w:lang w:val="ru-RU"/>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rStyle w:val="S1"/>
          <w:rFonts w:eastAsia="Times New Roman"/>
          <w:b w:val="false"/>
          <w:b w:val="false"/>
          <w:bCs w:val="false"/>
          <w:color w:val="00000A"/>
          <w:lang w:val="ru-RU"/>
        </w:rPr>
      </w:pPr>
      <w:r>
        <w:rPr>
          <w:rFonts w:eastAsia="Times New Roman"/>
          <w:b w:val="false"/>
          <w:bCs w:val="false"/>
          <w:color w:val="00000A"/>
          <w:lang w:val="ru-RU"/>
        </w:rPr>
      </w:r>
    </w:p>
    <w:p>
      <w:pPr>
        <w:pStyle w:val="Standard"/>
        <w:spacing w:before="0" w:after="29"/>
        <w:jc w:val="both"/>
        <w:rPr/>
      </w:pPr>
      <w:r>
        <w:rPr>
          <w:rStyle w:val="S1"/>
          <w:rFonts w:eastAsia="Times New Roman" w:cs="Times New Roman"/>
          <w:b w:val="false"/>
          <w:bCs w:val="false"/>
          <w:sz w:val="24"/>
          <w:szCs w:val="24"/>
          <w:lang w:val="ru-RU"/>
        </w:rPr>
        <w:t>ТОО «</w:t>
      </w:r>
      <w:r>
        <w:rPr>
          <w:rStyle w:val="S1"/>
          <w:rFonts w:eastAsia="Times New Roman" w:cs="Times New Roman"/>
          <w:b w:val="false"/>
          <w:bCs w:val="false"/>
          <w:sz w:val="24"/>
          <w:szCs w:val="24"/>
          <w:lang w:val="ru-RU"/>
        </w:rPr>
        <w:t>МедТехСервис</w:t>
      </w:r>
      <w:r>
        <w:rPr>
          <w:rStyle w:val="S1"/>
          <w:rFonts w:eastAsia="Times New Roman" w:cs="Times New Roman"/>
          <w:b w:val="false"/>
          <w:bCs w:val="false"/>
          <w:sz w:val="24"/>
          <w:szCs w:val="24"/>
          <w:lang w:val="ru-RU"/>
        </w:rPr>
        <w:t>»</w:t>
      </w:r>
      <w:r>
        <w:rPr>
          <w:rStyle w:val="S1"/>
          <w:rFonts w:eastAsia="Times New Roman"/>
          <w:bCs w:val="false"/>
          <w:sz w:val="24"/>
          <w:szCs w:val="24"/>
          <w:lang w:val="ru-RU"/>
        </w:rPr>
        <w:t xml:space="preserve"> </w:t>
      </w:r>
      <w:r>
        <w:rPr>
          <w:rStyle w:val="S1"/>
          <w:rFonts w:eastAsia="Times New Roman"/>
          <w:b w:val="false"/>
          <w:bCs w:val="false"/>
          <w:sz w:val="24"/>
          <w:szCs w:val="24"/>
          <w:lang w:val="ru-RU"/>
        </w:rPr>
        <w:t xml:space="preserve">ВКО 070019 г.Усть-Каменогорск </w:t>
      </w:r>
      <w:r>
        <w:rPr>
          <w:rStyle w:val="S1"/>
          <w:rFonts w:eastAsia="Times New Roman"/>
          <w:b w:val="false"/>
          <w:bCs w:val="false"/>
          <w:sz w:val="24"/>
          <w:szCs w:val="24"/>
          <w:lang w:val="kk-KZ"/>
        </w:rPr>
        <w:t>ул.</w:t>
      </w:r>
      <w:r>
        <w:rPr>
          <w:rStyle w:val="S1"/>
          <w:rFonts w:eastAsia="Times New Roman"/>
          <w:b w:val="false"/>
          <w:bCs w:val="false"/>
          <w:sz w:val="24"/>
          <w:szCs w:val="24"/>
          <w:lang w:val="ru-RU"/>
        </w:rPr>
        <w:t xml:space="preserve">Добролюбова, 39/2. Цена договора —  </w:t>
      </w:r>
      <w:r>
        <w:rPr>
          <w:rStyle w:val="S1"/>
          <w:rFonts w:eastAsia="Times New Roman"/>
          <w:b/>
          <w:bCs/>
          <w:sz w:val="24"/>
          <w:szCs w:val="24"/>
          <w:lang w:val="kk-KZ"/>
        </w:rPr>
        <w:t xml:space="preserve"> </w:t>
      </w:r>
      <w:bookmarkStart w:id="1" w:name="__DdeLink__1517_475994573"/>
      <w:r>
        <w:rPr>
          <w:rStyle w:val="S1"/>
          <w:rFonts w:eastAsia="Times New Roman"/>
          <w:b w:val="false"/>
          <w:bCs w:val="false"/>
          <w:sz w:val="24"/>
          <w:szCs w:val="24"/>
          <w:lang w:val="kk-KZ"/>
        </w:rPr>
        <w:t>2 917 640,00</w:t>
      </w:r>
      <w:bookmarkEnd w:id="1"/>
      <w:r>
        <w:rPr>
          <w:rStyle w:val="S1"/>
          <w:rFonts w:eastAsia="Times New Roman"/>
          <w:b w:val="false"/>
          <w:bCs w:val="false"/>
          <w:sz w:val="24"/>
          <w:szCs w:val="24"/>
          <w:lang w:val="kk-KZ"/>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lang w:val="ru-RU"/>
        </w:rPr>
      </w:pPr>
      <w:r>
        <w:rPr>
          <w:rStyle w:val="S1"/>
          <w:b w:val="false"/>
          <w:lang w:val="ru-RU"/>
        </w:rPr>
        <w:t>Председатель комиссии  -</w:t>
      </w:r>
      <w:bookmarkStart w:id="2" w:name="__DdeLink__3425_1127196399"/>
      <w:r>
        <w:rPr>
          <w:rStyle w:val="S1"/>
          <w:b w:val="false"/>
          <w:lang w:val="ru-RU"/>
        </w:rPr>
        <w:t xml:space="preserve"> </w:t>
      </w:r>
      <w:bookmarkEnd w:id="2"/>
      <w:r>
        <w:rPr>
          <w:rStyle w:val="S1"/>
          <w:b w:val="false"/>
          <w:bCs w:val="false"/>
          <w:lang w:val="kk-KZ"/>
        </w:rPr>
        <w:t>Елшибеков Б.Е.</w:t>
      </w:r>
    </w:p>
    <w:p>
      <w:pPr>
        <w:pStyle w:val="Standard"/>
        <w:spacing w:before="0" w:after="29"/>
        <w:jc w:val="both"/>
        <w:rPr>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3" w:name="__DdeLink__339_274108119"/>
      <w:r>
        <w:rPr>
          <w:rStyle w:val="S1"/>
          <w:b w:val="false"/>
          <w:lang w:val="ru-RU"/>
        </w:rPr>
        <w:t xml:space="preserve"> </w:t>
      </w:r>
      <w:bookmarkStart w:id="4" w:name="__DdeLink__509_43780538"/>
      <w:bookmarkStart w:id="5" w:name="__DdeLink__1899_1884759452"/>
      <w:bookmarkEnd w:id="3"/>
      <w:r>
        <w:rPr>
          <w:rStyle w:val="S1"/>
          <w:b w:val="false"/>
          <w:lang w:val="kk-KZ"/>
        </w:rPr>
        <w:t xml:space="preserve"> </w:t>
      </w:r>
      <w:bookmarkStart w:id="6" w:name="__DdeLink__1051_534180775"/>
      <w:bookmarkEnd w:id="4"/>
      <w:bookmarkEnd w:id="5"/>
      <w:bookmarkEnd w:id="6"/>
      <w:r>
        <w:rPr>
          <w:rStyle w:val="S1"/>
          <w:b w:val="false"/>
          <w:lang w:val="ru-RU"/>
        </w:rPr>
        <w:t>Мукиева Б.С.</w:t>
      </w:r>
    </w:p>
    <w:p>
      <w:pPr>
        <w:pStyle w:val="Standard"/>
        <w:spacing w:before="0" w:after="29"/>
        <w:jc w:val="both"/>
        <w:rPr>
          <w:rStyle w:val="S1"/>
          <w:b w:val="false"/>
          <w:b w:val="false"/>
          <w:lang w:val="ru-RU"/>
        </w:rPr>
      </w:pPr>
      <w:r>
        <w:rPr>
          <w:b w:val="false"/>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pPr>
      <w:r>
        <w:rPr>
          <w:rFonts w:cs="Times New Roman"/>
          <w:lang w:val="ru-RU"/>
        </w:rPr>
        <w:t>Баға ұсыныстарын сұрату тәсілімен МБ сатып алу қорытындыларының № 1</w:t>
      </w:r>
      <w:r>
        <w:rPr>
          <w:rFonts w:cs="Times New Roman"/>
          <w:lang w:val="ru-RU"/>
        </w:rPr>
        <w:t>4</w:t>
      </w:r>
      <w:r>
        <w:rPr>
          <w:rFonts w:cs="Times New Roman"/>
          <w:lang w:val="ru-RU"/>
        </w:rPr>
        <w:t xml:space="preserve"> 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Өскемен қаласы                                                                                    16.04.2024 жыл</w:t>
      </w:r>
    </w:p>
    <w:p>
      <w:pPr>
        <w:pStyle w:val="Textbody"/>
        <w:spacing w:before="0" w:after="29"/>
        <w:jc w:val="both"/>
        <w:rPr>
          <w:rFonts w:cs="Times New Roman"/>
          <w:lang w:val="ru-RU"/>
        </w:rPr>
      </w:pPr>
      <w:r>
        <w:rPr>
          <w:rFonts w:cs="Times New Roman"/>
          <w:lang w:val="ru-RU"/>
        </w:rPr>
      </w:r>
    </w:p>
    <w:p>
      <w:pPr>
        <w:pStyle w:val="Textbody"/>
        <w:spacing w:before="0" w:after="0"/>
        <w:jc w:val="both"/>
        <w:rPr>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 </w:t>
      </w: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735"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50"/>
        <w:gridCol w:w="6470"/>
        <w:gridCol w:w="1245"/>
        <w:gridCol w:w="1469"/>
      </w:tblGrid>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Қысқаша тауардың атауы</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Алатын сатып тауарлардың бағасы</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kk-KZ"/>
              </w:rPr>
            </w:pPr>
            <w:r>
              <w:rPr>
                <w:rFonts w:cs="Times New Roman"/>
                <w:lang w:val="kk-KZ"/>
              </w:rPr>
              <w:t>Сауда атауы</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rFonts w:cs="Times New Roman"/>
              </w:rPr>
            </w:pPr>
            <w:r>
              <w:rPr>
                <w:rFonts w:cs="Times New Roman"/>
                <w:sz w:val="24"/>
                <w:szCs w:val="24"/>
              </w:rPr>
              <w:t>1</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rFonts w:cs="Times New Roman"/>
                <w:color w:val="000000"/>
                <w:sz w:val="24"/>
                <w:szCs w:val="24"/>
              </w:rPr>
              <w:t xml:space="preserve">Протромбин уақытын және бүкіл цитрат қанындағы МО-ны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w:t>
            </w:r>
            <w:bookmarkStart w:id="7" w:name="__DdeLink__1572_1802571908"/>
            <w:bookmarkEnd w:id="7"/>
            <w:r>
              <w:rPr>
                <w:rFonts w:cs="Times New Roman"/>
                <w:color w:val="000000"/>
                <w:sz w:val="24"/>
                <w:szCs w:val="24"/>
              </w:rPr>
              <w:t>Қаптама кемінде 24 сынақ жолағы.</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20 880,00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Протромбин уақытын анықтауға арналған сынақ жолақтары</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2</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 xml:space="preserve">Тұтас цитрат қанындағы фибриноген концентрациясын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w:t>
            </w:r>
            <w:r>
              <w:rPr>
                <w:rFonts w:cs="Times New Roman"/>
                <w:color w:val="000000"/>
                <w:sz w:val="24"/>
                <w:szCs w:val="24"/>
              </w:rPr>
              <w:t>Қаптама кемінде 24 сынақ жолағы.</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56 544,00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Фибриноген концентрациясын анықтауға арналған сынақ жолақтары</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3</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Тұтас цитрат қанындағы APTV мөлшерін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32 016,00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sz w:val="24"/>
                <w:szCs w:val="24"/>
              </w:rPr>
            </w:pPr>
            <w:r>
              <w:rPr>
                <w:rFonts w:cs="Times New Roman"/>
                <w:sz w:val="24"/>
                <w:szCs w:val="24"/>
              </w:rPr>
              <w:t>АПТВ</w:t>
            </w:r>
            <w:r>
              <w:rPr>
                <w:sz w:val="24"/>
                <w:szCs w:val="24"/>
              </w:rPr>
              <w:t xml:space="preserve"> анықтауға арналған сынақ жолақтары</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4</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Тұтас цитрат қанындағы тромбинді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60 840,00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Тромбин уақытын анықтауға арналған сынақ жолақтары</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5</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OCG-102 жабық типті коагуляция анализаторында сынақ жолақтары арқылы зерттеулер жүргізу кезінде QC клоттинг сынақтарын жүргізуге арналған арнайы бақылау материалы. Бақылау материалы натрий цитратымен арнайы өңделген плазма болып табылады. Бақылау екі деңгейлі болуы керек және қалыпты және патологиялық диапазоны бар екі бөтелкеден тұруы керек. Аттестатталған референттік мәндердің міндетті болуы.</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88 000,00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Стандартты плазма</w:t>
            </w:r>
          </w:p>
        </w:tc>
      </w:tr>
    </w:tbl>
    <w:p>
      <w:pPr>
        <w:pStyle w:val="Standard"/>
        <w:rPr>
          <w:rFonts w:cs="Times New Roman"/>
        </w:rPr>
      </w:pPr>
      <w:r>
        <w:rPr>
          <w:rFonts w:cs="Times New Roman"/>
        </w:rPr>
      </w:r>
    </w:p>
    <w:p>
      <w:pPr>
        <w:pStyle w:val="Standard"/>
        <w:rPr/>
      </w:pPr>
      <w:r>
        <w:rPr>
          <w:rFonts w:cs="Times New Roman"/>
        </w:rPr>
        <w:t xml:space="preserve">2. </w:t>
      </w:r>
      <w:r>
        <w:rPr>
          <w:rStyle w:val="S1"/>
          <w:b w:val="false"/>
          <w:lang w:val="kk-KZ"/>
        </w:rPr>
        <w:t>Баға ұсынысын ұсыну күні мен уақыты:</w:t>
      </w:r>
    </w:p>
    <w:p>
      <w:pPr>
        <w:pStyle w:val="Standard"/>
        <w:spacing w:before="0" w:after="29"/>
        <w:jc w:val="both"/>
        <w:rPr>
          <w:rFonts w:cs="Times New Roman"/>
        </w:rPr>
      </w:pPr>
      <w:r>
        <w:rPr>
          <w:rFonts w:cs="Times New Roman"/>
        </w:rPr>
      </w:r>
    </w:p>
    <w:p>
      <w:pPr>
        <w:pStyle w:val="Standard"/>
        <w:spacing w:before="0" w:after="29"/>
        <w:jc w:val="both"/>
        <w:rPr/>
      </w:pPr>
      <w:r>
        <w:rPr>
          <w:rStyle w:val="S1"/>
          <w:b w:val="false"/>
          <w:bCs w:val="false"/>
          <w:color w:val="00000A"/>
          <w:lang w:val="ru-RU"/>
        </w:rPr>
        <w:t>09.04.2024ж. 10:20с.</w:t>
      </w:r>
      <w:r>
        <w:rPr>
          <w:rStyle w:val="S1"/>
          <w:rFonts w:cs="Times New Roman"/>
          <w:lang w:val="ru-RU"/>
        </w:rPr>
        <w:t xml:space="preserve"> </w:t>
      </w:r>
      <w:r>
        <w:rPr>
          <w:rStyle w:val="S1"/>
          <w:rFonts w:eastAsia="Times New Roman" w:cs="Times New Roman"/>
          <w:b w:val="false"/>
          <w:bCs w:val="false"/>
          <w:sz w:val="24"/>
          <w:szCs w:val="24"/>
          <w:lang w:val="ru-RU"/>
        </w:rPr>
        <w:t xml:space="preserve"> «</w:t>
      </w:r>
      <w:r>
        <w:rPr>
          <w:rStyle w:val="S1"/>
          <w:rFonts w:eastAsia="Times New Roman" w:cs="Times New Roman"/>
          <w:b w:val="false"/>
          <w:bCs w:val="false"/>
          <w:sz w:val="24"/>
          <w:szCs w:val="24"/>
          <w:lang w:val="ru-RU"/>
        </w:rPr>
        <w:t>МедТехСервис</w:t>
      </w:r>
      <w:r>
        <w:rPr>
          <w:rStyle w:val="S1"/>
          <w:rFonts w:eastAsia="Times New Roman" w:cs="Times New Roman"/>
          <w:b w:val="false"/>
          <w:bCs w:val="false"/>
          <w:sz w:val="24"/>
          <w:szCs w:val="24"/>
          <w:lang w:val="ru-RU"/>
        </w:rPr>
        <w:t>»</w:t>
      </w:r>
      <w:r>
        <w:rPr>
          <w:rStyle w:val="S1"/>
          <w:rFonts w:cs="Times New Roman"/>
          <w:b w:val="false"/>
          <w:bCs w:val="false"/>
          <w:sz w:val="24"/>
          <w:szCs w:val="24"/>
          <w:lang w:val="ru-RU"/>
        </w:rPr>
        <w:t xml:space="preserve"> </w:t>
      </w:r>
      <w:r>
        <w:rPr>
          <w:rStyle w:val="S1"/>
          <w:rFonts w:eastAsia="Times New Roman"/>
          <w:b w:val="false"/>
          <w:sz w:val="24"/>
          <w:szCs w:val="24"/>
          <w:lang w:val="kk-KZ"/>
        </w:rPr>
        <w:t>ЖШС</w:t>
      </w:r>
    </w:p>
    <w:p>
      <w:pPr>
        <w:pStyle w:val="Standard"/>
        <w:rPr>
          <w:rStyle w:val="S1"/>
          <w:b w:val="false"/>
          <w:b w:val="false"/>
          <w:lang w:val="kk-KZ"/>
        </w:rPr>
      </w:pPr>
      <w:r>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lang w:val="ru-RU"/>
        </w:rPr>
      </w:pPr>
      <w:r>
        <w:rPr>
          <w:rStyle w:val="S1"/>
          <w:rFonts w:eastAsia="Times New Roman"/>
          <w:bCs w:val="false"/>
          <w:lang w:val="ru-RU"/>
        </w:rPr>
        <w:t xml:space="preserve"> </w:t>
      </w:r>
    </w:p>
    <w:p>
      <w:pPr>
        <w:pStyle w:val="Standard"/>
        <w:spacing w:before="0" w:after="29"/>
        <w:jc w:val="both"/>
        <w:rPr/>
      </w:pPr>
      <w:r>
        <w:rPr>
          <w:rStyle w:val="S1"/>
          <w:rFonts w:eastAsia="Times New Roman" w:cs="Times New Roman"/>
          <w:b w:val="false"/>
          <w:bCs w:val="false"/>
          <w:sz w:val="24"/>
          <w:szCs w:val="24"/>
          <w:lang w:val="ru-RU"/>
        </w:rPr>
        <w:t xml:space="preserve"> </w:t>
      </w:r>
      <w:r>
        <w:rPr>
          <w:rStyle w:val="S1"/>
          <w:rFonts w:eastAsia="Times New Roman" w:cs="Times New Roman"/>
          <w:b w:val="false"/>
          <w:bCs w:val="false"/>
          <w:sz w:val="24"/>
          <w:szCs w:val="24"/>
          <w:lang w:val="ru-RU"/>
        </w:rPr>
        <w:t>«</w:t>
      </w:r>
      <w:r>
        <w:rPr>
          <w:rStyle w:val="S1"/>
          <w:rFonts w:eastAsia="Times New Roman" w:cs="Times New Roman"/>
          <w:b w:val="false"/>
          <w:bCs w:val="false"/>
          <w:sz w:val="24"/>
          <w:szCs w:val="24"/>
          <w:lang w:val="ru-RU"/>
        </w:rPr>
        <w:t>МедТехСервис</w:t>
      </w:r>
      <w:r>
        <w:rPr>
          <w:rStyle w:val="S1"/>
          <w:rFonts w:eastAsia="Times New Roman" w:cs="Times New Roman"/>
          <w:b w:val="false"/>
          <w:bCs w:val="false"/>
          <w:sz w:val="24"/>
          <w:szCs w:val="24"/>
          <w:lang w:val="ru-RU"/>
        </w:rPr>
        <w:t>»</w:t>
      </w:r>
      <w:r>
        <w:rPr>
          <w:rStyle w:val="S1"/>
          <w:rFonts w:eastAsia="Times New Roman"/>
          <w:bCs w:val="false"/>
          <w:sz w:val="24"/>
          <w:szCs w:val="24"/>
          <w:lang w:val="ru-RU"/>
        </w:rPr>
        <w:t xml:space="preserve"> </w:t>
      </w:r>
      <w:r>
        <w:rPr>
          <w:rStyle w:val="S1"/>
          <w:rFonts w:eastAsia="Times New Roman"/>
          <w:b w:val="false"/>
          <w:sz w:val="24"/>
          <w:szCs w:val="24"/>
          <w:lang w:val="kk-KZ"/>
        </w:rPr>
        <w:t xml:space="preserve">ЖШС </w:t>
      </w:r>
      <w:r>
        <w:rPr>
          <w:rStyle w:val="S1"/>
          <w:rFonts w:eastAsia="Times New Roman"/>
          <w:b w:val="false"/>
          <w:bCs w:val="false"/>
          <w:sz w:val="24"/>
          <w:szCs w:val="24"/>
          <w:lang w:val="kk-KZ"/>
        </w:rPr>
        <w:t>ШҚО</w:t>
      </w:r>
      <w:r>
        <w:rPr>
          <w:rStyle w:val="S1"/>
          <w:rFonts w:eastAsia="Times New Roman"/>
          <w:b w:val="false"/>
          <w:bCs w:val="false"/>
          <w:sz w:val="24"/>
          <w:szCs w:val="24"/>
          <w:lang w:val="ru-RU"/>
        </w:rPr>
        <w:t xml:space="preserve"> 070019 </w:t>
      </w:r>
      <w:r>
        <w:rPr>
          <w:rStyle w:val="S1"/>
          <w:rFonts w:eastAsia="Times New Roman"/>
          <w:b w:val="false"/>
          <w:bCs w:val="false"/>
          <w:sz w:val="24"/>
          <w:szCs w:val="24"/>
          <w:lang w:val="kk-KZ"/>
        </w:rPr>
        <w:t>Өскемен қ.,</w:t>
      </w:r>
      <w:r>
        <w:rPr>
          <w:rStyle w:val="S1"/>
          <w:rFonts w:eastAsia="Times New Roman"/>
          <w:b w:val="false"/>
          <w:bCs w:val="false"/>
          <w:sz w:val="24"/>
          <w:szCs w:val="24"/>
          <w:lang w:val="ru-RU"/>
        </w:rPr>
        <w:t xml:space="preserve"> Добролюбов </w:t>
      </w:r>
      <w:r>
        <w:rPr>
          <w:rStyle w:val="S1"/>
          <w:rFonts w:eastAsia="Times New Roman"/>
          <w:b w:val="false"/>
          <w:bCs w:val="false"/>
          <w:sz w:val="24"/>
          <w:szCs w:val="24"/>
          <w:lang w:val="kk-KZ"/>
        </w:rPr>
        <w:t>к.</w:t>
      </w:r>
      <w:r>
        <w:rPr>
          <w:rStyle w:val="S1"/>
          <w:rFonts w:eastAsia="Times New Roman"/>
          <w:b w:val="false"/>
          <w:bCs w:val="false"/>
          <w:sz w:val="24"/>
          <w:szCs w:val="24"/>
          <w:lang w:val="ru-RU"/>
        </w:rPr>
        <w:t>, 39/2</w:t>
      </w:r>
      <w:r>
        <w:rPr>
          <w:rStyle w:val="S1"/>
          <w:rFonts w:eastAsia="Times New Roman"/>
          <w:b w:val="false"/>
          <w:bCs w:val="false"/>
          <w:sz w:val="24"/>
          <w:szCs w:val="24"/>
          <w:lang w:val="kk-KZ"/>
        </w:rPr>
        <w:t>.</w:t>
      </w:r>
      <w:r>
        <w:rPr>
          <w:rStyle w:val="S1"/>
          <w:rFonts w:eastAsia="Times New Roman"/>
          <w:b w:val="false"/>
          <w:bCs w:val="false"/>
          <w:sz w:val="24"/>
          <w:szCs w:val="24"/>
          <w:lang w:val="ru-RU"/>
        </w:rPr>
        <w:t xml:space="preserve">  </w:t>
      </w:r>
      <w:bookmarkStart w:id="8" w:name="__DdeLink__2513_1995399862"/>
      <w:bookmarkStart w:id="9" w:name="__DdeLink__3465_382502718"/>
      <w:r>
        <w:rPr>
          <w:rStyle w:val="S1"/>
          <w:rFonts w:eastAsia="Times New Roman"/>
          <w:b w:val="false"/>
          <w:bCs w:val="false"/>
          <w:sz w:val="24"/>
          <w:szCs w:val="24"/>
          <w:lang w:val="kk-KZ"/>
        </w:rPr>
        <w:t>Шарттың бағасы</w:t>
      </w:r>
      <w:bookmarkEnd w:id="9"/>
      <w:r>
        <w:rPr>
          <w:rStyle w:val="S1"/>
          <w:rFonts w:eastAsia="Times New Roman"/>
          <w:b w:val="false"/>
          <w:bCs w:val="false"/>
          <w:sz w:val="24"/>
          <w:szCs w:val="24"/>
          <w:lang w:val="ru-RU"/>
        </w:rPr>
        <w:t xml:space="preserve"> —  </w:t>
      </w:r>
      <w:r>
        <w:rPr>
          <w:rStyle w:val="S1"/>
          <w:rFonts w:eastAsia="Times New Roman"/>
          <w:b w:val="false"/>
          <w:bCs w:val="false"/>
          <w:sz w:val="24"/>
          <w:szCs w:val="24"/>
          <w:lang w:val="kk-KZ"/>
        </w:rPr>
        <w:t>2 917 640,00</w:t>
      </w:r>
      <w:r>
        <w:rPr>
          <w:rStyle w:val="S1"/>
          <w:rFonts w:eastAsia="Times New Roman"/>
          <w:bCs w:val="false"/>
          <w:sz w:val="24"/>
          <w:szCs w:val="24"/>
          <w:lang w:val="ru-RU"/>
        </w:rPr>
        <w:t xml:space="preserve"> </w:t>
      </w:r>
      <w:bookmarkEnd w:id="8"/>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lang w:val="kk-KZ"/>
        </w:rPr>
        <w:t xml:space="preserve">4. </w:t>
      </w:r>
      <w:r>
        <w:rPr>
          <w:rStyle w:val="S1"/>
          <w:rFonts w:eastAsia="Times New Roman"/>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lang w:val="ru-RU"/>
        </w:rPr>
      </w:pPr>
      <w:r>
        <w:rPr>
          <w:rFonts w:cs="Times New Roman"/>
          <w:lang w:val="ru-RU"/>
        </w:rPr>
        <w:t>Комиссия төрайымы –</w:t>
      </w:r>
      <w:r>
        <w:rPr>
          <w:rStyle w:val="S1"/>
          <w:b w:val="false"/>
          <w:lang w:val="ru-RU"/>
        </w:rPr>
        <w:t xml:space="preserve"> </w:t>
      </w:r>
      <w:r>
        <w:rPr>
          <w:rStyle w:val="S1"/>
          <w:b w:val="false"/>
          <w:bCs w:val="false"/>
          <w:lang w:val="kk-KZ"/>
        </w:rPr>
        <w:t>Елшибеков Б.Е.</w:t>
      </w:r>
    </w:p>
    <w:p>
      <w:pPr>
        <w:pStyle w:val="Standard"/>
        <w:rPr>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r>
        <w:rPr>
          <w:rStyle w:val="S1"/>
          <w:b w:val="false"/>
          <w:lang w:val="ru-RU"/>
        </w:rPr>
        <w:t>Мукиева Б.С.</w:t>
      </w:r>
    </w:p>
    <w:p>
      <w:pPr>
        <w:pStyle w:val="Standard"/>
        <w:rPr>
          <w:rStyle w:val="S1"/>
          <w:b w:val="false"/>
          <w:b w:val="false"/>
          <w:lang w:val="ru-RU"/>
        </w:rPr>
      </w:pPr>
      <w:r>
        <w:rPr>
          <w:b w:val="false"/>
          <w:lang w:val="ru-RU"/>
        </w:rPr>
      </w:r>
    </w:p>
    <w:p>
      <w:pPr>
        <w:pStyle w:val="Standard"/>
        <w:rPr>
          <w:rStyle w:val="S1"/>
          <w:b w:val="false"/>
          <w:b w:val="false"/>
          <w:lang w:val="ru-RU"/>
        </w:rPr>
      </w:pPr>
      <w:r>
        <w:rPr>
          <w:b w:val="false"/>
          <w:lang w:val="ru-RU"/>
        </w:rPr>
      </w:r>
    </w:p>
    <w:p>
      <w:pPr>
        <w:pStyle w:val="Standard"/>
        <w:rPr>
          <w:rStyle w:val="S1"/>
          <w:b w:val="false"/>
          <w:b w:val="false"/>
          <w:lang w:val="ru-RU"/>
        </w:rPr>
      </w:pPr>
      <w:r>
        <w:rPr>
          <w:b w:val="false"/>
          <w:lang w:val="ru-RU"/>
        </w:rPr>
      </w:r>
    </w:p>
    <w:p>
      <w:pPr>
        <w:pStyle w:val="Standard"/>
        <w:spacing w:before="0" w:after="29"/>
        <w:jc w:val="both"/>
        <w:rPr/>
      </w:pPr>
      <w:r>
        <w:rPr/>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character" w:styleId="Style13">
    <w:name w:val="Выделение"/>
    <w:qFormat/>
    <w:rPr>
      <w:i/>
      <w:iCs/>
    </w:rPr>
  </w:style>
  <w:style w:type="character" w:styleId="ListLabel55" w:customStyle="1">
    <w:name w:val="ListLabel 55"/>
    <w:qFormat/>
    <w:rPr>
      <w:b w:val="false"/>
      <w:bCs w:val="false"/>
    </w:rPr>
  </w:style>
  <w:style w:type="character" w:styleId="ListLabel56" w:customStyle="1">
    <w:name w:val="ListLabel 56"/>
    <w:qFormat/>
    <w:rPr>
      <w:b w:val="false"/>
      <w:bCs w:val="false"/>
    </w:rPr>
  </w:style>
  <w:style w:type="paragraph" w:styleId="Style14" w:customStyle="1">
    <w:name w:val="Заголовок"/>
    <w:basedOn w:val="Normal"/>
    <w:next w:val="Style15"/>
    <w:qFormat/>
    <w:pPr>
      <w:keepNext/>
      <w:spacing w:before="240" w:after="120"/>
    </w:pPr>
    <w:rPr>
      <w:rFonts w:ascii="Liberation Sans" w:hAnsi="Liberation Sans"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9" w:customStyle="1">
    <w:name w:val="Содержимое таблицы"/>
    <w:basedOn w:val="Standard"/>
    <w:qFormat/>
    <w:rsid w:val="00b3253a"/>
    <w:pPr>
      <w:suppressLineNumbers/>
    </w:pPr>
    <w:rPr/>
  </w:style>
  <w:style w:type="paragraph" w:styleId="Style20" w:customStyle="1">
    <w:name w:val="Заголовок таблицы"/>
    <w:basedOn w:val="Style19"/>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customStyle="1">
    <w:name w:val="formattext"/>
    <w:basedOn w:val="Normal"/>
    <w:qFormat/>
    <w:pPr>
      <w:spacing w:beforeAutospacing="1" w:afterAutospacing="1"/>
    </w:pPr>
    <w:rPr>
      <w:rFonts w:eastAsia="Times New Roman" w:cs="Times New Roman"/>
    </w:rPr>
  </w:style>
  <w:style w:type="paragraph" w:styleId="NormalWeb">
    <w:name w:val="Normal (Web)"/>
    <w:basedOn w:val="Normal"/>
    <w:qFormat/>
    <w:pPr>
      <w:spacing w:beforeAutospacing="1" w:afterAutospacing="1"/>
    </w:pPr>
    <w:rPr>
      <w:rFonts w:eastAsia="Times New Roman" w:cs="Times New Roman"/>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2543d1"/>
    <w:pPr>
      <w:widowControl/>
      <w:bidi w:val="0"/>
      <w:jc w:val="left"/>
    </w:pPr>
    <w:rPr>
      <w:rFonts w:ascii="Times New Roman" w:hAnsi="Times New Roman" w:eastAsia="" w:cs="Times New Roman" w:eastAsiaTheme="minorEastAsia"/>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Application>LibreOffice/5.2.2.2$Windows_X86_64 LibreOffice_project/8f96e87c890bf8fa77463cd4b640a2312823f3ad</Application>
  <Pages>4</Pages>
  <Words>927</Words>
  <Characters>6730</Characters>
  <CharactersWithSpaces>7706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2024-03-28T17:40:10Z</cp:lastPrinted>
  <dcterms:modified xsi:type="dcterms:W3CDTF">2024-04-16T17:03:43Z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