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7</w:t>
      </w:r>
    </w:p>
    <w:p>
      <w:pPr>
        <w:pStyle w:val="Normal"/>
        <w:jc w:val="center"/>
        <w:rPr/>
      </w:pPr>
      <w:r>
        <w:rPr>
          <w:rFonts w:cs="Times New Roman" w:ascii="Times New Roman" w:hAnsi="Times New Roman"/>
          <w:b w:val="false"/>
          <w:bCs w:val="false"/>
          <w:sz w:val="32"/>
          <w:szCs w:val="32"/>
        </w:rPr>
        <w:t xml:space="preserve">Расходные материалы </w:t>
      </w:r>
      <w:r>
        <w:rPr>
          <w:rFonts w:cs="Times New Roman" w:ascii="Times New Roman" w:hAnsi="Times New Roman"/>
          <w:b w:val="false"/>
          <w:bCs w:val="false"/>
          <w:sz w:val="32"/>
          <w:szCs w:val="32"/>
          <w:lang w:val="kk-KZ"/>
        </w:rPr>
        <w:t xml:space="preserve">для оптического анализатора газов и </w:t>
      </w:r>
      <w:r>
        <w:rPr>
          <w:rFonts w:cs="Times New Roman" w:ascii="Times New Roman" w:hAnsi="Times New Roman"/>
          <w:b w:val="false"/>
          <w:bCs w:val="false"/>
          <w:sz w:val="32"/>
          <w:szCs w:val="32"/>
          <w:u w:val="none"/>
          <w:lang w:val="kk-KZ"/>
        </w:rPr>
        <w:t>имического состава крови</w:t>
      </w:r>
      <w:r>
        <w:rPr>
          <w:rFonts w:cs="Times New Roman" w:ascii="Times New Roman" w:hAnsi="Times New Roman"/>
          <w:b w:val="false"/>
          <w:bCs w:val="false"/>
          <w:sz w:val="32"/>
          <w:szCs w:val="32"/>
          <w:u w:val="none"/>
          <w:lang w:val="en-US"/>
        </w:rPr>
        <w:t xml:space="preserve">  i15 закрытого типа   </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w:t>
      </w:r>
      <w:r>
        <w:rPr>
          <w:rStyle w:val="S1"/>
          <w:b w:val="false"/>
          <w:bCs w:val="false"/>
        </w:rPr>
        <w:t xml:space="preserve">(6 </w:t>
      </w:r>
      <w:r>
        <w:rPr>
          <w:rStyle w:val="S1"/>
          <w:b w:val="false"/>
          <w:bCs w:val="false"/>
        </w:rPr>
        <w:t>лотов).</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1923"/>
        <w:gridCol w:w="5209"/>
        <w:gridCol w:w="1036"/>
        <w:gridCol w:w="955"/>
        <w:gridCol w:w="1363"/>
        <w:gridCol w:w="1132"/>
        <w:gridCol w:w="2385"/>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923"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52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036"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955"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363"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132"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385"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923" w:type="dxa"/>
            <w:tcBorders>
              <w:top w:val="nil"/>
              <w:right w:val="nil"/>
              <w:insideV w:val="nil"/>
            </w:tcBorders>
            <w:shd w:color="auto" w:fill="auto" w:val="clear"/>
            <w:tcMar>
              <w:left w:w="50" w:type="dxa"/>
            </w:tcMar>
          </w:tcPr>
          <w:p>
            <w:pPr>
              <w:pStyle w:val="Normal"/>
              <w:spacing w:lineRule="auto" w:line="240" w:before="0" w:after="0"/>
              <w:jc w:val="both"/>
              <w:rPr/>
            </w:pPr>
            <w:r>
              <w:rPr>
                <w:rFonts w:cs="Times New Roman" w:ascii="Times New Roman" w:hAnsi="Times New Roman"/>
                <w:color w:val="000000"/>
              </w:rPr>
              <w:t>Набор реагентов</w:t>
            </w:r>
          </w:p>
        </w:tc>
        <w:tc>
          <w:tcPr>
            <w:tcW w:w="5209" w:type="dxa"/>
            <w:tcBorders>
              <w:top w:val="nil"/>
              <w:right w:val="nil"/>
              <w:insideV w:val="nil"/>
            </w:tcBorders>
            <w:shd w:color="auto" w:fill="auto" w:val="clear"/>
            <w:tcMar>
              <w:left w:w="50" w:type="dxa"/>
            </w:tcMar>
          </w:tcPr>
          <w:p>
            <w:pPr>
              <w:pStyle w:val="Normal"/>
              <w:spacing w:lineRule="auto" w:line="240" w:before="0" w:after="0"/>
              <w:rPr/>
            </w:pPr>
            <w:r>
              <w:rPr>
                <w:rFonts w:cs="Times New Roman" w:ascii="Times New Roman" w:hAnsi="Times New Roman"/>
                <w:color w:val="000000"/>
              </w:rPr>
              <w:t xml:space="preserve">Набор реагентов в виде специального картриджа для закрытой системы </w:t>
            </w:r>
            <w:r>
              <w:rPr>
                <w:rFonts w:cs="Times New Roman" w:ascii="Times New Roman" w:hAnsi="Times New Roman"/>
                <w:b w:val="false"/>
                <w:bCs w:val="false"/>
                <w:color w:val="000000"/>
              </w:rPr>
              <w:t>i15</w:t>
            </w:r>
            <w:r>
              <w:rPr>
                <w:rFonts w:cs="Times New Roman" w:ascii="Times New Roman" w:hAnsi="Times New Roman"/>
                <w:b/>
                <w:bCs/>
                <w:color w:val="000000"/>
              </w:rPr>
              <w:t> </w:t>
            </w:r>
            <w:r>
              <w:rPr>
                <w:rFonts w:cs="Times New Roman" w:ascii="Times New Roman" w:hAnsi="Times New Roman"/>
                <w:color w:val="000000"/>
              </w:rPr>
              <w:t>EDAN. Один картридж позволяет выполнить одновременно следующие тесты: pH, pO2, pСO2, K+, Na+, Cl-, Ca++, Hct, Glu, Lac. На борту картриджа должны быть встроенные чип позволяющий системе автоматически проводить идентификацию, калибровку, а также автоматическая система контроля качества. Время считывания картриджа не более 2 минут. Фасовка: одна упаковка – (25 картриджей/упак) (4 упаковки/наборе) №100</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Набор</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7</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693 000,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4 851 000,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923" w:type="dxa"/>
            <w:tcBorders>
              <w:top w:val="nil"/>
              <w:right w:val="nil"/>
              <w:insideV w:val="nil"/>
            </w:tcBorders>
            <w:shd w:color="auto" w:fill="auto" w:val="clear"/>
            <w:tcMar>
              <w:left w:w="50" w:type="dxa"/>
            </w:tcMar>
          </w:tcPr>
          <w:p>
            <w:pPr>
              <w:pStyle w:val="Normal"/>
              <w:spacing w:lineRule="auto" w:line="240" w:before="0" w:after="0"/>
              <w:jc w:val="both"/>
              <w:rPr/>
            </w:pPr>
            <w:r>
              <w:rPr>
                <w:rFonts w:cs="Times New Roman" w:ascii="Times New Roman" w:hAnsi="Times New Roman"/>
                <w:color w:val="000000"/>
              </w:rPr>
              <w:t>Набор реагентов</w:t>
            </w:r>
          </w:p>
        </w:tc>
        <w:tc>
          <w:tcPr>
            <w:tcW w:w="5209" w:type="dxa"/>
            <w:tcBorders>
              <w:top w:val="nil"/>
              <w:right w:val="nil"/>
              <w:insideV w:val="nil"/>
            </w:tcBorders>
            <w:shd w:color="auto" w:fill="auto" w:val="clear"/>
            <w:tcMar>
              <w:left w:w="50" w:type="dxa"/>
            </w:tcMar>
          </w:tcPr>
          <w:p>
            <w:pPr>
              <w:pStyle w:val="Normal"/>
              <w:spacing w:lineRule="auto" w:line="240" w:before="0" w:after="0"/>
              <w:rPr/>
            </w:pPr>
            <w:r>
              <w:rPr>
                <w:rFonts w:cs="Times New Roman" w:ascii="Times New Roman" w:hAnsi="Times New Roman"/>
                <w:color w:val="000000"/>
              </w:rPr>
              <w:t>BGE жидкий реагент для Контроля качества</w:t>
            </w:r>
          </w:p>
          <w:p>
            <w:pPr>
              <w:pStyle w:val="Normal"/>
              <w:spacing w:lineRule="auto" w:line="240" w:before="0" w:after="0"/>
              <w:rPr/>
            </w:pPr>
            <w:r>
              <w:rPr>
                <w:rFonts w:cs="Times New Roman" w:ascii="Times New Roman" w:hAnsi="Times New Roman"/>
                <w:color w:val="000000"/>
              </w:rPr>
              <w:t>-Уровень 1 (лактат, глюкоза) в крови (5 ампул в наборе)</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Набор</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4</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923" w:type="dxa"/>
            <w:tcBorders>
              <w:top w:val="nil"/>
              <w:right w:val="nil"/>
              <w:insideV w:val="nil"/>
            </w:tcBorders>
            <w:shd w:color="auto" w:fill="auto" w:val="clear"/>
            <w:tcMar>
              <w:left w:w="50" w:type="dxa"/>
            </w:tcMar>
          </w:tcPr>
          <w:p>
            <w:pPr>
              <w:pStyle w:val="Normal"/>
              <w:spacing w:lineRule="auto" w:line="240" w:before="0" w:after="0"/>
              <w:jc w:val="both"/>
              <w:rPr/>
            </w:pPr>
            <w:r>
              <w:rPr>
                <w:rFonts w:cs="Times New Roman" w:ascii="Times New Roman" w:hAnsi="Times New Roman"/>
                <w:color w:val="000000"/>
              </w:rPr>
              <w:t>Набор реагентов</w:t>
            </w:r>
          </w:p>
        </w:tc>
        <w:tc>
          <w:tcPr>
            <w:tcW w:w="5209" w:type="dxa"/>
            <w:tcBorders>
              <w:top w:val="nil"/>
              <w:right w:val="nil"/>
              <w:insideV w:val="nil"/>
            </w:tcBorders>
            <w:shd w:color="auto" w:fill="auto" w:val="clear"/>
            <w:tcMar>
              <w:left w:w="50" w:type="dxa"/>
            </w:tcMar>
          </w:tcPr>
          <w:p>
            <w:pPr>
              <w:pStyle w:val="Normal"/>
              <w:spacing w:lineRule="auto" w:line="240" w:before="0" w:after="0"/>
              <w:rPr/>
            </w:pPr>
            <w:r>
              <w:rPr>
                <w:rFonts w:cs="Times New Roman" w:ascii="Times New Roman" w:hAnsi="Times New Roman"/>
                <w:color w:val="000000"/>
              </w:rPr>
              <w:t>BGE жидкий реагент для Контроля качества- Уровень 2 (5 ампул в наборе)</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Набор</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4</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923" w:type="dxa"/>
            <w:tcBorders>
              <w:top w:val="nil"/>
              <w:right w:val="nil"/>
              <w:insideV w:val="nil"/>
            </w:tcBorders>
            <w:shd w:color="auto" w:fill="auto" w:val="clear"/>
            <w:tcMar>
              <w:left w:w="50" w:type="dxa"/>
            </w:tcMar>
          </w:tcPr>
          <w:p>
            <w:pPr>
              <w:pStyle w:val="Normal"/>
              <w:spacing w:lineRule="auto" w:line="240" w:before="0" w:after="0"/>
              <w:jc w:val="both"/>
              <w:rPr/>
            </w:pPr>
            <w:r>
              <w:rPr>
                <w:rFonts w:cs="Times New Roman" w:ascii="Times New Roman" w:hAnsi="Times New Roman"/>
                <w:color w:val="000000"/>
              </w:rPr>
              <w:t>Набор реагентов</w:t>
            </w:r>
          </w:p>
        </w:tc>
        <w:tc>
          <w:tcPr>
            <w:tcW w:w="5209" w:type="dxa"/>
            <w:tcBorders>
              <w:top w:val="nil"/>
              <w:right w:val="nil"/>
              <w:insideV w:val="nil"/>
            </w:tcBorders>
            <w:shd w:color="auto" w:fill="auto" w:val="clear"/>
            <w:tcMar>
              <w:left w:w="50" w:type="dxa"/>
            </w:tcMar>
          </w:tcPr>
          <w:p>
            <w:pPr>
              <w:pStyle w:val="Normal"/>
              <w:spacing w:lineRule="auto" w:line="240" w:before="0" w:after="0"/>
              <w:rPr/>
            </w:pPr>
            <w:r>
              <w:rPr>
                <w:rFonts w:cs="Times New Roman" w:ascii="Times New Roman" w:hAnsi="Times New Roman"/>
                <w:color w:val="000000"/>
              </w:rPr>
              <w:t>BGE жидкий реагент для Контроля качества-Уровень 3 (5 ампул в наборе)</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Набор</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4</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923" w:type="dxa"/>
            <w:tcBorders>
              <w:top w:val="nil"/>
              <w:right w:val="nil"/>
              <w:insideV w:val="nil"/>
            </w:tcBorders>
            <w:shd w:color="auto" w:fill="auto" w:val="clear"/>
            <w:tcMar>
              <w:left w:w="50" w:type="dxa"/>
            </w:tcMar>
          </w:tcPr>
          <w:p>
            <w:pPr>
              <w:pStyle w:val="NormalWeb"/>
              <w:spacing w:lineRule="auto" w:line="240" w:before="280" w:after="0"/>
              <w:jc w:val="both"/>
              <w:rPr/>
            </w:pPr>
            <w:r>
              <w:rPr>
                <w:color w:val="000000"/>
                <w:sz w:val="22"/>
                <w:szCs w:val="22"/>
                <w:shd w:fill="FFFFFF" w:val="clear"/>
              </w:rPr>
              <w:t>Шприцы с сухим гепарином для анализа газов крови 2 мл №50</w:t>
            </w:r>
          </w:p>
        </w:tc>
        <w:tc>
          <w:tcPr>
            <w:tcW w:w="5209" w:type="dxa"/>
            <w:tcBorders>
              <w:top w:val="nil"/>
              <w:right w:val="nil"/>
              <w:insideV w:val="nil"/>
            </w:tcBorders>
            <w:shd w:color="auto" w:fill="auto" w:val="clear"/>
            <w:tcMar>
              <w:left w:w="50" w:type="dxa"/>
            </w:tcMar>
          </w:tcPr>
          <w:p>
            <w:pPr>
              <w:pStyle w:val="NormalWeb"/>
              <w:spacing w:lineRule="auto" w:line="240" w:before="280" w:after="0"/>
              <w:rPr/>
            </w:pPr>
            <w:r>
              <w:rPr>
                <w:color w:val="000000"/>
                <w:sz w:val="22"/>
                <w:szCs w:val="22"/>
                <w:shd w:fill="FFFFFF" w:val="clear"/>
              </w:rPr>
              <w:t>Шприцы с сухим гепарином для анализа газов крови 2 мл Luer Slip №50</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упаковка</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14</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34 500,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483 000,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ascii="Times New Roman" w:hAnsi="Times New Roman"/>
              </w:rPr>
              <w:t>6</w:t>
            </w:r>
          </w:p>
        </w:tc>
        <w:tc>
          <w:tcPr>
            <w:tcW w:w="1923" w:type="dxa"/>
            <w:tcBorders>
              <w:top w:val="nil"/>
              <w:right w:val="nil"/>
              <w:insideV w:val="nil"/>
            </w:tcBorders>
            <w:shd w:color="auto" w:fill="auto" w:val="clear"/>
            <w:tcMar>
              <w:left w:w="50" w:type="dxa"/>
            </w:tcMar>
          </w:tcPr>
          <w:p>
            <w:pPr>
              <w:pStyle w:val="NormalWeb"/>
              <w:spacing w:lineRule="auto" w:line="240" w:before="280" w:after="0"/>
              <w:jc w:val="both"/>
              <w:rPr/>
            </w:pPr>
            <w:r>
              <w:rPr>
                <w:color w:val="000000"/>
                <w:sz w:val="22"/>
                <w:szCs w:val="22"/>
                <w:shd w:fill="FFFFFF" w:val="clear"/>
              </w:rPr>
              <w:t xml:space="preserve">Калибратор </w:t>
            </w:r>
          </w:p>
        </w:tc>
        <w:tc>
          <w:tcPr>
            <w:tcW w:w="5209" w:type="dxa"/>
            <w:tcBorders>
              <w:top w:val="nil"/>
              <w:right w:val="nil"/>
              <w:insideV w:val="nil"/>
            </w:tcBorders>
            <w:shd w:color="auto" w:fill="auto" w:val="clear"/>
            <w:tcMar>
              <w:left w:w="50" w:type="dxa"/>
            </w:tcMar>
          </w:tcPr>
          <w:p>
            <w:pPr>
              <w:pStyle w:val="Normal"/>
              <w:spacing w:lineRule="auto" w:line="240" w:before="0" w:after="0"/>
              <w:rPr/>
            </w:pPr>
            <w:r>
              <w:rPr>
                <w:rFonts w:cs="Times New Roman" w:ascii="Times New Roman" w:hAnsi="Times New Roman"/>
              </w:rPr>
              <w:t xml:space="preserve">CalibrantFluid Pack для количественного определения газов и химического состава крови для диагностики invitro, в вариантах исполнения: СP50,CP100.  Предназначен для установления референтных значений при количественном определении парциального давления кислорода (pO2), парциального давления углекислого газа (pCO2), pH, концентрации ионов калия (K+), концентрации ионов натрия (Na+), концентрации ионов хлора (Cl-), концентрации ионизированного кальция (Ca++) в клиническом образце на анализаторе газов и химического состава крови i15. Представляет собой контейнер с крышкой, внутри контейнера находится пакет с калибровочным раствором. Контейнер с крышкой упакован в герметичный пакет из фольги (индивидуальную упаковку). При установке  контейнера в анализатор, анализатор аспирирует калибровочный раствор, который </w:t>
            </w:r>
            <w:r>
              <w:rPr>
                <w:rFonts w:ascii="Times New Roman" w:hAnsi="Times New Roman"/>
                <w:sz w:val="22"/>
                <w:szCs w:val="22"/>
              </w:rPr>
              <w:t>подаётся через иглу контейнера, калибровочный раствор находится в пакете для калибровочного раствора, находящимся внутри контейнера. Для предотвращения утечки калибровочного раствора через иглу контейнера, используется клапан и ключ, который предотвращает движение клапана. Клапан пережимает трубку, через которую анализатор аспирирует калибровочный раствор. Набор содержит 6 калибровочных блоков по 50 тестов, сроком после установки 30 дней. Уп/300 тестов, предназначен для аппатата EDAN I-15</w:t>
            </w:r>
          </w:p>
        </w:tc>
        <w:tc>
          <w:tcPr>
            <w:tcW w:w="1036"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rPr>
              <w:t>упаковка</w:t>
            </w:r>
          </w:p>
        </w:tc>
        <w:tc>
          <w:tcPr>
            <w:tcW w:w="95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12</w:t>
            </w:r>
          </w:p>
        </w:tc>
        <w:tc>
          <w:tcPr>
            <w:tcW w:w="1363"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260 000,</w:t>
            </w:r>
            <w:r>
              <w:rPr>
                <w:rFonts w:cs="Times New Roman" w:ascii="Times New Roman" w:hAnsi="Times New Roman"/>
              </w:rPr>
              <w:t>00</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pPr>
            <w:r>
              <w:rPr>
                <w:rFonts w:eastAsia="Times New Roman" w:cs="Times New Roman" w:ascii="Times New Roman" w:hAnsi="Times New Roman"/>
                <w:color w:val="000000"/>
              </w:rPr>
              <w:t>3 120 000,</w:t>
            </w:r>
            <w:r>
              <w:rPr>
                <w:rFonts w:eastAsia="Times New Roman" w:cs="Times New Roman" w:ascii="Times New Roman" w:hAnsi="Times New Roman"/>
                <w:color w:val="000000"/>
              </w:rPr>
              <w:t>00</w:t>
            </w:r>
          </w:p>
        </w:tc>
        <w:tc>
          <w:tcPr>
            <w:tcW w:w="2385" w:type="dxa"/>
            <w:tcBorders>
              <w:top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bl>
    <w:p>
      <w:pPr>
        <w:pStyle w:val="Normal"/>
        <w:spacing w:before="0" w:after="0"/>
        <w:ind w:firstLine="400"/>
        <w:jc w:val="both"/>
        <w:rPr>
          <w:rStyle w:val="S0"/>
          <w:b/>
          <w:b/>
          <w:bCs/>
        </w:rPr>
      </w:pPr>
      <w:r>
        <w:rPr/>
      </w:r>
    </w:p>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w:t>
      </w:r>
      <w:r>
        <w:rPr>
          <w:rStyle w:val="S0"/>
        </w:rPr>
        <w:t>23</w:t>
      </w:r>
      <w:r>
        <w:rPr>
          <w:rStyle w:val="S0"/>
        </w:rPr>
        <w:t xml:space="preserve">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w:t>
      </w:r>
      <w:r>
        <w:rPr>
          <w:rStyle w:val="S0"/>
        </w:rPr>
        <w:t>30</w:t>
      </w:r>
      <w:r>
        <w:rPr>
          <w:rStyle w:val="S0"/>
        </w:rPr>
        <w:t xml:space="preserve">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30</w:t>
      </w:r>
      <w:r>
        <w:rPr>
          <w:rStyle w:val="S0"/>
        </w:rPr>
        <w:t xml:space="preserve"> апреля 2024 года в 1</w:t>
      </w:r>
      <w:r>
        <w:rPr>
          <w:rStyle w:val="S0"/>
        </w:rPr>
        <w:t>0</w:t>
      </w:r>
      <w:r>
        <w:rPr>
          <w:rStyle w:val="S0"/>
        </w:rPr>
        <w:t xml:space="preserve"> часов 00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7</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kk-KZ"/>
        </w:rPr>
        <w:t>Газ оптикалық анализаторына және жабық типтегі I 15 қан химиясына арналған шығын материалдары</w:t>
      </w:r>
    </w:p>
    <w:p>
      <w:pPr>
        <w:pStyle w:val="Normal"/>
        <w:spacing w:lineRule="auto" w:line="240" w:before="0" w:after="0"/>
        <w:jc w:val="center"/>
        <w:rPr>
          <w:rFonts w:ascii="Times New Roman" w:hAnsi="Times New Roman" w:cs="Times New Roman"/>
          <w:b w:val="false"/>
          <w:b w:val="false"/>
          <w:bCs w:val="false"/>
          <w:sz w:val="28"/>
          <w:szCs w:val="28"/>
          <w:lang w:val="kk-KZ"/>
        </w:rPr>
      </w:pPr>
      <w:r>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6</w:t>
      </w:r>
      <w:r>
        <w:rPr>
          <w:rFonts w:ascii="Times New Roman" w:hAnsi="Times New Roman"/>
          <w:lang w:val="kk-KZ"/>
        </w:rPr>
        <w:t xml:space="preserve">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2548"/>
        <w:gridCol w:w="4881"/>
        <w:gridCol w:w="1010"/>
        <w:gridCol w:w="804"/>
        <w:gridCol w:w="1077"/>
        <w:gridCol w:w="1009"/>
        <w:gridCol w:w="2671"/>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254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488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10"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804"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077"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009"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2671" w:type="dxa"/>
            <w:tcBorders/>
            <w:shd w:color="auto" w:fill="auto" w:val="clear"/>
            <w:tcMar>
              <w:left w:w="4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2548"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sz w:val="22"/>
                <w:szCs w:val="22"/>
              </w:rPr>
              <w:t>Реагенттер жиынтығы</w:t>
            </w:r>
          </w:p>
        </w:tc>
        <w:tc>
          <w:tcPr>
            <w:tcW w:w="4881"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I15 Edan жабық жүйесіне арналған арнайы картридж түріндегі реагенттер жиынтығы. Бір картридж келесі сынақтарды бір уақытта орындауға мүмкіндік береді: РН, pO2, pco2, K+, Na+, Cl-, CA++, Hct, Glu, Lac. Картридждің бортында кіріктірілген болуы керек чип жүйеге автоматты түрде сәйкестендіруге, калибрлеуге, сондай-ақ сапаны бақылаудың автоматты жүйесіне мүмкіндік береді. Картриджді оқу уақыты 2 минуттан аспайды. Қаптама: бір қаптама - (25 картридж/қаптама) (4 қаптама/жинақ) №100</w:t>
            </w:r>
          </w:p>
        </w:tc>
        <w:tc>
          <w:tcPr>
            <w:tcW w:w="1010"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Жинақ</w:t>
            </w:r>
          </w:p>
        </w:tc>
        <w:tc>
          <w:tcPr>
            <w:tcW w:w="804" w:type="dx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7</w:t>
            </w:r>
          </w:p>
        </w:tc>
        <w:tc>
          <w:tcPr>
            <w:tcW w:w="1077"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693 000,</w:t>
            </w:r>
            <w:r>
              <w:rPr>
                <w:rFonts w:cs="Times New Roman" w:ascii="Times New Roman" w:hAnsi="Times New Roman"/>
              </w:rPr>
              <w:t>00</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4 851 000,</w:t>
            </w:r>
            <w:r>
              <w:rPr>
                <w:rFonts w:eastAsia="Times New Roman" w:cs="Times New Roman" w:ascii="Times New Roman" w:hAnsi="Times New Roman"/>
                <w:color w:val="000000"/>
              </w:rPr>
              <w:t>00</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2548" w:type="dxa"/>
            <w:tcBorders/>
            <w:shd w:color="auto" w:fill="auto" w:val="clear"/>
            <w:tcMar>
              <w:top w:w="0" w:type="dxa"/>
              <w:left w:w="-5" w:type="dxa"/>
              <w:bottom w:w="0" w:type="dxa"/>
              <w:right w:w="108" w:type="dxa"/>
            </w:tcMar>
          </w:tcPr>
          <w:p>
            <w:pPr>
              <w:pStyle w:val="Normal"/>
              <w:spacing w:lineRule="auto" w:line="240" w:before="0" w:after="0"/>
              <w:jc w:val="left"/>
              <w:rPr/>
            </w:pPr>
            <w:r>
              <w:rPr>
                <w:rFonts w:eastAsia="Calibri" w:cs="Times New Roman" w:ascii="Times New Roman" w:hAnsi="Times New Roman"/>
                <w:sz w:val="22"/>
                <w:szCs w:val="22"/>
                <w:lang w:val="en-US"/>
              </w:rPr>
              <w:t>Реагенттер жиынтығы</w:t>
            </w:r>
          </w:p>
        </w:tc>
        <w:tc>
          <w:tcPr>
            <w:tcW w:w="4881"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BGE сапасын бақылауға арналған сұйық реагент</w:t>
              <w:br/>
              <w:t>- Қандағы 1 деңгей (лактат, глюкоза) (жиынтықта 5 ампула)</w:t>
            </w:r>
          </w:p>
        </w:tc>
        <w:tc>
          <w:tcPr>
            <w:tcW w:w="1010"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Жинақ</w:t>
            </w:r>
          </w:p>
        </w:tc>
        <w:tc>
          <w:tcPr>
            <w:tcW w:w="804" w:type="dx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4</w:t>
            </w:r>
          </w:p>
        </w:tc>
        <w:tc>
          <w:tcPr>
            <w:tcW w:w="1077"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0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2548"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Реагенттер жиынтығы</w:t>
            </w:r>
          </w:p>
        </w:tc>
        <w:tc>
          <w:tcPr>
            <w:tcW w:w="4881"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rPr>
              <w:t>BGE сұйық сапаны бақылау реагенті-2 деңгей (жиынтықтағы 5 ампула)</w:t>
            </w:r>
          </w:p>
        </w:tc>
        <w:tc>
          <w:tcPr>
            <w:tcW w:w="1010"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Жинақ</w:t>
            </w:r>
          </w:p>
        </w:tc>
        <w:tc>
          <w:tcPr>
            <w:tcW w:w="804"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4</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009"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67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2548"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Реагенттер жиынтығы</w:t>
            </w:r>
          </w:p>
        </w:tc>
        <w:tc>
          <w:tcPr>
            <w:tcW w:w="4881"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BGE сұйық сапаны бақылау реагенті-3 деңгей (жиынтықтағы 5 ампула)</w:t>
            </w:r>
          </w:p>
        </w:tc>
        <w:tc>
          <w:tcPr>
            <w:tcW w:w="1010"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Жинақ</w:t>
            </w:r>
          </w:p>
        </w:tc>
        <w:tc>
          <w:tcPr>
            <w:tcW w:w="804"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4</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34 900,</w:t>
            </w:r>
            <w:r>
              <w:rPr>
                <w:rFonts w:cs="Times New Roman" w:ascii="Times New Roman" w:hAnsi="Times New Roman"/>
              </w:rPr>
              <w:t>00</w:t>
            </w:r>
          </w:p>
        </w:tc>
        <w:tc>
          <w:tcPr>
            <w:tcW w:w="1009"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139 600,</w:t>
            </w:r>
            <w:r>
              <w:rPr>
                <w:rFonts w:eastAsia="Times New Roman" w:cs="Times New Roman" w:ascii="Times New Roman" w:hAnsi="Times New Roman"/>
                <w:color w:val="000000"/>
              </w:rPr>
              <w:t>00</w:t>
            </w:r>
          </w:p>
        </w:tc>
        <w:tc>
          <w:tcPr>
            <w:tcW w:w="267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2548"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Қан газын талдауға арналған құрғақ гепарин шприцтері 2 мл №50</w:t>
            </w:r>
          </w:p>
        </w:tc>
        <w:tc>
          <w:tcPr>
            <w:tcW w:w="4881"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Қан газын талдауға арналған құрғақ гепарин шприцтері 2 мл Luer Slip №50</w:t>
            </w:r>
          </w:p>
        </w:tc>
        <w:tc>
          <w:tcPr>
            <w:tcW w:w="1010"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804"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14</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34 500,</w:t>
            </w:r>
            <w:r>
              <w:rPr>
                <w:rFonts w:cs="Times New Roman" w:ascii="Times New Roman" w:hAnsi="Times New Roman"/>
              </w:rPr>
              <w:t>00</w:t>
            </w:r>
          </w:p>
        </w:tc>
        <w:tc>
          <w:tcPr>
            <w:tcW w:w="1009"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483 000,</w:t>
            </w:r>
            <w:r>
              <w:rPr>
                <w:rFonts w:eastAsia="Times New Roman" w:cs="Times New Roman" w:ascii="Times New Roman" w:hAnsi="Times New Roman"/>
                <w:color w:val="000000"/>
              </w:rPr>
              <w:t>00</w:t>
            </w:r>
          </w:p>
        </w:tc>
        <w:tc>
          <w:tcPr>
            <w:tcW w:w="267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ascii="Times New Roman" w:hAnsi="Times New Roman"/>
              </w:rPr>
              <w:t>6</w:t>
            </w:r>
          </w:p>
        </w:tc>
        <w:tc>
          <w:tcPr>
            <w:tcW w:w="2548" w:type="dxa"/>
            <w:tcBorders>
              <w:top w:val="nil"/>
            </w:tcBorders>
            <w:shd w:color="auto" w:fill="auto" w:val="clear"/>
            <w:tcMar>
              <w:top w:w="0" w:type="dxa"/>
              <w:left w:w="-5" w:type="dxa"/>
              <w:bottom w:w="0" w:type="dxa"/>
              <w:right w:w="108" w:type="dxa"/>
            </w:tcMar>
          </w:tcPr>
          <w:p>
            <w:pPr>
              <w:pStyle w:val="NormalWeb"/>
              <w:spacing w:lineRule="auto" w:line="240" w:before="280" w:after="0"/>
              <w:jc w:val="both"/>
              <w:rPr>
                <w:rFonts w:ascii="Times New Roman" w:hAnsi="Times New Roman"/>
              </w:rPr>
            </w:pPr>
            <w:r>
              <w:rPr>
                <w:rFonts w:ascii="Times New Roman" w:hAnsi="Times New Roman"/>
                <w:color w:val="000000"/>
                <w:sz w:val="22"/>
                <w:szCs w:val="22"/>
                <w:shd w:fill="FFFFFF" w:val="clear"/>
              </w:rPr>
              <w:t>Калибратор</w:t>
            </w:r>
          </w:p>
        </w:tc>
        <w:tc>
          <w:tcPr>
            <w:tcW w:w="4881" w:type="dxa"/>
            <w:tcBorders>
              <w:top w:val="nil"/>
            </w:tcBorders>
            <w:shd w:color="auto" w:fill="auto" w:val="clear"/>
            <w:tcMar>
              <w:top w:w="0" w:type="dxa"/>
              <w:left w:w="-5" w:type="dxa"/>
              <w:bottom w:w="0" w:type="dxa"/>
              <w:right w:w="108" w:type="dxa"/>
            </w:tcMar>
          </w:tcPr>
          <w:p>
            <w:pPr>
              <w:pStyle w:val="Normal"/>
              <w:spacing w:lineRule="auto" w:line="240" w:before="0" w:after="0"/>
              <w:jc w:val="left"/>
              <w:rPr>
                <w:rFonts w:ascii="Times New Roman" w:hAnsi="Times New Roman"/>
              </w:rPr>
            </w:pPr>
            <w:r>
              <w:rPr>
                <w:rFonts w:ascii="Times New Roman" w:hAnsi="Times New Roman"/>
              </w:rPr>
              <w:t>Calibrantfluid pack invitro диагностикасы үшін газдар мен қан химиясын сандық анықтауға арналған,орындау нұсқаларында: CP50, CP100.  Оттегінің парциалды қысымын (pO2), көмірқышқыл газының парциалды қысымын (pCO2), РН, калий ионының концентрациясын (k+), натрий ионының концентрациясын (Na+), хлор ионының концентрациясын (Cl-), клиникалық үлгідегі иондалған кальцийдің (Ca++) концентрациясын сандық анықтауға арналған. газ анализаторы және қанның химиялық құрамы i15. Бұл қақпағы бар контейнер, контейнердің ішінде калибрлеу ерітіндісі бар пакет бар. Қақпағы бар Контейнер тығыздалған фольга пакетіне (жеке қаптамаға) оралған. Контейнерді анализаторға орнатқан кезде анализатор контейнер инесі арқылы берілетін калибрлеу ерітіндісін сорып алады, калибрлеу ерітіндісі контейнер ішіндегі калибрлеу ерітіндісіне арналған пакетте болады. Калибрлеу ерітіндісінің контейнер инесі арқылы ағып кетуіне жол бермеу үшін клапан мен клапанның қозғалуына жол бермейтін кілт қолданылады. Клапан түтікті қысады, ол арқылы анализатор калибрлеу ерітіндісін сорады. Жиынтықта 50 сынақтан тұратын 6 калибрлеу блогы бар, орнатылғаннан кейін 30 күн. Up / 300 тест, EDAN I-15 аппататына арналған</w:t>
            </w:r>
          </w:p>
        </w:tc>
        <w:tc>
          <w:tcPr>
            <w:tcW w:w="1010"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804"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12</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cs="Times New Roman" w:ascii="Times New Roman" w:hAnsi="Times New Roman"/>
              </w:rPr>
              <w:t>260 000,</w:t>
            </w:r>
            <w:r>
              <w:rPr>
                <w:rFonts w:cs="Times New Roman" w:ascii="Times New Roman" w:hAnsi="Times New Roman"/>
              </w:rPr>
              <w:t>00</w:t>
            </w:r>
          </w:p>
        </w:tc>
        <w:tc>
          <w:tcPr>
            <w:tcW w:w="1009"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pPr>
            <w:r>
              <w:rPr>
                <w:rFonts w:eastAsia="Times New Roman" w:cs="Times New Roman" w:ascii="Times New Roman" w:hAnsi="Times New Roman"/>
                <w:color w:val="000000"/>
              </w:rPr>
              <w:t>3 120 000,</w:t>
            </w:r>
            <w:r>
              <w:rPr>
                <w:rFonts w:eastAsia="Times New Roman" w:cs="Times New Roman" w:ascii="Times New Roman" w:hAnsi="Times New Roman"/>
                <w:color w:val="000000"/>
              </w:rPr>
              <w:t>00</w:t>
            </w:r>
          </w:p>
        </w:tc>
        <w:tc>
          <w:tcPr>
            <w:tcW w:w="267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bl>
    <w:p>
      <w:pPr>
        <w:pStyle w:val="HTMLPreformatted"/>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Pr>
          <w:rFonts w:ascii="Times New Roman" w:hAnsi="Times New Roman"/>
          <w:color w:val="000000"/>
          <w:sz w:val="22"/>
          <w:szCs w:val="22"/>
          <w:lang w:val="kk-KZ"/>
        </w:rPr>
        <w:t>23</w:t>
      </w:r>
      <w:r>
        <w:rPr>
          <w:rFonts w:ascii="Times New Roman" w:hAnsi="Times New Roman"/>
          <w:color w:val="000000"/>
          <w:sz w:val="22"/>
          <w:szCs w:val="22"/>
          <w:lang w:val="kk-KZ"/>
        </w:rPr>
        <w:t xml:space="preserve">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r>
        <w:rPr>
          <w:rFonts w:ascii="Times New Roman" w:hAnsi="Times New Roman"/>
          <w:color w:val="000000"/>
          <w:sz w:val="22"/>
          <w:szCs w:val="22"/>
          <w:lang w:val="ru-RU"/>
        </w:rPr>
        <w:t>30</w:t>
      </w:r>
      <w:bookmarkStart w:id="2" w:name="__DdeLink__509_211623699"/>
      <w:bookmarkStart w:id="3" w:name="__DdeLink__622_168555325"/>
      <w:bookmarkStart w:id="4" w:name="__DdeLink__285_2132574804"/>
      <w:bookmarkStart w:id="5" w:name="__DdeLink__1059_1858256801"/>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30</w:t>
      </w:r>
      <w:bookmarkStart w:id="7" w:name="__DdeLink__622_1685553251"/>
      <w:bookmarkStart w:id="8" w:name="__DdeLink__285_21325748041"/>
      <w:bookmarkStart w:id="9" w:name="__DdeLink__1059_1858256801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Application>LibreOffice/5.2.2.2$Windows_X86_64 LibreOffice_project/8f96e87c890bf8fa77463cd4b640a2312823f3ad</Application>
  <Pages>6</Pages>
  <Words>1455</Words>
  <Characters>9669</Characters>
  <CharactersWithSpaces>11079</CharactersWithSpaces>
  <Paragraphs>128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2024-04-22T12:47:50Z</cp:lastPrinted>
  <dcterms:modified xsi:type="dcterms:W3CDTF">2024-04-22T12:49:51Z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