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Объявление о проведении закупа МИ</w:t>
      </w:r>
      <w:r>
        <w:rPr>
          <w:rFonts w:cs="Times New Roman" w:ascii="Times New Roman" w:hAnsi="Times New Roman"/>
          <w:b/>
          <w:sz w:val="20"/>
          <w:szCs w:val="20"/>
        </w:rPr>
        <w:t xml:space="preserve">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rPr>
        <w:t>20</w:t>
      </w:r>
    </w:p>
    <w:p>
      <w:pPr>
        <w:pStyle w:val="Normal"/>
        <w:tabs>
          <w:tab w:val="left" w:pos="11415" w:leader="none"/>
        </w:tabs>
        <w:spacing w:lineRule="auto" w:line="240" w:before="0" w:after="0"/>
        <w:jc w:val="center"/>
        <w:rPr>
          <w:b w:val="false"/>
          <w:b w:val="false"/>
          <w:bCs w:val="false"/>
          <w:sz w:val="32"/>
          <w:szCs w:val="32"/>
        </w:rPr>
      </w:pPr>
      <w:r>
        <w:rPr>
          <w:rFonts w:cs="Times New Roman" w:ascii="Times New Roman" w:hAnsi="Times New Roman"/>
          <w:b w:val="false"/>
          <w:bCs w:val="false"/>
          <w:sz w:val="32"/>
          <w:szCs w:val="32"/>
        </w:rPr>
        <w:t>Р</w:t>
      </w:r>
      <w:r>
        <w:rPr>
          <w:rFonts w:cs="Times New Roman" w:ascii="Times New Roman" w:hAnsi="Times New Roman"/>
          <w:b w:val="false"/>
          <w:bCs w:val="false"/>
          <w:sz w:val="32"/>
          <w:szCs w:val="32"/>
        </w:rPr>
        <w:t>асходны</w:t>
      </w:r>
      <w:r>
        <w:rPr>
          <w:rFonts w:cs="Times New Roman" w:ascii="Times New Roman" w:hAnsi="Times New Roman"/>
          <w:b w:val="false"/>
          <w:bCs w:val="false"/>
          <w:sz w:val="32"/>
          <w:szCs w:val="32"/>
        </w:rPr>
        <w:t>е</w:t>
      </w:r>
      <w:r>
        <w:rPr>
          <w:rFonts w:cs="Times New Roman" w:ascii="Times New Roman" w:hAnsi="Times New Roman"/>
          <w:b w:val="false"/>
          <w:bCs w:val="false"/>
          <w:sz w:val="32"/>
          <w:szCs w:val="32"/>
        </w:rPr>
        <w:t xml:space="preserve"> материал</w:t>
      </w:r>
      <w:r>
        <w:rPr>
          <w:rFonts w:cs="Times New Roman" w:ascii="Times New Roman" w:hAnsi="Times New Roman"/>
          <w:b w:val="false"/>
          <w:bCs w:val="false"/>
          <w:sz w:val="32"/>
          <w:szCs w:val="32"/>
        </w:rPr>
        <w:t>ы</w:t>
      </w:r>
      <w:r>
        <w:rPr>
          <w:rFonts w:cs="Times New Roman" w:ascii="Times New Roman" w:hAnsi="Times New Roman"/>
          <w:b w:val="false"/>
          <w:bCs w:val="false"/>
          <w:sz w:val="32"/>
          <w:szCs w:val="32"/>
        </w:rPr>
        <w:t xml:space="preserve"> </w:t>
      </w:r>
      <w:r>
        <w:rPr>
          <w:rFonts w:cs="Times New Roman" w:ascii="Times New Roman" w:hAnsi="Times New Roman"/>
          <w:b w:val="false"/>
          <w:bCs w:val="false"/>
          <w:sz w:val="32"/>
          <w:szCs w:val="32"/>
          <w:lang w:val="kk-KZ"/>
        </w:rPr>
        <w:t xml:space="preserve">для  анализатора мочи </w:t>
      </w:r>
      <w:r>
        <w:rPr>
          <w:rFonts w:cs="Times New Roman" w:ascii="Times New Roman" w:hAnsi="Times New Roman"/>
          <w:b w:val="false"/>
          <w:bCs w:val="false"/>
          <w:sz w:val="32"/>
          <w:szCs w:val="32"/>
          <w:u w:val="none"/>
          <w:lang w:val="en-US"/>
        </w:rPr>
        <w:t>Aution Eleven модели АЕ-4020</w:t>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b/>
          <w:sz w:val="21"/>
          <w:szCs w:val="21"/>
        </w:rPr>
        <w:t xml:space="preserve"> </w:t>
      </w:r>
      <w:r>
        <w:rPr>
          <w:rFonts w:cs="Times New Roman" w:ascii="Times New Roman" w:hAnsi="Times New Roman"/>
          <w:sz w:val="21"/>
          <w:szCs w:val="21"/>
        </w:rPr>
        <w:t>КГП на ПХВ</w:t>
      </w:r>
      <w:r>
        <w:rPr>
          <w:rFonts w:cs="Times New Roman" w:ascii="Times New Roman" w:hAnsi="Times New Roman"/>
          <w:color w:val="000000"/>
          <w:sz w:val="21"/>
          <w:szCs w:val="21"/>
        </w:rPr>
        <w:t xml:space="preserve"> «Восточно-Казахстанский областной фтизиопульмонологический центр» </w:t>
      </w:r>
      <w:r>
        <w:rPr>
          <w:rFonts w:cs="Times New Roman" w:ascii="Times New Roman" w:hAnsi="Times New Roman"/>
          <w:smallCaps/>
          <w:color w:val="000000"/>
          <w:sz w:val="21"/>
          <w:szCs w:val="21"/>
        </w:rPr>
        <w:t>УЗ ВКО</w:t>
      </w:r>
      <w:r>
        <w:rPr>
          <w:rFonts w:cs="Times New Roman" w:ascii="Times New Roman" w:hAnsi="Times New Roman"/>
          <w:sz w:val="21"/>
          <w:szCs w:val="21"/>
        </w:rPr>
        <w:t xml:space="preserve">, </w:t>
      </w:r>
      <w:r>
        <w:rPr>
          <w:rFonts w:cs="Times New Roman" w:ascii="Times New Roman" w:hAnsi="Times New Roman"/>
          <w:sz w:val="21"/>
          <w:szCs w:val="21"/>
          <w:lang w:val="kk-KZ"/>
        </w:rPr>
        <w:t xml:space="preserve">Юридический адрес: </w:t>
      </w:r>
      <w:r>
        <w:rPr>
          <w:rFonts w:ascii="Times New Roman" w:hAnsi="Times New Roman"/>
          <w:sz w:val="21"/>
          <w:szCs w:val="21"/>
          <w:lang w:val="kk-KZ"/>
        </w:rPr>
        <w:t xml:space="preserve">РК, 070512,ВКО, Глубоковский район, с. Опытное поле </w:t>
      </w:r>
      <w:r>
        <w:rPr>
          <w:rFonts w:ascii="Times New Roman" w:hAnsi="Times New Roman"/>
          <w:sz w:val="21"/>
          <w:szCs w:val="21"/>
        </w:rPr>
        <w:t xml:space="preserve">ул.Локомотивная, 3/1 </w:t>
      </w:r>
      <w:r>
        <w:rPr>
          <w:rFonts w:ascii="Times New Roman" w:hAnsi="Times New Roman"/>
          <w:sz w:val="21"/>
          <w:szCs w:val="21"/>
          <w:lang w:val="kk-KZ"/>
        </w:rPr>
        <w:t xml:space="preserve">Фактический адрес: РК, ВКО, г.Усть-Каменогорск, ул.Белинского,39 РНН 181800001325 </w:t>
      </w:r>
      <w:r>
        <w:rPr>
          <w:rFonts w:cs="Times New Roman" w:ascii="Times New Roman" w:hAnsi="Times New Roman"/>
          <w:sz w:val="21"/>
          <w:szCs w:val="21"/>
          <w:lang w:val="kk-KZ"/>
        </w:rPr>
        <w:t>ИИК KZ1796504</w:t>
      </w:r>
      <w:r>
        <w:rPr>
          <w:rFonts w:cs="Times New Roman" w:ascii="Times New Roman" w:hAnsi="Times New Roman"/>
          <w:sz w:val="21"/>
          <w:szCs w:val="21"/>
          <w:lang w:val="en-US"/>
        </w:rPr>
        <w:t>F</w:t>
      </w:r>
      <w:r>
        <w:rPr>
          <w:rFonts w:cs="Times New Roman" w:ascii="Times New Roman" w:hAnsi="Times New Roman"/>
          <w:sz w:val="21"/>
          <w:szCs w:val="21"/>
          <w:lang w:val="kk-KZ"/>
        </w:rPr>
        <w:t>0008462982 АО «</w:t>
      </w:r>
      <w:r>
        <w:rPr>
          <w:rFonts w:cs="Times New Roman" w:ascii="Times New Roman" w:hAnsi="Times New Roman"/>
          <w:sz w:val="21"/>
          <w:szCs w:val="21"/>
          <w:lang w:val="en-US"/>
        </w:rPr>
        <w:t>ForteBank</w:t>
      </w:r>
      <w:r>
        <w:rPr>
          <w:rFonts w:cs="Times New Roman" w:ascii="Times New Roman" w:hAnsi="Times New Roman"/>
          <w:sz w:val="21"/>
          <w:szCs w:val="21"/>
          <w:lang w:val="kk-KZ"/>
        </w:rPr>
        <w:t xml:space="preserve">»  БИК </w:t>
      </w:r>
      <w:bookmarkStart w:id="0" w:name="__DdeLink__405_314609777"/>
      <w:r>
        <w:rPr>
          <w:rFonts w:cs="Times New Roman" w:ascii="Times New Roman" w:hAnsi="Times New Roman"/>
          <w:sz w:val="21"/>
          <w:szCs w:val="21"/>
          <w:lang w:val="kk-KZ"/>
        </w:rPr>
        <w:t>IRTYKZKA</w:t>
      </w:r>
      <w:bookmarkEnd w:id="0"/>
      <w:r>
        <w:rPr>
          <w:rFonts w:cs="Times New Roman" w:ascii="Times New Roman" w:hAnsi="Times New Roman"/>
          <w:sz w:val="21"/>
          <w:szCs w:val="21"/>
          <w:lang w:val="kk-KZ"/>
        </w:rPr>
        <w:t xml:space="preserve"> </w:t>
      </w:r>
      <w:r>
        <w:rPr>
          <w:rFonts w:ascii="Times New Roman" w:hAnsi="Times New Roman"/>
          <w:sz w:val="21"/>
          <w:szCs w:val="21"/>
          <w:lang w:val="kk-KZ"/>
        </w:rPr>
        <w:t xml:space="preserve">БИН 960340000356, КБЕ 16 </w:t>
      </w:r>
      <w:r>
        <w:rPr>
          <w:rFonts w:ascii="Times New Roman" w:hAnsi="Times New Roman"/>
          <w:sz w:val="21"/>
          <w:szCs w:val="21"/>
        </w:rPr>
        <w:t>в соответствии с П</w:t>
      </w:r>
      <w:r>
        <w:rPr>
          <w:rStyle w:val="S1"/>
          <w:rFonts w:eastAsia="Calibri"/>
          <w:b w:val="false"/>
          <w:bCs w:val="false"/>
          <w:sz w:val="21"/>
          <w:szCs w:val="21"/>
          <w:highlight w:val="white"/>
          <w:lang w:eastAsia="en-US"/>
        </w:rPr>
        <w:t>равилами организации и проведения закупа</w:t>
      </w:r>
      <w:r>
        <w:rPr>
          <w:rStyle w:val="S1"/>
          <w:rFonts w:eastAsia="Calibri"/>
          <w:b w:val="false"/>
          <w:bCs w:val="false"/>
          <w:spacing w:val="2"/>
          <w:sz w:val="21"/>
          <w:szCs w:val="21"/>
          <w:highlight w:val="white"/>
          <w:lang w:eastAsia="en-US"/>
        </w:rPr>
        <w:t xml:space="preserve"> </w:t>
      </w:r>
      <w:r>
        <w:rPr>
          <w:rStyle w:val="S1"/>
          <w:rFonts w:eastAsia="Calibri"/>
          <w:b w:val="false"/>
          <w:bCs w:val="false"/>
          <w:sz w:val="21"/>
          <w:szCs w:val="21"/>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false"/>
          <w:sz w:val="21"/>
          <w:szCs w:val="21"/>
        </w:rPr>
        <w:t xml:space="preserve">, </w:t>
      </w:r>
      <w:r>
        <w:rPr>
          <w:rStyle w:val="S1"/>
          <w:b w:val="false"/>
          <w:bCs w:val="false"/>
          <w:sz w:val="21"/>
          <w:szCs w:val="21"/>
          <w:lang w:val="kk-KZ"/>
        </w:rPr>
        <w:t>утвержден</w:t>
      </w:r>
      <w:r>
        <w:rPr>
          <w:rStyle w:val="S1"/>
          <w:b w:val="false"/>
          <w:bCs w:val="false"/>
          <w:sz w:val="21"/>
          <w:szCs w:val="21"/>
        </w:rPr>
        <w:t xml:space="preserve">ные Приказом </w:t>
      </w:r>
      <w:r>
        <w:rPr>
          <w:rFonts w:cs="Times New Roman" w:ascii="Times New Roman" w:hAnsi="Times New Roman"/>
          <w:bCs/>
          <w:color w:val="000000"/>
          <w:sz w:val="21"/>
          <w:szCs w:val="21"/>
          <w:shd w:fill="FFFFFF" w:val="clear"/>
        </w:rPr>
        <w:t xml:space="preserve"> МЗ РК  от 7 июня 2023 года № 110</w:t>
      </w:r>
      <w:r>
        <w:rPr>
          <w:rStyle w:val="S1"/>
          <w:b w:val="false"/>
          <w:bCs w:val="false"/>
          <w:sz w:val="21"/>
          <w:szCs w:val="21"/>
        </w:rPr>
        <w:t xml:space="preserve"> (2 лота).</w:t>
      </w:r>
    </w:p>
    <w:p>
      <w:pPr>
        <w:pStyle w:val="Normal"/>
        <w:spacing w:lineRule="auto" w:line="240" w:before="0" w:after="0"/>
        <w:jc w:val="both"/>
        <w:rPr/>
      </w:pPr>
      <w:r>
        <w:rPr>
          <w:rFonts w:cs="Times New Roman" w:ascii="Times New Roman" w:hAnsi="Times New Roman"/>
          <w:sz w:val="21"/>
          <w:szCs w:val="21"/>
        </w:rPr>
        <w:t xml:space="preserve">     </w:t>
      </w:r>
      <w:r>
        <w:rPr>
          <w:rFonts w:cs="Times New Roman" w:ascii="Times New Roman" w:hAnsi="Times New Roman"/>
          <w:color w:val="000000"/>
          <w:spacing w:val="2"/>
          <w:sz w:val="21"/>
          <w:szCs w:val="21"/>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cs="Times New Roman" w:ascii="Times New Roman" w:hAnsi="Times New Roman"/>
        </w:rPr>
        <w:t xml:space="preserve">          </w:t>
      </w:r>
    </w:p>
    <w:tbl>
      <w:tblPr>
        <w:tblStyle w:val="af4"/>
        <w:tblW w:w="14605" w:type="dxa"/>
        <w:jc w:val="left"/>
        <w:tblInd w:w="-35" w:type="dxa"/>
        <w:tblCellMar>
          <w:top w:w="55" w:type="dxa"/>
          <w:left w:w="50" w:type="dxa"/>
          <w:bottom w:w="55" w:type="dxa"/>
          <w:right w:w="55" w:type="dxa"/>
        </w:tblCellMar>
        <w:tblLook w:firstRow="1" w:noVBand="1" w:lastRow="0" w:firstColumn="1" w:lastColumn="0" w:noHBand="0" w:val="04a0"/>
      </w:tblPr>
      <w:tblGrid>
        <w:gridCol w:w="573"/>
        <w:gridCol w:w="1200"/>
        <w:gridCol w:w="7254"/>
        <w:gridCol w:w="859"/>
        <w:gridCol w:w="791"/>
        <w:gridCol w:w="914"/>
        <w:gridCol w:w="1077"/>
        <w:gridCol w:w="1935"/>
      </w:tblGrid>
      <w:tr>
        <w:trPr/>
        <w:tc>
          <w:tcPr>
            <w:tcW w:w="573"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sz w:val="21"/>
                <w:szCs w:val="21"/>
              </w:rPr>
              <w:t xml:space="preserve">№ </w:t>
            </w:r>
            <w:r>
              <w:rPr>
                <w:rFonts w:cs="Times New Roman" w:ascii="Times New Roman" w:hAnsi="Times New Roman"/>
                <w:sz w:val="21"/>
                <w:szCs w:val="21"/>
              </w:rPr>
              <w:t>лота</w:t>
            </w:r>
          </w:p>
        </w:tc>
        <w:tc>
          <w:tcPr>
            <w:tcW w:w="1200"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sz w:val="21"/>
                <w:szCs w:val="21"/>
              </w:rPr>
              <w:t>Наименование закупаемых товаров</w:t>
            </w:r>
          </w:p>
        </w:tc>
        <w:tc>
          <w:tcPr>
            <w:tcW w:w="7254"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sz w:val="21"/>
                <w:szCs w:val="21"/>
              </w:rPr>
              <w:t>Характеристика закупаемых товаров,  работ, услуг</w:t>
            </w:r>
          </w:p>
        </w:tc>
        <w:tc>
          <w:tcPr>
            <w:tcW w:w="859"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sz w:val="21"/>
                <w:szCs w:val="21"/>
              </w:rPr>
              <w:t>Единица измерения</w:t>
            </w:r>
          </w:p>
        </w:tc>
        <w:tc>
          <w:tcPr>
            <w:tcW w:w="791"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sz w:val="21"/>
                <w:szCs w:val="21"/>
              </w:rPr>
              <w:t>Количество , объем</w:t>
            </w:r>
          </w:p>
        </w:tc>
        <w:tc>
          <w:tcPr>
            <w:tcW w:w="914"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sz w:val="21"/>
                <w:szCs w:val="21"/>
              </w:rPr>
              <w:t>Цена за единицу</w:t>
            </w:r>
          </w:p>
        </w:tc>
        <w:tc>
          <w:tcPr>
            <w:tcW w:w="1077" w:type="dxa"/>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sz w:val="21"/>
                <w:szCs w:val="21"/>
              </w:rPr>
              <w:t>Сумма, выделенная для закупа</w:t>
            </w:r>
          </w:p>
        </w:tc>
        <w:tc>
          <w:tcPr>
            <w:tcW w:w="1935" w:type="dxa"/>
            <w:tcBorders/>
            <w:shd w:color="auto" w:fill="auto" w:val="clear"/>
            <w:tcMar>
              <w:left w:w="45"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sz w:val="21"/>
                <w:szCs w:val="21"/>
              </w:rPr>
              <w:t>Сроки, условия и место поставки</w:t>
            </w:r>
          </w:p>
        </w:tc>
      </w:tr>
      <w:tr>
        <w:trPr>
          <w:trHeight w:val="913" w:hRule="atLeast"/>
        </w:trPr>
        <w:tc>
          <w:tcPr>
            <w:tcW w:w="573" w:type="dxa"/>
            <w:tcBorders>
              <w:top w:val="nil"/>
              <w:right w:val="nil"/>
              <w:insideV w:val="nil"/>
            </w:tcBorders>
            <w:shd w:color="auto" w:fill="auto" w:val="clear"/>
            <w:tcMar>
              <w:left w:w="50" w:type="dxa"/>
            </w:tcMar>
          </w:tcPr>
          <w:p>
            <w:pPr>
              <w:pStyle w:val="Normal"/>
              <w:spacing w:lineRule="auto" w:line="240" w:before="0" w:after="0"/>
              <w:jc w:val="center"/>
              <w:rPr>
                <w:rFonts w:ascii="Times New Roman" w:hAnsi="Times New Roman"/>
              </w:rPr>
            </w:pPr>
            <w:r>
              <w:rPr>
                <w:rFonts w:cs="Times New Roman" w:ascii="Times New Roman" w:hAnsi="Times New Roman"/>
                <w:sz w:val="21"/>
                <w:szCs w:val="21"/>
              </w:rPr>
              <w:t>1</w:t>
            </w:r>
          </w:p>
        </w:tc>
        <w:tc>
          <w:tcPr>
            <w:tcW w:w="1200" w:type="dxa"/>
            <w:tcBorders>
              <w:top w:val="nil"/>
              <w:right w:val="nil"/>
              <w:insideV w:val="nil"/>
            </w:tcBorders>
            <w:shd w:color="auto" w:fill="auto" w:val="clear"/>
            <w:tcMar>
              <w:left w:w="50" w:type="dxa"/>
            </w:tcMar>
          </w:tcPr>
          <w:p>
            <w:pPr>
              <w:pStyle w:val="Normal"/>
              <w:spacing w:lineRule="auto" w:line="240" w:before="0" w:after="0"/>
              <w:rPr>
                <w:sz w:val="21"/>
                <w:szCs w:val="21"/>
              </w:rPr>
            </w:pPr>
            <w:r>
              <w:rPr>
                <w:rFonts w:eastAsia="Calibri" w:cs="Times New Roman" w:ascii="Times New Roman" w:hAnsi="Times New Roman"/>
                <w:sz w:val="21"/>
                <w:szCs w:val="21"/>
              </w:rPr>
              <w:t>Тест-полоски для мочевых исследований</w:t>
            </w:r>
          </w:p>
        </w:tc>
        <w:tc>
          <w:tcPr>
            <w:tcW w:w="7254" w:type="dxa"/>
            <w:tcBorders>
              <w:top w:val="nil"/>
              <w:right w:val="nil"/>
              <w:insideV w:val="nil"/>
            </w:tcBorders>
            <w:shd w:color="auto" w:fill="auto" w:val="clear"/>
            <w:tcMar>
              <w:left w:w="50" w:type="dxa"/>
            </w:tcMar>
          </w:tcPr>
          <w:p>
            <w:pPr>
              <w:pStyle w:val="Normal"/>
              <w:spacing w:lineRule="auto" w:line="240" w:before="0" w:after="0"/>
              <w:rPr>
                <w:sz w:val="21"/>
                <w:szCs w:val="21"/>
              </w:rPr>
            </w:pPr>
            <w:r>
              <w:rPr>
                <w:rFonts w:eastAsia="Calibri" w:cs="Times New Roman" w:ascii="Times New Roman" w:hAnsi="Times New Roman"/>
                <w:sz w:val="21"/>
                <w:szCs w:val="21"/>
              </w:rPr>
              <w:t>Тест-полосы для мочевых исследований на анализаторе. Фасовка: не менее 100 тест-полосок в одной тубе. Определение не менее 10 аналитов. Время определения результата по всем аналитам не более 60 секунд. Строгая последовательность расположения тестовых зон по каждому определяемому аналиту.  Каждая полоска должна оснащаться идентификационной зоной для совместимости с анализатором. Высокая чувствительность при определении каждого аналита. Диапазоны определения: глюкоза 50-1000 мг/дл, белок15-1000 мг/дл, билирубин  0.5 - мг/дл, уробилиноген 2-8 мг/дл, рН5-9, удельный вес1.000 – 1.030, кровь (гемоглобин)  0.03 – 1.0мг/дл, кетоны  5-150 мг/дл, нитриты 0.08 – 0.5 мг/дл, лейкоциты 25-300 Leu/uL</w:t>
            </w:r>
          </w:p>
        </w:tc>
        <w:tc>
          <w:tcPr>
            <w:tcW w:w="859" w:type="dxa"/>
            <w:tcBorders>
              <w:top w:val="nil"/>
              <w:right w:val="nil"/>
              <w:insideV w:val="nil"/>
            </w:tcBorders>
            <w:shd w:color="auto" w:fill="auto" w:val="clear"/>
            <w:tcMar>
              <w:left w:w="50" w:type="dxa"/>
            </w:tcMar>
          </w:tcPr>
          <w:p>
            <w:pPr>
              <w:pStyle w:val="Normal"/>
              <w:spacing w:lineRule="auto" w:line="240" w:before="0" w:after="0"/>
              <w:jc w:val="center"/>
              <w:rPr>
                <w:sz w:val="21"/>
                <w:szCs w:val="21"/>
              </w:rPr>
            </w:pPr>
            <w:r>
              <w:rPr>
                <w:rFonts w:eastAsia="Times New Roman" w:cs="Times New Roman" w:ascii="Times New Roman" w:hAnsi="Times New Roman"/>
                <w:color w:val="000000"/>
                <w:sz w:val="21"/>
                <w:szCs w:val="21"/>
              </w:rPr>
              <w:t>упак</w:t>
            </w:r>
            <w:r>
              <w:rPr>
                <w:rFonts w:eastAsia="Times New Roman" w:cs="Times New Roman" w:ascii="Times New Roman" w:hAnsi="Times New Roman"/>
                <w:color w:val="000000"/>
                <w:sz w:val="21"/>
                <w:szCs w:val="21"/>
              </w:rPr>
              <w:t>овка</w:t>
            </w:r>
          </w:p>
        </w:tc>
        <w:tc>
          <w:tcPr>
            <w:tcW w:w="791" w:type="dxa"/>
            <w:tcBorders>
              <w:top w:val="nil"/>
              <w:right w:val="nil"/>
              <w:insideV w:val="nil"/>
            </w:tcBorders>
            <w:shd w:color="auto" w:fill="auto" w:val="clear"/>
            <w:tcMar>
              <w:left w:w="50" w:type="dxa"/>
            </w:tcMar>
          </w:tcPr>
          <w:p>
            <w:pPr>
              <w:pStyle w:val="Normal"/>
              <w:spacing w:lineRule="auto" w:line="240" w:before="0" w:after="0"/>
              <w:jc w:val="center"/>
              <w:rPr>
                <w:sz w:val="21"/>
                <w:szCs w:val="21"/>
              </w:rPr>
            </w:pPr>
            <w:r>
              <w:rPr>
                <w:rFonts w:eastAsia="Times New Roman" w:cs="Times New Roman" w:ascii="Times New Roman" w:hAnsi="Times New Roman"/>
                <w:color w:val="000000"/>
                <w:sz w:val="21"/>
                <w:szCs w:val="21"/>
              </w:rPr>
              <w:t>10</w:t>
            </w:r>
          </w:p>
        </w:tc>
        <w:tc>
          <w:tcPr>
            <w:tcW w:w="914" w:type="dxa"/>
            <w:tcBorders>
              <w:top w:val="nil"/>
              <w:right w:val="nil"/>
              <w:insideV w:val="nil"/>
            </w:tcBorders>
            <w:shd w:color="auto" w:fill="auto" w:val="clear"/>
            <w:tcMar>
              <w:left w:w="50" w:type="dxa"/>
            </w:tcMar>
          </w:tcPr>
          <w:p>
            <w:pPr>
              <w:pStyle w:val="Normal"/>
              <w:spacing w:lineRule="auto" w:line="240" w:before="0" w:after="0"/>
              <w:jc w:val="center"/>
              <w:rPr>
                <w:sz w:val="21"/>
                <w:szCs w:val="21"/>
              </w:rPr>
            </w:pPr>
            <w:r>
              <w:rPr>
                <w:rFonts w:eastAsia="Times New Roman" w:cs="Times New Roman" w:ascii="Times New Roman" w:hAnsi="Times New Roman"/>
                <w:color w:val="000000"/>
                <w:sz w:val="21"/>
                <w:szCs w:val="21"/>
              </w:rPr>
              <w:t>20 750,00</w:t>
            </w:r>
          </w:p>
        </w:tc>
        <w:tc>
          <w:tcPr>
            <w:tcW w:w="1077" w:type="dxa"/>
            <w:tcBorders>
              <w:top w:val="nil"/>
            </w:tcBorders>
            <w:shd w:color="auto" w:fill="auto" w:val="clear"/>
            <w:tcMar>
              <w:left w:w="50" w:type="dxa"/>
            </w:tcMar>
          </w:tcPr>
          <w:p>
            <w:pPr>
              <w:pStyle w:val="Normal"/>
              <w:spacing w:lineRule="auto" w:line="240" w:before="0" w:after="0"/>
              <w:jc w:val="center"/>
              <w:rPr>
                <w:sz w:val="21"/>
                <w:szCs w:val="21"/>
              </w:rPr>
            </w:pPr>
            <w:r>
              <w:rPr>
                <w:rFonts w:eastAsia="Times New Roman" w:cs="Times New Roman" w:ascii="Times New Roman" w:hAnsi="Times New Roman"/>
                <w:color w:val="000000"/>
                <w:sz w:val="21"/>
                <w:szCs w:val="21"/>
              </w:rPr>
              <w:t>207 500,00</w:t>
            </w:r>
          </w:p>
        </w:tc>
        <w:tc>
          <w:tcPr>
            <w:tcW w:w="1935" w:type="dxa"/>
            <w:tcBorders>
              <w:top w:val="nil"/>
            </w:tcBorders>
            <w:shd w:color="auto" w:fill="auto" w:val="clear"/>
            <w:tcMar>
              <w:left w:w="45" w:type="dxa"/>
            </w:tcMar>
          </w:tcPr>
          <w:p>
            <w:pPr>
              <w:pStyle w:val="Normal"/>
              <w:spacing w:lineRule="auto" w:line="240" w:before="0" w:after="0"/>
              <w:jc w:val="center"/>
              <w:rPr>
                <w:sz w:val="21"/>
                <w:szCs w:val="21"/>
              </w:rPr>
            </w:pPr>
            <w:r>
              <w:rPr>
                <w:rFonts w:cs="Times New Roman" w:ascii="Times New Roman" w:hAnsi="Times New Roman"/>
                <w:color w:val="000000"/>
                <w:sz w:val="21"/>
                <w:szCs w:val="21"/>
              </w:rPr>
              <w:t>Поставка  по заявке по адресу: Глубоковский район, село Опытное поле,  ул. Локомотивная 3/1, аптека</w:t>
            </w:r>
          </w:p>
        </w:tc>
      </w:tr>
      <w:tr>
        <w:trPr>
          <w:trHeight w:val="845" w:hRule="atLeast"/>
        </w:trPr>
        <w:tc>
          <w:tcPr>
            <w:tcW w:w="573" w:type="dxa"/>
            <w:tcBorders>
              <w:top w:val="nil"/>
              <w:right w:val="nil"/>
              <w:insideV w:val="nil"/>
            </w:tcBorders>
            <w:shd w:color="auto" w:fill="auto" w:val="clear"/>
            <w:tcMar>
              <w:left w:w="50" w:type="dxa"/>
            </w:tcMar>
          </w:tcPr>
          <w:p>
            <w:pPr>
              <w:pStyle w:val="Normal"/>
              <w:spacing w:lineRule="auto" w:line="240" w:before="0" w:after="0"/>
              <w:jc w:val="center"/>
              <w:rPr>
                <w:rFonts w:ascii="Times New Roman" w:hAnsi="Times New Roman"/>
                <w:sz w:val="20"/>
                <w:szCs w:val="20"/>
              </w:rPr>
            </w:pPr>
            <w:r>
              <w:rPr>
                <w:rFonts w:ascii="Times New Roman" w:hAnsi="Times New Roman"/>
                <w:sz w:val="21"/>
                <w:szCs w:val="21"/>
              </w:rPr>
              <w:t>2</w:t>
            </w:r>
          </w:p>
        </w:tc>
        <w:tc>
          <w:tcPr>
            <w:tcW w:w="1200" w:type="dxa"/>
            <w:tcBorders>
              <w:top w:val="nil"/>
              <w:right w:val="nil"/>
              <w:insideV w:val="nil"/>
            </w:tcBorders>
            <w:shd w:color="auto" w:fill="auto" w:val="clear"/>
            <w:tcMar>
              <w:left w:w="50" w:type="dxa"/>
            </w:tcMar>
          </w:tcPr>
          <w:p>
            <w:pPr>
              <w:pStyle w:val="Normal"/>
              <w:spacing w:lineRule="auto" w:line="240" w:before="0" w:after="0"/>
              <w:rPr>
                <w:sz w:val="21"/>
                <w:szCs w:val="21"/>
              </w:rPr>
            </w:pPr>
            <w:r>
              <w:rPr>
                <w:rFonts w:eastAsia="Calibri" w:cs="Times New Roman" w:ascii="Times New Roman" w:hAnsi="Times New Roman"/>
                <w:sz w:val="21"/>
                <w:szCs w:val="21"/>
              </w:rPr>
              <w:t>Контроль качества для мочевых исследований</w:t>
            </w:r>
          </w:p>
        </w:tc>
        <w:tc>
          <w:tcPr>
            <w:tcW w:w="7254" w:type="dxa"/>
            <w:tcBorders>
              <w:top w:val="nil"/>
              <w:right w:val="nil"/>
              <w:insideV w:val="nil"/>
            </w:tcBorders>
            <w:shd w:color="auto" w:fill="auto" w:val="clear"/>
            <w:tcMar>
              <w:left w:w="50" w:type="dxa"/>
            </w:tcMar>
          </w:tcPr>
          <w:p>
            <w:pPr>
              <w:pStyle w:val="Normal"/>
              <w:spacing w:lineRule="auto" w:line="240" w:before="0" w:after="0"/>
              <w:rPr>
                <w:sz w:val="21"/>
                <w:szCs w:val="21"/>
              </w:rPr>
            </w:pPr>
            <w:r>
              <w:rPr>
                <w:rFonts w:eastAsia="Calibri" w:cs="Times New Roman" w:ascii="Times New Roman" w:hAnsi="Times New Roman"/>
                <w:sz w:val="21"/>
                <w:szCs w:val="21"/>
              </w:rPr>
              <w:t>Контроль качества для мочевого анализатора AutionEleven 4020. Уровень 1 – норма, уровень 2 – патология.</w:t>
            </w:r>
          </w:p>
        </w:tc>
        <w:tc>
          <w:tcPr>
            <w:tcW w:w="859" w:type="dxa"/>
            <w:tcBorders>
              <w:top w:val="nil"/>
              <w:right w:val="nil"/>
              <w:insideV w:val="nil"/>
            </w:tcBorders>
            <w:shd w:color="auto" w:fill="auto" w:val="clear"/>
            <w:tcMar>
              <w:left w:w="50" w:type="dxa"/>
            </w:tcMar>
          </w:tcPr>
          <w:p>
            <w:pPr>
              <w:pStyle w:val="Normal"/>
              <w:spacing w:lineRule="auto" w:line="240" w:before="0" w:after="0"/>
              <w:jc w:val="center"/>
              <w:rPr>
                <w:sz w:val="21"/>
                <w:szCs w:val="21"/>
              </w:rPr>
            </w:pPr>
            <w:r>
              <w:rPr>
                <w:rFonts w:eastAsia="Times New Roman" w:cs="Times New Roman" w:ascii="Times New Roman" w:hAnsi="Times New Roman"/>
                <w:color w:val="000000"/>
                <w:sz w:val="21"/>
                <w:szCs w:val="21"/>
              </w:rPr>
              <w:t>Упак</w:t>
            </w:r>
            <w:r>
              <w:rPr>
                <w:rFonts w:eastAsia="Times New Roman" w:cs="Times New Roman" w:ascii="Times New Roman" w:hAnsi="Times New Roman"/>
                <w:color w:val="000000"/>
                <w:sz w:val="21"/>
                <w:szCs w:val="21"/>
              </w:rPr>
              <w:t>овка</w:t>
            </w:r>
          </w:p>
        </w:tc>
        <w:tc>
          <w:tcPr>
            <w:tcW w:w="791" w:type="dxa"/>
            <w:tcBorders>
              <w:top w:val="nil"/>
              <w:right w:val="nil"/>
              <w:insideV w:val="nil"/>
            </w:tcBorders>
            <w:shd w:color="auto" w:fill="auto" w:val="clear"/>
            <w:tcMar>
              <w:left w:w="50" w:type="dxa"/>
            </w:tcMar>
          </w:tcPr>
          <w:p>
            <w:pPr>
              <w:pStyle w:val="Normal"/>
              <w:spacing w:lineRule="auto" w:line="240" w:before="0" w:after="0"/>
              <w:jc w:val="center"/>
              <w:rPr>
                <w:sz w:val="21"/>
                <w:szCs w:val="21"/>
              </w:rPr>
            </w:pPr>
            <w:r>
              <w:rPr>
                <w:rFonts w:eastAsia="Times New Roman" w:cs="Times New Roman" w:ascii="Times New Roman" w:hAnsi="Times New Roman"/>
                <w:color w:val="000000"/>
                <w:sz w:val="21"/>
                <w:szCs w:val="21"/>
              </w:rPr>
              <w:t>2</w:t>
            </w:r>
          </w:p>
        </w:tc>
        <w:tc>
          <w:tcPr>
            <w:tcW w:w="914" w:type="dxa"/>
            <w:tcBorders>
              <w:top w:val="nil"/>
              <w:right w:val="nil"/>
              <w:insideV w:val="nil"/>
            </w:tcBorders>
            <w:shd w:color="auto" w:fill="auto" w:val="clear"/>
            <w:tcMar>
              <w:left w:w="50" w:type="dxa"/>
            </w:tcMar>
          </w:tcPr>
          <w:p>
            <w:pPr>
              <w:pStyle w:val="Normal"/>
              <w:spacing w:lineRule="auto" w:line="240" w:before="0" w:after="0"/>
              <w:jc w:val="center"/>
              <w:rPr>
                <w:sz w:val="21"/>
                <w:szCs w:val="21"/>
              </w:rPr>
            </w:pPr>
            <w:r>
              <w:rPr>
                <w:rFonts w:eastAsia="Times New Roman" w:cs="Times New Roman" w:ascii="Times New Roman" w:hAnsi="Times New Roman"/>
                <w:color w:val="000000"/>
                <w:sz w:val="21"/>
                <w:szCs w:val="21"/>
              </w:rPr>
              <w:t>170 400,00</w:t>
            </w:r>
          </w:p>
        </w:tc>
        <w:tc>
          <w:tcPr>
            <w:tcW w:w="1077" w:type="dxa"/>
            <w:tcBorders>
              <w:top w:val="nil"/>
            </w:tcBorders>
            <w:shd w:color="auto" w:fill="auto" w:val="clear"/>
            <w:tcMar>
              <w:left w:w="50" w:type="dxa"/>
            </w:tcMar>
          </w:tcPr>
          <w:p>
            <w:pPr>
              <w:pStyle w:val="Normal"/>
              <w:spacing w:lineRule="auto" w:line="240" w:before="0" w:after="0"/>
              <w:jc w:val="center"/>
              <w:rPr>
                <w:sz w:val="21"/>
                <w:szCs w:val="21"/>
              </w:rPr>
            </w:pPr>
            <w:r>
              <w:rPr>
                <w:rFonts w:eastAsia="Times New Roman" w:cs="Times New Roman" w:ascii="Times New Roman" w:hAnsi="Times New Roman"/>
                <w:color w:val="000000"/>
                <w:sz w:val="21"/>
                <w:szCs w:val="21"/>
              </w:rPr>
              <w:t>340 800,00</w:t>
            </w:r>
          </w:p>
        </w:tc>
        <w:tc>
          <w:tcPr>
            <w:tcW w:w="1935" w:type="dxa"/>
            <w:tcBorders>
              <w:top w:val="nil"/>
            </w:tcBorders>
            <w:shd w:color="auto" w:fill="auto" w:val="clear"/>
            <w:tcMar>
              <w:left w:w="45" w:type="dxa"/>
            </w:tcMar>
          </w:tcPr>
          <w:p>
            <w:pPr>
              <w:pStyle w:val="Normal"/>
              <w:spacing w:lineRule="auto" w:line="240" w:before="0" w:after="0"/>
              <w:jc w:val="center"/>
              <w:rPr>
                <w:sz w:val="21"/>
                <w:szCs w:val="21"/>
              </w:rPr>
            </w:pPr>
            <w:r>
              <w:rPr>
                <w:rFonts w:cs="Times New Roman" w:ascii="Times New Roman" w:hAnsi="Times New Roman"/>
                <w:color w:val="000000"/>
                <w:sz w:val="21"/>
                <w:szCs w:val="21"/>
              </w:rPr>
              <w:t>Поставка  по заявке по адресу: Глубоковский район, село Опытное поле,  ул. Локомотивная 3/1, аптека</w:t>
            </w:r>
          </w:p>
        </w:tc>
      </w:tr>
    </w:tbl>
    <w:p>
      <w:pPr>
        <w:pStyle w:val="Normal"/>
        <w:spacing w:before="0" w:after="0"/>
        <w:ind w:firstLine="400"/>
        <w:jc w:val="both"/>
        <w:rPr/>
      </w:pPr>
      <w:r>
        <w:rPr>
          <w:rStyle w:val="S0"/>
          <w:b/>
          <w:bCs/>
        </w:rPr>
        <w:t xml:space="preserve">Место представления (приема) документов  </w:t>
      </w:r>
      <w:r>
        <w:rPr>
          <w:rStyle w:val="S0"/>
        </w:rPr>
        <w:t xml:space="preserve">будет осуществлено  с 23 апреля 2024 года по адресу:  </w:t>
      </w:r>
      <w:r>
        <w:rPr>
          <w:rStyle w:val="S0"/>
          <w:lang w:val="kk-KZ"/>
        </w:rPr>
        <w:t xml:space="preserve">РК, ВКО, г.Усть-Каменогорск, ул.Белинского,39 </w:t>
      </w:r>
      <w:r>
        <w:rPr>
          <w:rStyle w:val="S0"/>
        </w:rPr>
        <w:t xml:space="preserve">отдел гос.закупок с 09:00ч. </w:t>
      </w:r>
    </w:p>
    <w:p>
      <w:pPr>
        <w:pStyle w:val="Normal"/>
        <w:spacing w:lineRule="auto" w:line="240" w:before="0" w:after="0"/>
        <w:ind w:firstLine="400"/>
        <w:jc w:val="both"/>
        <w:rPr/>
      </w:pPr>
      <w:r>
        <w:rPr>
          <w:rStyle w:val="S0"/>
          <w:b/>
          <w:bCs/>
        </w:rPr>
        <w:t>Окончательный срок подачи</w:t>
      </w:r>
      <w:r>
        <w:rPr>
          <w:rStyle w:val="S0"/>
        </w:rPr>
        <w:t xml:space="preserve"> ценовых предложений</w:t>
      </w:r>
      <w:r>
        <w:rPr>
          <w:rStyle w:val="S0"/>
          <w:b/>
          <w:bCs/>
        </w:rPr>
        <w:t xml:space="preserve">  </w:t>
      </w:r>
      <w:r>
        <w:rPr>
          <w:rStyle w:val="S0"/>
        </w:rPr>
        <w:t>до  09 часов 3</w:t>
      </w:r>
      <w:r>
        <w:rPr>
          <w:rStyle w:val="S0"/>
          <w:lang w:val="kk-KZ"/>
        </w:rPr>
        <w:t>0</w:t>
      </w:r>
      <w:r>
        <w:rPr>
          <w:rStyle w:val="S0"/>
        </w:rPr>
        <w:t xml:space="preserve"> минут 30 апреля 2024 года.</w:t>
      </w:r>
    </w:p>
    <w:p>
      <w:pPr>
        <w:pStyle w:val="Normal"/>
        <w:spacing w:lineRule="auto" w:line="240" w:before="0" w:after="86"/>
        <w:ind w:firstLine="400"/>
        <w:jc w:val="both"/>
        <w:rPr/>
      </w:pPr>
      <w:r>
        <w:rPr>
          <w:rStyle w:val="S0"/>
          <w:b/>
          <w:bCs/>
        </w:rPr>
        <w:t xml:space="preserve">Дата и время рассмотрения ценовых предложений: </w:t>
      </w:r>
      <w:r>
        <w:rPr>
          <w:rStyle w:val="S0"/>
        </w:rPr>
        <w:t xml:space="preserve">30 апреля 2024 года в 11 часов </w:t>
      </w:r>
      <w:r>
        <w:rPr>
          <w:rStyle w:val="S0"/>
        </w:rPr>
        <w:t>3</w:t>
      </w:r>
      <w:r>
        <w:rPr>
          <w:rStyle w:val="S0"/>
        </w:rPr>
        <w:t xml:space="preserve">0 минут по адресу  </w:t>
      </w:r>
      <w:r>
        <w:rPr>
          <w:rStyle w:val="S0"/>
          <w:lang w:val="kk-KZ"/>
        </w:rPr>
        <w:t xml:space="preserve">РК, ВКО, г.Усть-Каменогорск, ул.Белинского,39 </w:t>
      </w:r>
      <w:r>
        <w:rPr>
          <w:rStyle w:val="S0"/>
        </w:rPr>
        <w:t xml:space="preserve">отдел гос.закупок. </w:t>
      </w:r>
      <w:r>
        <w:rPr>
          <w:rFonts w:ascii="Times New Roman" w:hAnsi="Times New Roman"/>
        </w:rPr>
        <w:t xml:space="preserve">Режим работы организации с 09:00ч.-17:30ч. </w:t>
      </w:r>
    </w:p>
    <w:p>
      <w:pPr>
        <w:pStyle w:val="Normal"/>
        <w:spacing w:lineRule="auto" w:line="240" w:before="0" w:after="0"/>
        <w:jc w:val="center"/>
        <w:rPr/>
      </w:pPr>
      <w:bookmarkStart w:id="1" w:name="_GoBack"/>
      <w:bookmarkEnd w:id="1"/>
      <w:r>
        <w:rPr>
          <w:rFonts w:ascii="Times New Roman" w:hAnsi="Times New Roman"/>
          <w:sz w:val="28"/>
          <w:szCs w:val="28"/>
          <w:lang w:val="kk-KZ"/>
        </w:rPr>
        <w:t xml:space="preserve">№ </w:t>
      </w:r>
      <w:r>
        <w:rPr>
          <w:rFonts w:ascii="Times New Roman" w:hAnsi="Times New Roman"/>
          <w:sz w:val="28"/>
          <w:szCs w:val="28"/>
          <w:lang w:val="kk-KZ"/>
        </w:rPr>
        <w:t>20</w:t>
      </w:r>
      <w:r>
        <w:rPr>
          <w:rFonts w:ascii="Times New Roman" w:hAnsi="Times New Roman"/>
          <w:sz w:val="28"/>
          <w:szCs w:val="28"/>
          <w:lang w:val="kk-KZ"/>
        </w:rPr>
        <w:t xml:space="preserve"> Баға ұсыныстарына сауал салу тәсілімен МБ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val="false"/>
          <w:b w:val="false"/>
          <w:bCs w:val="false"/>
          <w:sz w:val="28"/>
          <w:szCs w:val="28"/>
          <w:lang w:val="kk-KZ"/>
        </w:rPr>
      </w:pPr>
      <w:r>
        <w:rPr>
          <w:rFonts w:cs="Times New Roman" w:ascii="Times New Roman" w:hAnsi="Times New Roman"/>
          <w:b w:val="false"/>
          <w:bCs w:val="false"/>
          <w:sz w:val="28"/>
          <w:szCs w:val="28"/>
          <w:lang w:val="kk-KZ"/>
        </w:rPr>
        <w:t>Aution Eleven зәр анализаторы AE-4020 моделіне арналған шығын материалдары</w:t>
      </w:r>
    </w:p>
    <w:p>
      <w:pPr>
        <w:pStyle w:val="Normal"/>
        <w:spacing w:lineRule="auto" w:line="240" w:before="0" w:after="0"/>
        <w:jc w:val="both"/>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(2 лоттар).,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tbl>
      <w:tblPr>
        <w:tblStyle w:val="af4"/>
        <w:tblW w:w="14618" w:type="dxa"/>
        <w:jc w:val="left"/>
        <w:tblInd w:w="-40" w:type="dxa"/>
        <w:tblCellMar>
          <w:top w:w="55" w:type="dxa"/>
          <w:left w:w="50" w:type="dxa"/>
          <w:bottom w:w="55" w:type="dxa"/>
          <w:right w:w="55" w:type="dxa"/>
        </w:tblCellMar>
        <w:tblLook w:firstRow="1" w:noVBand="1" w:lastRow="0" w:firstColumn="1" w:lastColumn="0" w:noHBand="0" w:val="04a0"/>
      </w:tblPr>
      <w:tblGrid>
        <w:gridCol w:w="616"/>
        <w:gridCol w:w="1991"/>
        <w:gridCol w:w="5443"/>
        <w:gridCol w:w="735"/>
        <w:gridCol w:w="683"/>
        <w:gridCol w:w="735"/>
        <w:gridCol w:w="968"/>
        <w:gridCol w:w="3445"/>
      </w:tblGrid>
      <w:tr>
        <w:trPr/>
        <w:tc>
          <w:tcPr>
            <w:tcW w:w="616"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топта ма №</w:t>
            </w:r>
          </w:p>
        </w:tc>
        <w:tc>
          <w:tcPr>
            <w:tcW w:w="1991"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Сатып алынатын тауарлардың</w:t>
            </w:r>
          </w:p>
          <w:p>
            <w:pPr>
              <w:pStyle w:val="Style22"/>
              <w:spacing w:lineRule="auto" w:line="240" w:before="0" w:after="0"/>
              <w:rPr/>
            </w:pPr>
            <w:r>
              <w:rPr>
                <w:rFonts w:cs="Times New Roman" w:ascii="Times New Roman" w:hAnsi="Times New Roman"/>
              </w:rPr>
              <w:t>атауы</w:t>
            </w:r>
          </w:p>
        </w:tc>
        <w:tc>
          <w:tcPr>
            <w:tcW w:w="5443"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Сатып алынатын тауарларға сипаттама, жұмыстары көрсетілетін қызметтері</w:t>
            </w:r>
          </w:p>
        </w:tc>
        <w:tc>
          <w:tcPr>
            <w:tcW w:w="735"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Өлшем бірлігі</w:t>
            </w:r>
          </w:p>
        </w:tc>
        <w:tc>
          <w:tcPr>
            <w:tcW w:w="683"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Саны,</w:t>
            </w:r>
          </w:p>
          <w:p>
            <w:pPr>
              <w:pStyle w:val="Style22"/>
              <w:spacing w:lineRule="auto" w:line="240" w:before="0" w:after="0"/>
              <w:rPr/>
            </w:pPr>
            <w:r>
              <w:rPr>
                <w:rFonts w:cs="Times New Roman" w:ascii="Times New Roman" w:hAnsi="Times New Roman"/>
              </w:rPr>
              <w:t>көлемі</w:t>
            </w:r>
          </w:p>
        </w:tc>
        <w:tc>
          <w:tcPr>
            <w:tcW w:w="735"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бағасы</w:t>
            </w:r>
          </w:p>
        </w:tc>
        <w:tc>
          <w:tcPr>
            <w:tcW w:w="968"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сомасы</w:t>
            </w:r>
          </w:p>
        </w:tc>
        <w:tc>
          <w:tcPr>
            <w:tcW w:w="3445" w:type="dxa"/>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Мерзімі, жеткізу орны мен шарттары</w:t>
            </w:r>
          </w:p>
        </w:tc>
      </w:tr>
      <w:tr>
        <w:trPr>
          <w:trHeight w:val="381" w:hRule="atLeast"/>
        </w:trPr>
        <w:tc>
          <w:tcPr>
            <w:tcW w:w="616" w:type="dxa"/>
            <w:tcBorders>
              <w:top w:val="nil"/>
              <w:right w:val="nil"/>
              <w:insideV w:val="nil"/>
            </w:tcBorders>
            <w:shd w:color="auto" w:fill="auto" w:val="clear"/>
            <w:tcMar>
              <w:left w:w="50" w:type="dxa"/>
            </w:tcMar>
          </w:tcPr>
          <w:p>
            <w:pPr>
              <w:pStyle w:val="Normal"/>
              <w:spacing w:lineRule="auto" w:line="240" w:before="0" w:after="0"/>
              <w:jc w:val="center"/>
              <w:rPr/>
            </w:pPr>
            <w:r>
              <w:rPr>
                <w:rFonts w:cs="Times New Roman" w:ascii="Times New Roman" w:hAnsi="Times New Roman"/>
              </w:rPr>
              <w:t>1</w:t>
            </w:r>
          </w:p>
        </w:tc>
        <w:tc>
          <w:tcPr>
            <w:tcW w:w="1991" w:type="dxa"/>
            <w:tcBorders>
              <w:top w:val="nil"/>
              <w:right w:val="nil"/>
              <w:insideV w:val="nil"/>
            </w:tcBorders>
            <w:shd w:color="auto" w:fill="auto" w:val="clear"/>
            <w:tcMar>
              <w:left w:w="50" w:type="dxa"/>
            </w:tcMar>
          </w:tcPr>
          <w:p>
            <w:pPr>
              <w:pStyle w:val="Normal"/>
              <w:spacing w:lineRule="auto" w:line="240" w:before="0" w:after="0"/>
              <w:jc w:val="left"/>
              <w:rPr/>
            </w:pPr>
            <w:r>
              <w:rPr>
                <w:rFonts w:cs="Times New Roman" w:ascii="Times New Roman" w:hAnsi="Times New Roman"/>
                <w:sz w:val="22"/>
                <w:szCs w:val="22"/>
              </w:rPr>
              <w:t>Зәрді зерттеуге арналған сынақ жолақтары</w:t>
            </w:r>
          </w:p>
        </w:tc>
        <w:tc>
          <w:tcPr>
            <w:tcW w:w="5443" w:type="dxa"/>
            <w:tcBorders>
              <w:top w:val="nil"/>
              <w:right w:val="nil"/>
              <w:insideV w:val="nil"/>
            </w:tcBorders>
            <w:shd w:color="auto" w:fill="auto" w:val="clear"/>
            <w:tcMar>
              <w:left w:w="50" w:type="dxa"/>
            </w:tcMar>
          </w:tcPr>
          <w:p>
            <w:pPr>
              <w:pStyle w:val="Normal"/>
              <w:spacing w:lineRule="auto" w:line="240" w:before="0" w:after="0"/>
              <w:jc w:val="left"/>
              <w:rPr/>
            </w:pPr>
            <w:r>
              <w:rPr>
                <w:rFonts w:cs="Times New Roman" w:ascii="Times New Roman" w:hAnsi="Times New Roman"/>
                <w:color w:val="000000"/>
                <w:sz w:val="22"/>
                <w:szCs w:val="22"/>
              </w:rPr>
              <w:t>Анализатордағы зәр анализіне арналған сынақ жолақтары. Буып-түю: бір құбырда кемінде 100 сынақ жолағы. Кем дегенде 10 талдауды анықтау. Барлық талдаулар бойынша нәтижені анықтау уақыты 60 секундтан аспайды. Әрбір анықталған аналитика үшін сынақ аймақтарының қатаң реттілігі.  Әр жолақ анализатормен үйлесімділік үшін сәйкестендіру аймағымен жабдықталуы керек. Әрбір талданатын затты анықтау кезінде жоғары сезімталдық. Анықтау диапазондары: глюкоза 50-1000 мг / дл, ақуыз 15-1000 мг/дл, билирубин 0.5-мг / дл, уробилиноген 2-8 мг / дл, рН5-9, меншікті ауырлығы1.000-1.030, қан (гемоглобин) 0.03-1.0 мг / дл, кетондар 5-150 мг / дл, нитриттер 0.08 – 0.5 мг/дл, лейкоциттер 25-300 Leu / ul</w:t>
            </w:r>
          </w:p>
        </w:tc>
        <w:tc>
          <w:tcPr>
            <w:tcW w:w="735" w:type="dxa"/>
            <w:tcBorders>
              <w:top w:val="nil"/>
              <w:right w:val="nil"/>
              <w:insideV w:val="nil"/>
            </w:tcBorders>
            <w:shd w:color="auto" w:fill="auto" w:val="clear"/>
            <w:tcMar>
              <w:left w:w="50" w:type="dxa"/>
            </w:tcMar>
          </w:tcPr>
          <w:p>
            <w:pPr>
              <w:pStyle w:val="Normal"/>
              <w:spacing w:lineRule="auto" w:line="240" w:before="0" w:after="0"/>
              <w:jc w:val="center"/>
              <w:rPr/>
            </w:pPr>
            <w:r>
              <w:rPr>
                <w:rFonts w:cs="Times New Roman" w:ascii="Times New Roman" w:hAnsi="Times New Roman"/>
                <w:sz w:val="22"/>
                <w:szCs w:val="22"/>
                <w:lang w:val="ru-RU"/>
              </w:rPr>
              <w:t>орау</w:t>
            </w:r>
          </w:p>
        </w:tc>
        <w:tc>
          <w:tcPr>
            <w:tcW w:w="683" w:type="dxa"/>
            <w:tcBorders>
              <w:top w:val="nil"/>
              <w:right w:val="nil"/>
              <w:insideV w:val="nil"/>
            </w:tcBorders>
            <w:shd w:color="auto" w:fill="auto" w:val="clear"/>
            <w:tcMar>
              <w:left w:w="50" w:type="dxa"/>
            </w:tcMar>
            <w:vAlign w:val="center"/>
          </w:tcPr>
          <w:p>
            <w:pPr>
              <w:pStyle w:val="Normal"/>
              <w:spacing w:lineRule="auto" w:line="240" w:before="0" w:after="0"/>
              <w:jc w:val="center"/>
              <w:rPr>
                <w:sz w:val="21"/>
                <w:szCs w:val="21"/>
              </w:rPr>
            </w:pPr>
            <w:r>
              <w:rPr>
                <w:rFonts w:eastAsia="Times New Roman" w:cs="Times New Roman" w:ascii="Times New Roman" w:hAnsi="Times New Roman"/>
                <w:color w:val="000000"/>
                <w:sz w:val="21"/>
                <w:szCs w:val="21"/>
              </w:rPr>
              <w:t>10</w:t>
            </w:r>
          </w:p>
        </w:tc>
        <w:tc>
          <w:tcPr>
            <w:tcW w:w="735" w:type="dxa"/>
            <w:tcBorders>
              <w:top w:val="nil"/>
              <w:right w:val="nil"/>
              <w:insideV w:val="nil"/>
            </w:tcBorders>
            <w:shd w:color="auto" w:fill="auto" w:val="clear"/>
            <w:tcMar>
              <w:left w:w="50" w:type="dxa"/>
            </w:tcMar>
            <w:vAlign w:val="center"/>
          </w:tcPr>
          <w:p>
            <w:pPr>
              <w:pStyle w:val="Normal"/>
              <w:spacing w:lineRule="auto" w:line="240" w:before="0" w:after="0"/>
              <w:jc w:val="center"/>
              <w:rPr>
                <w:sz w:val="21"/>
                <w:szCs w:val="21"/>
              </w:rPr>
            </w:pPr>
            <w:r>
              <w:rPr>
                <w:rFonts w:eastAsia="Times New Roman" w:cs="Times New Roman" w:ascii="Times New Roman" w:hAnsi="Times New Roman"/>
                <w:color w:val="000000"/>
                <w:sz w:val="21"/>
                <w:szCs w:val="21"/>
              </w:rPr>
              <w:t>20 750,00</w:t>
            </w:r>
          </w:p>
        </w:tc>
        <w:tc>
          <w:tcPr>
            <w:tcW w:w="968" w:type="dxa"/>
            <w:tcBorders>
              <w:top w:val="nil"/>
              <w:right w:val="nil"/>
              <w:insideV w:val="nil"/>
            </w:tcBorders>
            <w:shd w:color="auto" w:fill="auto" w:val="clear"/>
            <w:tcMar>
              <w:left w:w="50" w:type="dxa"/>
            </w:tcMar>
            <w:vAlign w:val="center"/>
          </w:tcPr>
          <w:p>
            <w:pPr>
              <w:pStyle w:val="Normal"/>
              <w:spacing w:lineRule="auto" w:line="240" w:before="0" w:after="0"/>
              <w:jc w:val="center"/>
              <w:rPr>
                <w:sz w:val="21"/>
                <w:szCs w:val="21"/>
              </w:rPr>
            </w:pPr>
            <w:r>
              <w:rPr>
                <w:rFonts w:eastAsia="Times New Roman" w:cs="Times New Roman" w:ascii="Times New Roman" w:hAnsi="Times New Roman"/>
                <w:color w:val="000000"/>
                <w:sz w:val="21"/>
                <w:szCs w:val="21"/>
              </w:rPr>
              <w:t>207 500,00</w:t>
            </w:r>
          </w:p>
        </w:tc>
        <w:tc>
          <w:tcPr>
            <w:tcW w:w="3445" w:type="dxa"/>
            <w:tcBorders>
              <w:top w:val="nil"/>
            </w:tcBorders>
            <w:shd w:color="auto" w:fill="auto" w:val="clear"/>
            <w:tcMar>
              <w:left w:w="50" w:type="dxa"/>
            </w:tcMar>
          </w:tcPr>
          <w:p>
            <w:pPr>
              <w:pStyle w:val="Normal"/>
              <w:spacing w:lineRule="auto" w:line="240" w:before="0" w:after="0"/>
              <w:jc w:val="both"/>
              <w:rPr/>
            </w:pPr>
            <w:r>
              <w:rPr>
                <w:rFonts w:cs="Times New Roman" w:ascii="Times New Roman" w:hAnsi="Times New Roman"/>
                <w:sz w:val="22"/>
                <w:szCs w:val="22"/>
                <w:lang w:val="kk-KZ"/>
              </w:rPr>
              <w:t>Өтінім бойынша жеткізу: Глубокое ауданы, Попытное поле ауылы, Локомотивная көшесі 3/1, дәріхана</w:t>
            </w:r>
          </w:p>
        </w:tc>
      </w:tr>
      <w:tr>
        <w:trPr>
          <w:trHeight w:val="381" w:hRule="atLeast"/>
        </w:trPr>
        <w:tc>
          <w:tcPr>
            <w:tcW w:w="616" w:type="dxa"/>
            <w:tcBorders>
              <w:top w:val="nil"/>
              <w:right w:val="nil"/>
              <w:insideV w:val="nil"/>
            </w:tcBorders>
            <w:shd w:color="auto" w:fill="auto" w:val="clear"/>
            <w:tcMar>
              <w:left w:w="50" w:type="dxa"/>
            </w:tcMar>
          </w:tcPr>
          <w:p>
            <w:pPr>
              <w:pStyle w:val="Normal"/>
              <w:spacing w:lineRule="auto" w:line="240" w:before="0" w:after="0"/>
              <w:jc w:val="center"/>
              <w:rPr/>
            </w:pPr>
            <w:r>
              <w:rPr>
                <w:rFonts w:cs="Times New Roman" w:ascii="Times New Roman" w:hAnsi="Times New Roman"/>
              </w:rPr>
              <w:t>2</w:t>
            </w:r>
          </w:p>
        </w:tc>
        <w:tc>
          <w:tcPr>
            <w:tcW w:w="1991" w:type="dxa"/>
            <w:tcBorders>
              <w:top w:val="nil"/>
              <w:right w:val="nil"/>
              <w:insideV w:val="nil"/>
            </w:tcBorders>
            <w:shd w:color="auto" w:fill="auto" w:val="clear"/>
            <w:tcMar>
              <w:left w:w="50" w:type="dxa"/>
            </w:tcMar>
          </w:tcPr>
          <w:p>
            <w:pPr>
              <w:pStyle w:val="Normal"/>
              <w:spacing w:lineRule="auto" w:line="240" w:before="0" w:after="0"/>
              <w:jc w:val="center"/>
              <w:rPr/>
            </w:pPr>
            <w:r>
              <w:rPr>
                <w:rFonts w:ascii="Times New Roman" w:hAnsi="Times New Roman"/>
              </w:rPr>
              <w:t>Зәр шығаруды зерттеу үшін сапаны бақылау</w:t>
            </w:r>
          </w:p>
        </w:tc>
        <w:tc>
          <w:tcPr>
            <w:tcW w:w="5443" w:type="dxa"/>
            <w:tcBorders>
              <w:top w:val="nil"/>
              <w:right w:val="nil"/>
              <w:insideV w:val="nil"/>
            </w:tcBorders>
            <w:shd w:color="auto" w:fill="auto" w:val="clear"/>
            <w:tcMar>
              <w:left w:w="50" w:type="dxa"/>
            </w:tcMar>
          </w:tcPr>
          <w:p>
            <w:pPr>
              <w:pStyle w:val="Normal"/>
              <w:spacing w:lineRule="auto" w:line="240" w:before="0" w:after="0"/>
              <w:jc w:val="left"/>
              <w:rPr/>
            </w:pPr>
            <w:r>
              <w:rPr>
                <w:rFonts w:ascii="Times New Roman" w:hAnsi="Times New Roman"/>
              </w:rPr>
              <w:t>Aution eleven 4020 зәр анализаторының сапасын бақылау. 1 деңгей-норма, 2 деңгей-патология.</w:t>
            </w:r>
          </w:p>
        </w:tc>
        <w:tc>
          <w:tcPr>
            <w:tcW w:w="735" w:type="dxa"/>
            <w:tcBorders>
              <w:top w:val="nil"/>
              <w:right w:val="nil"/>
              <w:insideV w:val="nil"/>
            </w:tcBorders>
            <w:shd w:color="auto" w:fill="auto" w:val="clear"/>
            <w:tcMar>
              <w:left w:w="50" w:type="dxa"/>
            </w:tcMar>
          </w:tcPr>
          <w:p>
            <w:pPr>
              <w:pStyle w:val="Normal"/>
              <w:spacing w:lineRule="auto" w:line="240" w:before="0" w:after="0"/>
              <w:jc w:val="center"/>
              <w:rPr/>
            </w:pPr>
            <w:r>
              <w:rPr>
                <w:rFonts w:cs="Times New Roman" w:ascii="Times New Roman" w:hAnsi="Times New Roman"/>
                <w:sz w:val="22"/>
                <w:szCs w:val="22"/>
                <w:lang w:val="ru-RU"/>
              </w:rPr>
              <w:t>орак</w:t>
            </w:r>
          </w:p>
        </w:tc>
        <w:tc>
          <w:tcPr>
            <w:tcW w:w="683" w:type="dxa"/>
            <w:tcBorders>
              <w:top w:val="nil"/>
              <w:right w:val="nil"/>
              <w:insideV w:val="nil"/>
            </w:tcBorders>
            <w:shd w:color="auto" w:fill="auto" w:val="clear"/>
            <w:tcMar>
              <w:left w:w="50" w:type="dxa"/>
            </w:tcMar>
            <w:vAlign w:val="center"/>
          </w:tcPr>
          <w:p>
            <w:pPr>
              <w:pStyle w:val="Normal"/>
              <w:spacing w:lineRule="auto" w:line="240" w:before="0" w:after="0"/>
              <w:jc w:val="center"/>
              <w:rPr>
                <w:sz w:val="21"/>
                <w:szCs w:val="21"/>
              </w:rPr>
            </w:pPr>
            <w:r>
              <w:rPr>
                <w:rFonts w:eastAsia="Times New Roman" w:cs="Times New Roman" w:ascii="Times New Roman" w:hAnsi="Times New Roman"/>
                <w:color w:val="000000"/>
                <w:sz w:val="21"/>
                <w:szCs w:val="21"/>
              </w:rPr>
              <w:t>2</w:t>
            </w:r>
          </w:p>
        </w:tc>
        <w:tc>
          <w:tcPr>
            <w:tcW w:w="735" w:type="dxa"/>
            <w:tcBorders>
              <w:top w:val="nil"/>
              <w:right w:val="nil"/>
              <w:insideV w:val="nil"/>
            </w:tcBorders>
            <w:shd w:color="auto" w:fill="auto" w:val="clear"/>
            <w:tcMar>
              <w:left w:w="50" w:type="dxa"/>
            </w:tcMar>
            <w:vAlign w:val="center"/>
          </w:tcPr>
          <w:p>
            <w:pPr>
              <w:pStyle w:val="Normal"/>
              <w:spacing w:lineRule="auto" w:line="240" w:before="0" w:after="0"/>
              <w:jc w:val="center"/>
              <w:rPr>
                <w:sz w:val="21"/>
                <w:szCs w:val="21"/>
              </w:rPr>
            </w:pPr>
            <w:r>
              <w:rPr>
                <w:rFonts w:eastAsia="Times New Roman" w:cs="Times New Roman" w:ascii="Times New Roman" w:hAnsi="Times New Roman"/>
                <w:color w:val="000000"/>
                <w:sz w:val="21"/>
                <w:szCs w:val="21"/>
              </w:rPr>
              <w:t>170 400,00</w:t>
            </w:r>
          </w:p>
        </w:tc>
        <w:tc>
          <w:tcPr>
            <w:tcW w:w="968" w:type="dxa"/>
            <w:tcBorders>
              <w:top w:val="nil"/>
              <w:right w:val="nil"/>
              <w:insideV w:val="nil"/>
            </w:tcBorders>
            <w:shd w:color="auto" w:fill="auto" w:val="clear"/>
            <w:tcMar>
              <w:left w:w="50" w:type="dxa"/>
            </w:tcMar>
            <w:vAlign w:val="center"/>
          </w:tcPr>
          <w:p>
            <w:pPr>
              <w:pStyle w:val="Normal"/>
              <w:spacing w:lineRule="auto" w:line="240" w:before="0" w:after="0"/>
              <w:jc w:val="center"/>
              <w:rPr>
                <w:sz w:val="21"/>
                <w:szCs w:val="21"/>
              </w:rPr>
            </w:pPr>
            <w:r>
              <w:rPr>
                <w:rFonts w:eastAsia="Times New Roman" w:cs="Times New Roman" w:ascii="Times New Roman" w:hAnsi="Times New Roman"/>
                <w:color w:val="000000"/>
                <w:sz w:val="21"/>
                <w:szCs w:val="21"/>
              </w:rPr>
              <w:t>340 800,00</w:t>
            </w:r>
          </w:p>
        </w:tc>
        <w:tc>
          <w:tcPr>
            <w:tcW w:w="3445" w:type="dxa"/>
            <w:tcBorders>
              <w:top w:val="nil"/>
            </w:tcBorders>
            <w:shd w:color="auto" w:fill="auto" w:val="clear"/>
            <w:tcMar>
              <w:left w:w="50" w:type="dxa"/>
            </w:tcMar>
          </w:tcPr>
          <w:p>
            <w:pPr>
              <w:pStyle w:val="Normal"/>
              <w:spacing w:lineRule="auto" w:line="240" w:before="0" w:after="0"/>
              <w:jc w:val="both"/>
              <w:rPr/>
            </w:pPr>
            <w:r>
              <w:rPr>
                <w:rFonts w:cs="Times New Roman" w:ascii="Times New Roman" w:hAnsi="Times New Roman"/>
                <w:sz w:val="22"/>
                <w:szCs w:val="22"/>
                <w:lang w:val="kk-KZ"/>
              </w:rPr>
              <w:t>Өтінім бойынша жеткізу: Глубокое ауданы, Попытное поле ауылы, Локомотивная көшесі 3/1, дәріхана</w:t>
            </w:r>
          </w:p>
        </w:tc>
      </w:tr>
    </w:tbl>
    <w:p>
      <w:pPr>
        <w:pStyle w:val="HTMLPreformatted"/>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2024 жылғы 23 сәуірд</w:t>
      </w:r>
      <w:r>
        <w:rPr>
          <w:rFonts w:ascii="Times New Roman" w:hAnsi="Times New Roman"/>
          <w:color w:val="000000"/>
          <w:sz w:val="22"/>
          <w:szCs w:val="22"/>
          <w:lang w:val="ru-RU"/>
        </w:rPr>
        <w:t>е</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09: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2024 жылғы </w:t>
      </w:r>
      <w:r>
        <w:rPr>
          <w:rFonts w:ascii="Times New Roman" w:hAnsi="Times New Roman"/>
          <w:color w:val="000000"/>
          <w:sz w:val="22"/>
          <w:szCs w:val="22"/>
          <w:lang w:val="ru-RU"/>
        </w:rPr>
        <w:t>30</w:t>
      </w:r>
      <w:bookmarkStart w:id="2" w:name="__DdeLink__509_211623699"/>
      <w:bookmarkStart w:id="3" w:name="__DdeLink__1059_1858256801"/>
      <w:bookmarkStart w:id="4" w:name="__DdeLink__285_2132574804"/>
      <w:bookmarkStart w:id="5" w:name="__DdeLink__622_168555325"/>
      <w:r>
        <w:rPr>
          <w:rFonts w:ascii="Times New Roman" w:hAnsi="Times New Roman"/>
          <w:color w:val="000000"/>
          <w:sz w:val="22"/>
          <w:szCs w:val="22"/>
          <w:lang w:val="kk-KZ"/>
        </w:rPr>
        <w:t xml:space="preserve"> сәуір</w:t>
      </w:r>
      <w:bookmarkStart w:id="6" w:name="__DdeLink__17187_1619615538"/>
      <w:r>
        <w:rPr>
          <w:rFonts w:ascii="Times New Roman" w:hAnsi="Times New Roman"/>
          <w:color w:val="000000"/>
          <w:sz w:val="22"/>
          <w:szCs w:val="22"/>
          <w:lang w:val="kk-KZ"/>
        </w:rPr>
        <w:t>д</w:t>
      </w:r>
      <w:bookmarkEnd w:id="3"/>
      <w:bookmarkEnd w:id="4"/>
      <w:bookmarkEnd w:id="5"/>
      <w:bookmarkEnd w:id="6"/>
      <w:r>
        <w:rPr>
          <w:rFonts w:ascii="Times New Roman" w:hAnsi="Times New Roman"/>
          <w:color w:val="000000"/>
          <w:sz w:val="22"/>
          <w:szCs w:val="22"/>
          <w:lang w:val="kk-KZ"/>
        </w:rPr>
        <w:t xml:space="preserve">і </w:t>
      </w:r>
      <w:bookmarkEnd w:id="2"/>
      <w:r>
        <w:rPr>
          <w:rFonts w:ascii="Times New Roman" w:hAnsi="Times New Roman"/>
          <w:color w:val="000000"/>
          <w:sz w:val="22"/>
          <w:szCs w:val="22"/>
          <w:lang w:val="kk-KZ"/>
        </w:rPr>
        <w:t>09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2024 жылғы </w:t>
      </w:r>
      <w:r>
        <w:rPr>
          <w:rFonts w:ascii="Times New Roman" w:hAnsi="Times New Roman"/>
          <w:color w:val="000000"/>
          <w:sz w:val="22"/>
          <w:szCs w:val="22"/>
          <w:lang w:val="ru-RU"/>
        </w:rPr>
        <w:t>30</w:t>
      </w:r>
      <w:bookmarkStart w:id="7" w:name="__DdeLink__1059_18582568011"/>
      <w:bookmarkStart w:id="8" w:name="__DdeLink__285_21325748041"/>
      <w:bookmarkStart w:id="9" w:name="__DdeLink__622_1685553251"/>
      <w:r>
        <w:rPr>
          <w:rFonts w:ascii="Times New Roman" w:hAnsi="Times New Roman"/>
          <w:color w:val="000000"/>
          <w:sz w:val="22"/>
          <w:szCs w:val="22"/>
          <w:lang w:val="kk-KZ"/>
        </w:rPr>
        <w:t xml:space="preserve"> сәуір</w:t>
      </w:r>
      <w:bookmarkStart w:id="10" w:name="__DdeLink__17187_16196155381"/>
      <w:r>
        <w:rPr>
          <w:rFonts w:ascii="Times New Roman" w:hAnsi="Times New Roman"/>
          <w:color w:val="000000"/>
          <w:sz w:val="22"/>
          <w:szCs w:val="22"/>
          <w:lang w:val="kk-KZ"/>
        </w:rPr>
        <w:t>д</w:t>
      </w:r>
      <w:bookmarkEnd w:id="7"/>
      <w:bookmarkEnd w:id="8"/>
      <w:bookmarkEnd w:id="9"/>
      <w:bookmarkEnd w:id="10"/>
      <w:r>
        <w:rPr>
          <w:rFonts w:ascii="Times New Roman" w:hAnsi="Times New Roman"/>
          <w:color w:val="000000"/>
          <w:sz w:val="22"/>
          <w:szCs w:val="22"/>
          <w:lang w:val="kk-KZ"/>
        </w:rPr>
        <w:t>і  1</w:t>
      </w:r>
      <w:r>
        <w:rPr>
          <w:rFonts w:ascii="Times New Roman" w:hAnsi="Times New Roman"/>
          <w:color w:val="000000"/>
          <w:sz w:val="22"/>
          <w:szCs w:val="22"/>
          <w:lang w:val="ru-RU"/>
        </w:rPr>
        <w:t>1</w:t>
      </w:r>
      <w:r>
        <w:rPr>
          <w:rFonts w:ascii="Times New Roman" w:hAnsi="Times New Roman"/>
          <w:color w:val="000000"/>
          <w:sz w:val="22"/>
          <w:szCs w:val="22"/>
          <w:lang w:val="kk-KZ"/>
        </w:rPr>
        <w:t xml:space="preserve"> сағат </w:t>
      </w:r>
      <w:r>
        <w:rPr>
          <w:rFonts w:ascii="Times New Roman" w:hAnsi="Times New Roman"/>
          <w:color w:val="000000"/>
          <w:sz w:val="22"/>
          <w:szCs w:val="22"/>
          <w:lang w:val="ru-RU"/>
        </w:rPr>
        <w:t>3</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rPr/>
      </w:pPr>
      <w:r>
        <w:rPr>
          <w:rFonts w:ascii="Times New Roman" w:hAnsi="Times New Roman"/>
          <w:color w:val="000000"/>
          <w:sz w:val="22"/>
          <w:szCs w:val="22"/>
          <w:lang w:val="kk-KZ"/>
        </w:rPr>
        <w:t xml:space="preserve">Ұйымның жұмыс режимі сағат 09:00-ден -17: 30-ға дейін. </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a30c2"/>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customStyle="1">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uiPriority w:val="99"/>
    <w:qFormat/>
    <w:rsid w:val="003545c2"/>
    <w:rPr>
      <w:rFonts w:ascii="Calibri" w:hAnsi="Calibri"/>
      <w:color w:val="00000A"/>
      <w:sz w:val="22"/>
    </w:rPr>
  </w:style>
  <w:style w:type="character" w:styleId="Style16" w:customStyle="1">
    <w:name w:val="Нижний колонтитул Знак"/>
    <w:basedOn w:val="DefaultParagraphFont"/>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customStyle="1">
    <w:name w:val="ListLabel 46"/>
    <w:qFormat/>
    <w:rPr>
      <w:sz w:val="20"/>
    </w:rPr>
  </w:style>
  <w:style w:type="character" w:styleId="ListLabel47" w:customStyle="1">
    <w:name w:val="ListLabel 47"/>
    <w:qFormat/>
    <w:rPr>
      <w:rFonts w:cs="Times New Roman"/>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1" w:customStyle="1">
    <w:name w:val="ListLabel 1"/>
    <w:qFormat/>
    <w:rPr>
      <w:rFonts w:ascii="Times New Roman" w:hAnsi="Times New Roman"/>
      <w:b/>
    </w:rPr>
  </w:style>
  <w:style w:type="character" w:styleId="ListLabel55" w:customStyle="1">
    <w:name w:val="ListLabel 55"/>
    <w:qFormat/>
    <w:rPr>
      <w:b/>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 w:customStyle="1">
    <w:name w:val="pr"/>
    <w:basedOn w:val="Normal"/>
    <w:qFormat/>
    <w:pPr>
      <w:jc w:val="right"/>
    </w:pPr>
    <w:rPr>
      <w:color w:val="000000"/>
    </w:rPr>
  </w:style>
  <w:style w:type="paragraph" w:styleId="Pj" w:customStyle="1">
    <w:name w:val="pj"/>
    <w:basedOn w:val="Normal"/>
    <w:qFormat/>
    <w:pPr>
      <w:ind w:firstLine="400"/>
      <w:jc w:val="both"/>
    </w:pPr>
    <w:rPr>
      <w:color w:val="000000"/>
    </w:rPr>
  </w:style>
  <w:style w:type="paragraph" w:styleId="NoSpacing">
    <w:name w:val="No Spacing"/>
    <w:qFormat/>
    <w:pPr>
      <w:widowControl/>
      <w:bidi w:val="0"/>
      <w:jc w:val="left"/>
    </w:pPr>
    <w:rPr>
      <w:rFonts w:ascii="Calibri" w:hAnsi="Calibri" w:eastAsia="Calibri" w:cs="" w:eastAsiaTheme="minorHAnsi"/>
      <w:color w:val="00000A"/>
      <w:sz w:val="22"/>
      <w:szCs w:val="22"/>
      <w:lang w:val="ru-RU" w:eastAsia="en-US" w:bidi="ar-SA"/>
    </w:rPr>
  </w:style>
  <w:style w:type="paragraph" w:styleId="ListParagraph">
    <w:name w:val="List Paragraph"/>
    <w:basedOn w:val="Normal"/>
    <w:qFormat/>
    <w:pPr>
      <w:spacing w:before="0" w:after="200"/>
      <w:ind w:left="720" w:hanging="0"/>
      <w:contextualSpacing/>
    </w:pPr>
    <w:rPr/>
  </w:style>
  <w:style w:type="paragraph" w:styleId="Default" w:customStyle="1">
    <w:name w:val="Default"/>
    <w:qFormat/>
    <w:rsid w:val="009a7fb0"/>
    <w:pPr>
      <w:widowControl/>
      <w:bidi w:val="0"/>
      <w:jc w:val="left"/>
    </w:pPr>
    <w:rPr>
      <w:rFonts w:ascii="Times New Roman" w:hAnsi="Times New Roman" w:eastAsia="" w:cs="Times New Roman"/>
      <w:color w:val="000000"/>
      <w:sz w:val="24"/>
      <w:szCs w:val="24"/>
      <w:lang w:val="ru-RU" w:eastAsia="ru-RU"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4">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CCBDA-66FA-4E08-A055-C5515C72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3048</TotalTime>
  <Application>LibreOffice/5.2.2.2$Windows_X86_64 LibreOffice_project/8f96e87c890bf8fa77463cd4b640a2312823f3ad</Application>
  <Pages>2</Pages>
  <Words>901</Words>
  <Characters>6252</Characters>
  <CharactersWithSpaces>7162</CharactersWithSpaces>
  <Paragraphs>63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2024-04-22T13:26:14Z</cp:lastPrinted>
  <dcterms:modified xsi:type="dcterms:W3CDTF">2024-04-22T13:42:28Z</dcterms:modified>
  <cp:revision>308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