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0FDB7F52" w:rsidR="009D36AE"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способом запроса ценовых предложений № 2</w:t>
      </w:r>
      <w:r w:rsidR="003B0324">
        <w:rPr>
          <w:rFonts w:ascii="Times New Roman" w:hAnsi="Times New Roman" w:cs="Times New Roman"/>
          <w:sz w:val="28"/>
          <w:szCs w:val="28"/>
        </w:rPr>
        <w:t>2</w:t>
      </w:r>
    </w:p>
    <w:p w14:paraId="50632537" w14:textId="77777777" w:rsidR="009D36AE" w:rsidRDefault="009D36AE">
      <w:pPr>
        <w:tabs>
          <w:tab w:val="left" w:pos="11415"/>
        </w:tabs>
        <w:spacing w:after="0" w:line="240" w:lineRule="auto"/>
        <w:jc w:val="center"/>
        <w:rPr>
          <w:sz w:val="32"/>
          <w:szCs w:val="32"/>
        </w:rPr>
      </w:pPr>
    </w:p>
    <w:p w14:paraId="06978A8C" w14:textId="77777777"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фтизиопульмонологический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r>
        <w:rPr>
          <w:rFonts w:ascii="Times New Roman" w:hAnsi="Times New Roman" w:cs="Times New Roman"/>
          <w:lang w:val="en-US"/>
        </w:rPr>
        <w:t>ForteBank</w:t>
      </w:r>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r>
        <w:rPr>
          <w:rStyle w:val="s1"/>
          <w:b w:val="0"/>
          <w:bCs w:val="0"/>
        </w:rPr>
        <w:t xml:space="preserve">ные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(1 лот).</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605" w:type="dxa"/>
        <w:tblInd w:w="-35" w:type="dxa"/>
        <w:tblCellMar>
          <w:top w:w="55" w:type="dxa"/>
          <w:left w:w="50" w:type="dxa"/>
          <w:bottom w:w="55" w:type="dxa"/>
          <w:right w:w="55" w:type="dxa"/>
        </w:tblCellMar>
        <w:tblLook w:val="04A0" w:firstRow="1" w:lastRow="0" w:firstColumn="1" w:lastColumn="0" w:noHBand="0" w:noVBand="1"/>
      </w:tblPr>
      <w:tblGrid>
        <w:gridCol w:w="563"/>
        <w:gridCol w:w="1544"/>
        <w:gridCol w:w="6306"/>
        <w:gridCol w:w="1091"/>
        <w:gridCol w:w="1206"/>
        <w:gridCol w:w="911"/>
        <w:gridCol w:w="1209"/>
        <w:gridCol w:w="1775"/>
      </w:tblGrid>
      <w:tr w:rsidR="009D36AE" w14:paraId="430E5E23" w14:textId="77777777" w:rsidTr="003B0324">
        <w:tc>
          <w:tcPr>
            <w:tcW w:w="564" w:type="dxa"/>
            <w:tcBorders>
              <w:right w:val="nil"/>
            </w:tcBorders>
            <w:shd w:val="clear" w:color="auto" w:fill="auto"/>
            <w:tcMar>
              <w:left w:w="50" w:type="dxa"/>
            </w:tcMar>
            <w:vAlign w:val="center"/>
          </w:tcPr>
          <w:p w14:paraId="79D3873D" w14:textId="77777777" w:rsidR="009D36AE" w:rsidRDefault="0000000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right w:val="nil"/>
            </w:tcBorders>
            <w:shd w:val="clear" w:color="auto" w:fill="auto"/>
            <w:tcMar>
              <w:left w:w="50" w:type="dxa"/>
            </w:tcMar>
            <w:vAlign w:val="center"/>
          </w:tcPr>
          <w:p w14:paraId="42F82C5E" w14:textId="77777777" w:rsidR="009D36AE" w:rsidRDefault="0000000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6366" w:type="dxa"/>
            <w:tcBorders>
              <w:right w:val="nil"/>
            </w:tcBorders>
            <w:shd w:val="clear" w:color="auto" w:fill="auto"/>
            <w:tcMar>
              <w:left w:w="50" w:type="dxa"/>
            </w:tcMar>
            <w:vAlign w:val="center"/>
          </w:tcPr>
          <w:p w14:paraId="45CAD9B4" w14:textId="77777777" w:rsidR="009D36AE" w:rsidRDefault="00000000">
            <w:pPr>
              <w:spacing w:after="0" w:line="240" w:lineRule="auto"/>
              <w:jc w:val="center"/>
              <w:rPr>
                <w:rFonts w:ascii="Times New Roman" w:hAnsi="Times New Roman"/>
              </w:rPr>
            </w:pPr>
            <w:r>
              <w:rPr>
                <w:rFonts w:ascii="Times New Roman" w:hAnsi="Times New Roman" w:cs="Times New Roman"/>
              </w:rPr>
              <w:t>Характеристика закупаемых товаров,  работ, услуг</w:t>
            </w:r>
          </w:p>
        </w:tc>
        <w:tc>
          <w:tcPr>
            <w:tcW w:w="1091" w:type="dxa"/>
            <w:tcBorders>
              <w:right w:val="nil"/>
            </w:tcBorders>
            <w:shd w:val="clear" w:color="auto" w:fill="auto"/>
            <w:tcMar>
              <w:left w:w="50" w:type="dxa"/>
            </w:tcMar>
            <w:vAlign w:val="center"/>
          </w:tcPr>
          <w:p w14:paraId="120EBA24" w14:textId="77777777" w:rsidR="009D36AE" w:rsidRDefault="0000000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right w:val="nil"/>
            </w:tcBorders>
            <w:shd w:val="clear" w:color="auto" w:fill="auto"/>
            <w:tcMar>
              <w:left w:w="50" w:type="dxa"/>
            </w:tcMar>
            <w:vAlign w:val="center"/>
          </w:tcPr>
          <w:p w14:paraId="5A07B232" w14:textId="77777777" w:rsidR="009D36AE" w:rsidRDefault="00000000">
            <w:pPr>
              <w:spacing w:after="0" w:line="240" w:lineRule="auto"/>
              <w:jc w:val="center"/>
              <w:rPr>
                <w:rFonts w:ascii="Times New Roman" w:hAnsi="Times New Roman"/>
              </w:rPr>
            </w:pPr>
            <w:r>
              <w:rPr>
                <w:rFonts w:ascii="Times New Roman" w:hAnsi="Times New Roman" w:cs="Times New Roman"/>
              </w:rPr>
              <w:t>Количество , объем</w:t>
            </w:r>
          </w:p>
        </w:tc>
        <w:tc>
          <w:tcPr>
            <w:tcW w:w="911" w:type="dxa"/>
            <w:tcBorders>
              <w:right w:val="nil"/>
            </w:tcBorders>
            <w:shd w:val="clear" w:color="auto" w:fill="auto"/>
            <w:tcMar>
              <w:left w:w="50" w:type="dxa"/>
            </w:tcMar>
            <w:vAlign w:val="center"/>
          </w:tcPr>
          <w:p w14:paraId="744C0E10" w14:textId="77777777" w:rsidR="009D36AE" w:rsidRDefault="00000000">
            <w:pPr>
              <w:spacing w:after="0" w:line="240" w:lineRule="auto"/>
              <w:jc w:val="center"/>
              <w:rPr>
                <w:rFonts w:ascii="Times New Roman" w:hAnsi="Times New Roman"/>
              </w:rPr>
            </w:pPr>
            <w:r>
              <w:rPr>
                <w:rFonts w:ascii="Times New Roman" w:hAnsi="Times New Roman" w:cs="Times New Roman"/>
              </w:rPr>
              <w:t>Цена за единицу</w:t>
            </w:r>
          </w:p>
        </w:tc>
        <w:tc>
          <w:tcPr>
            <w:tcW w:w="1209" w:type="dxa"/>
            <w:tcBorders>
              <w:right w:val="nil"/>
            </w:tcBorders>
            <w:shd w:val="clear" w:color="auto" w:fill="auto"/>
            <w:tcMar>
              <w:left w:w="50" w:type="dxa"/>
            </w:tcMar>
            <w:vAlign w:val="center"/>
          </w:tcPr>
          <w:p w14:paraId="24C47D37" w14:textId="77777777" w:rsidR="009D36AE" w:rsidRDefault="0000000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1779" w:type="dxa"/>
            <w:shd w:val="clear" w:color="auto" w:fill="auto"/>
            <w:tcMar>
              <w:left w:w="50" w:type="dxa"/>
            </w:tcMar>
            <w:vAlign w:val="center"/>
          </w:tcPr>
          <w:p w14:paraId="21047522" w14:textId="77777777" w:rsidR="009D36AE" w:rsidRDefault="0000000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3B0324" w14:paraId="4DC7F4D3" w14:textId="77777777" w:rsidTr="003B0324">
        <w:trPr>
          <w:trHeight w:val="913"/>
        </w:trPr>
        <w:tc>
          <w:tcPr>
            <w:tcW w:w="564" w:type="dxa"/>
            <w:tcBorders>
              <w:top w:val="nil"/>
              <w:right w:val="nil"/>
            </w:tcBorders>
            <w:shd w:val="clear" w:color="auto" w:fill="auto"/>
            <w:tcMar>
              <w:left w:w="50" w:type="dxa"/>
            </w:tcMar>
          </w:tcPr>
          <w:p w14:paraId="193E34D1" w14:textId="77777777" w:rsidR="003B0324" w:rsidRDefault="003B0324" w:rsidP="003B0324">
            <w:pPr>
              <w:spacing w:after="0" w:line="240" w:lineRule="auto"/>
              <w:jc w:val="center"/>
              <w:rPr>
                <w:rFonts w:ascii="Times New Roman" w:hAnsi="Times New Roman"/>
              </w:rPr>
            </w:pPr>
            <w:r>
              <w:rPr>
                <w:rFonts w:ascii="Times New Roman" w:hAnsi="Times New Roman" w:cs="Times New Roman"/>
              </w:rPr>
              <w:t>1</w:t>
            </w:r>
          </w:p>
        </w:tc>
        <w:tc>
          <w:tcPr>
            <w:tcW w:w="1479" w:type="dxa"/>
            <w:tcBorders>
              <w:top w:val="nil"/>
              <w:right w:val="nil"/>
            </w:tcBorders>
            <w:shd w:val="clear" w:color="auto" w:fill="auto"/>
            <w:tcMar>
              <w:left w:w="50" w:type="dxa"/>
            </w:tcMar>
            <w:vAlign w:val="center"/>
          </w:tcPr>
          <w:p w14:paraId="0E12BA95" w14:textId="173C5297" w:rsidR="003B0324" w:rsidRPr="003B0324" w:rsidRDefault="003B0324" w:rsidP="003B0324">
            <w:pPr>
              <w:spacing w:after="0" w:line="240" w:lineRule="auto"/>
              <w:jc w:val="center"/>
              <w:rPr>
                <w:rFonts w:ascii="Times New Roman" w:hAnsi="Times New Roman" w:cs="Times New Roman"/>
              </w:rPr>
            </w:pPr>
            <w:r w:rsidRPr="003B0324">
              <w:rPr>
                <w:rFonts w:ascii="Times New Roman" w:hAnsi="Times New Roman" w:cs="Times New Roman"/>
                <w:color w:val="000000"/>
                <w:shd w:val="clear" w:color="auto" w:fill="FFFFFF"/>
              </w:rPr>
              <w:t>Мочеприемник</w:t>
            </w:r>
          </w:p>
        </w:tc>
        <w:tc>
          <w:tcPr>
            <w:tcW w:w="6366" w:type="dxa"/>
            <w:tcBorders>
              <w:top w:val="nil"/>
              <w:right w:val="nil"/>
            </w:tcBorders>
            <w:shd w:val="clear" w:color="auto" w:fill="auto"/>
            <w:tcMar>
              <w:left w:w="50" w:type="dxa"/>
            </w:tcMar>
            <w:vAlign w:val="center"/>
          </w:tcPr>
          <w:p w14:paraId="7F7219E2" w14:textId="7C82061E" w:rsidR="003B0324" w:rsidRPr="003B0324" w:rsidRDefault="003B0324" w:rsidP="003B0324">
            <w:pPr>
              <w:autoSpaceDE w:val="0"/>
              <w:autoSpaceDN w:val="0"/>
              <w:adjustRightInd w:val="0"/>
              <w:spacing w:line="240" w:lineRule="auto"/>
              <w:rPr>
                <w:rFonts w:ascii="Times New Roman" w:eastAsia="TimesNewRomanPSMT" w:hAnsi="Times New Roman" w:cs="Times New Roman"/>
              </w:rPr>
            </w:pPr>
            <w:r w:rsidRPr="003B0324">
              <w:rPr>
                <w:rFonts w:ascii="Times New Roman" w:eastAsia="TimesNewRomanPSMT" w:hAnsi="Times New Roman" w:cs="Times New Roman"/>
              </w:rPr>
              <w:t xml:space="preserve">Мочеприемник стерильный, однократного применения. Модификация крепления: состоит из пакета/мешка для  cбора мочи, не содержащего л а т е к с ,объемами </w:t>
            </w:r>
            <w:r>
              <w:rPr>
                <w:rFonts w:ascii="Times New Roman" w:eastAsia="TimesNewRomanPSMT" w:hAnsi="Times New Roman" w:cs="Times New Roman"/>
              </w:rPr>
              <w:t xml:space="preserve">не менее </w:t>
            </w:r>
            <w:r w:rsidRPr="003B0324">
              <w:rPr>
                <w:rFonts w:ascii="Times New Roman" w:eastAsia="TimesNewRomanPSMT" w:hAnsi="Times New Roman" w:cs="Times New Roman"/>
              </w:rPr>
              <w:t>2000мл; Т-образного сливного</w:t>
            </w:r>
            <w:r>
              <w:rPr>
                <w:rFonts w:ascii="Times New Roman" w:eastAsia="TimesNewRomanPSMT" w:hAnsi="Times New Roman" w:cs="Times New Roman"/>
              </w:rPr>
              <w:t xml:space="preserve"> </w:t>
            </w:r>
            <w:r w:rsidRPr="003B0324">
              <w:rPr>
                <w:rFonts w:ascii="Times New Roman" w:eastAsia="TimesNewRomanPSMT" w:hAnsi="Times New Roman" w:cs="Times New Roman"/>
              </w:rPr>
              <w:t>клапана; порта для взятия проб м о ч и;</w:t>
            </w:r>
            <w:r>
              <w:rPr>
                <w:rFonts w:ascii="Times New Roman" w:eastAsia="TimesNewRomanPSMT" w:hAnsi="Times New Roman" w:cs="Times New Roman"/>
              </w:rPr>
              <w:t xml:space="preserve"> </w:t>
            </w:r>
            <w:r w:rsidRPr="003B0324">
              <w:rPr>
                <w:rFonts w:ascii="Times New Roman" w:eastAsia="TimesNewRomanPSMT" w:hAnsi="Times New Roman" w:cs="Times New Roman"/>
              </w:rPr>
              <w:t>встроенного</w:t>
            </w:r>
            <w:r>
              <w:rPr>
                <w:rFonts w:ascii="Times New Roman" w:eastAsia="TimesNewRomanPSMT" w:hAnsi="Times New Roman" w:cs="Times New Roman"/>
              </w:rPr>
              <w:t xml:space="preserve"> </w:t>
            </w:r>
            <w:r w:rsidRPr="003B0324">
              <w:rPr>
                <w:rFonts w:ascii="Times New Roman" w:eastAsia="TimesNewRomanPSMT" w:hAnsi="Times New Roman" w:cs="Times New Roman"/>
              </w:rPr>
              <w:t>антирефлюксного клапана с коническим коннектором  и защитным колпачком; дренажной т р у б к и   с внешним диаметром от</w:t>
            </w:r>
            <w:r>
              <w:rPr>
                <w:rFonts w:ascii="Times New Roman" w:eastAsia="TimesNewRomanPSMT" w:hAnsi="Times New Roman" w:cs="Times New Roman"/>
              </w:rPr>
              <w:t xml:space="preserve"> </w:t>
            </w:r>
            <w:r w:rsidRPr="003B0324">
              <w:rPr>
                <w:rFonts w:ascii="Times New Roman" w:eastAsia="TimesNewRomanPSMT" w:hAnsi="Times New Roman" w:cs="Times New Roman"/>
              </w:rPr>
              <w:t xml:space="preserve">6,0мм до 10,5мм и длиной </w:t>
            </w:r>
            <w:r>
              <w:rPr>
                <w:rFonts w:ascii="Times New Roman" w:eastAsia="TimesNewRomanPSMT" w:hAnsi="Times New Roman" w:cs="Times New Roman"/>
              </w:rPr>
              <w:t xml:space="preserve">не менее </w:t>
            </w:r>
            <w:r w:rsidRPr="003B0324">
              <w:rPr>
                <w:rFonts w:ascii="Times New Roman" w:eastAsia="TimesNewRomanPSMT" w:hAnsi="Times New Roman" w:cs="Times New Roman"/>
              </w:rPr>
              <w:t>100см;</w:t>
            </w:r>
            <w:r>
              <w:rPr>
                <w:rFonts w:ascii="Times New Roman" w:eastAsia="TimesNewRomanPSMT" w:hAnsi="Times New Roman" w:cs="Times New Roman"/>
              </w:rPr>
              <w:t xml:space="preserve"> </w:t>
            </w:r>
            <w:r w:rsidRPr="003B0324">
              <w:rPr>
                <w:rFonts w:ascii="Times New Roman" w:eastAsia="TimesNewRomanPSMT" w:hAnsi="Times New Roman" w:cs="Times New Roman"/>
              </w:rPr>
              <w:t>ремеш</w:t>
            </w:r>
            <w:r>
              <w:rPr>
                <w:rFonts w:ascii="Times New Roman" w:eastAsia="TimesNewRomanPSMT" w:hAnsi="Times New Roman" w:cs="Times New Roman"/>
              </w:rPr>
              <w:t>ок</w:t>
            </w:r>
            <w:r w:rsidRPr="003B0324">
              <w:rPr>
                <w:rFonts w:ascii="Times New Roman" w:eastAsia="TimesNewRomanPSMT" w:hAnsi="Times New Roman" w:cs="Times New Roman"/>
              </w:rPr>
              <w:t xml:space="preserve"> для крепления.</w:t>
            </w:r>
          </w:p>
          <w:p w14:paraId="24AAF9B3" w14:textId="477B5C1F" w:rsidR="003B0324" w:rsidRPr="003B0324" w:rsidRDefault="003B0324" w:rsidP="003B0324">
            <w:pPr>
              <w:spacing w:after="0" w:line="240" w:lineRule="auto"/>
              <w:ind w:left="300"/>
              <w:textAlignment w:val="baseline"/>
            </w:pPr>
          </w:p>
        </w:tc>
        <w:tc>
          <w:tcPr>
            <w:tcW w:w="1091" w:type="dxa"/>
            <w:tcBorders>
              <w:top w:val="nil"/>
              <w:right w:val="nil"/>
            </w:tcBorders>
            <w:shd w:val="clear" w:color="auto" w:fill="auto"/>
            <w:tcMar>
              <w:left w:w="50" w:type="dxa"/>
            </w:tcMar>
            <w:vAlign w:val="center"/>
          </w:tcPr>
          <w:p w14:paraId="4E3A1C05" w14:textId="5757F002" w:rsidR="003B0324" w:rsidRPr="003B0324" w:rsidRDefault="003B0324" w:rsidP="003B0324">
            <w:pPr>
              <w:spacing w:after="0" w:line="240" w:lineRule="auto"/>
              <w:jc w:val="center"/>
            </w:pPr>
            <w:r w:rsidRPr="003B0324">
              <w:rPr>
                <w:rFonts w:ascii="Times New Roman" w:hAnsi="Times New Roman" w:cs="Times New Roman"/>
              </w:rPr>
              <w:t>штука</w:t>
            </w:r>
          </w:p>
        </w:tc>
        <w:tc>
          <w:tcPr>
            <w:tcW w:w="1206" w:type="dxa"/>
            <w:tcBorders>
              <w:top w:val="nil"/>
              <w:right w:val="nil"/>
            </w:tcBorders>
            <w:shd w:val="clear" w:color="auto" w:fill="auto"/>
            <w:tcMar>
              <w:left w:w="50" w:type="dxa"/>
            </w:tcMar>
            <w:vAlign w:val="center"/>
          </w:tcPr>
          <w:p w14:paraId="2651DD69" w14:textId="7D6F14C2" w:rsidR="003B0324" w:rsidRPr="003B0324" w:rsidRDefault="003B0324" w:rsidP="003B0324">
            <w:pPr>
              <w:spacing w:after="0" w:line="240" w:lineRule="auto"/>
              <w:jc w:val="center"/>
            </w:pPr>
            <w:r w:rsidRPr="003B0324">
              <w:rPr>
                <w:rFonts w:ascii="Times New Roman" w:hAnsi="Times New Roman" w:cs="Times New Roman"/>
              </w:rPr>
              <w:t>200</w:t>
            </w:r>
            <w:r>
              <w:rPr>
                <w:rFonts w:ascii="Times New Roman" w:hAnsi="Times New Roman" w:cs="Times New Roman"/>
              </w:rPr>
              <w:t xml:space="preserve"> </w:t>
            </w:r>
          </w:p>
        </w:tc>
        <w:tc>
          <w:tcPr>
            <w:tcW w:w="911" w:type="dxa"/>
            <w:tcBorders>
              <w:top w:val="nil"/>
              <w:right w:val="nil"/>
            </w:tcBorders>
            <w:shd w:val="clear" w:color="auto" w:fill="auto"/>
            <w:tcMar>
              <w:left w:w="50" w:type="dxa"/>
            </w:tcMar>
            <w:vAlign w:val="center"/>
          </w:tcPr>
          <w:p w14:paraId="2DA7C6B5" w14:textId="297C4D64" w:rsidR="003B0324" w:rsidRPr="003B0324" w:rsidRDefault="003B0324" w:rsidP="003B0324">
            <w:pPr>
              <w:spacing w:after="0" w:line="240" w:lineRule="auto"/>
              <w:jc w:val="center"/>
            </w:pPr>
            <w:r w:rsidRPr="003B0324">
              <w:rPr>
                <w:rFonts w:ascii="Times New Roman" w:hAnsi="Times New Roman" w:cs="Times New Roman"/>
              </w:rPr>
              <w:t>468,88</w:t>
            </w:r>
          </w:p>
        </w:tc>
        <w:tc>
          <w:tcPr>
            <w:tcW w:w="1209" w:type="dxa"/>
            <w:tcBorders>
              <w:top w:val="nil"/>
              <w:right w:val="nil"/>
            </w:tcBorders>
            <w:shd w:val="clear" w:color="auto" w:fill="auto"/>
            <w:tcMar>
              <w:left w:w="50" w:type="dxa"/>
            </w:tcMar>
            <w:vAlign w:val="center"/>
          </w:tcPr>
          <w:p w14:paraId="187EE51F" w14:textId="4F6C8D18" w:rsidR="003B0324" w:rsidRPr="003B0324" w:rsidRDefault="003B0324" w:rsidP="003B0324">
            <w:pPr>
              <w:spacing w:after="0" w:line="240" w:lineRule="auto"/>
              <w:jc w:val="center"/>
            </w:pPr>
            <w:r w:rsidRPr="003B0324">
              <w:rPr>
                <w:rFonts w:ascii="Times New Roman" w:hAnsi="Times New Roman" w:cs="Times New Roman"/>
              </w:rPr>
              <w:t>93 776,00</w:t>
            </w:r>
          </w:p>
        </w:tc>
        <w:tc>
          <w:tcPr>
            <w:tcW w:w="1779" w:type="dxa"/>
            <w:tcBorders>
              <w:top w:val="nil"/>
            </w:tcBorders>
            <w:shd w:val="clear" w:color="auto" w:fill="auto"/>
            <w:tcMar>
              <w:left w:w="50" w:type="dxa"/>
            </w:tcMar>
            <w:vAlign w:val="center"/>
          </w:tcPr>
          <w:p w14:paraId="5728A828" w14:textId="380C6DBF" w:rsidR="003B0324" w:rsidRPr="003B0324" w:rsidRDefault="003B0324" w:rsidP="003B0324">
            <w:pPr>
              <w:spacing w:line="240" w:lineRule="auto"/>
              <w:jc w:val="center"/>
            </w:pPr>
            <w:r w:rsidRPr="003B0324">
              <w:rPr>
                <w:rFonts w:ascii="Times New Roman" w:hAnsi="Times New Roman" w:cs="Times New Roman"/>
              </w:rPr>
              <w:t>В течении пяти календарных дней с даты заключения договора  по адресу: Глубоковский район, село Опытное поле, ул. Локомотивная 3/1</w:t>
            </w:r>
            <w:r>
              <w:rPr>
                <w:rFonts w:ascii="Times New Roman" w:hAnsi="Times New Roman" w:cs="Times New Roman"/>
              </w:rPr>
              <w:t xml:space="preserve"> </w:t>
            </w:r>
            <w:r w:rsidRPr="003B0324">
              <w:rPr>
                <w:rFonts w:ascii="Times New Roman" w:hAnsi="Times New Roman" w:cs="Times New Roman"/>
              </w:rPr>
              <w:t>аптека</w:t>
            </w:r>
          </w:p>
        </w:tc>
      </w:tr>
    </w:tbl>
    <w:p w14:paraId="0B082AE2" w14:textId="6736B1EA" w:rsidR="009D36AE" w:rsidRDefault="00000000">
      <w:pPr>
        <w:spacing w:after="0" w:line="240" w:lineRule="auto"/>
        <w:ind w:firstLine="400"/>
        <w:jc w:val="both"/>
      </w:pPr>
      <w:r>
        <w:rPr>
          <w:rStyle w:val="s0"/>
          <w:b/>
          <w:bCs/>
        </w:rPr>
        <w:t xml:space="preserve">Место представления (приема) документов  </w:t>
      </w:r>
      <w:r>
        <w:rPr>
          <w:rStyle w:val="s0"/>
        </w:rPr>
        <w:t xml:space="preserve">будет осуществлено  с </w:t>
      </w:r>
      <w:r w:rsidR="003B0324">
        <w:rPr>
          <w:rStyle w:val="s0"/>
        </w:rPr>
        <w:t>17</w:t>
      </w:r>
      <w:r>
        <w:rPr>
          <w:rStyle w:val="s0"/>
        </w:rPr>
        <w:t xml:space="preserve"> </w:t>
      </w:r>
      <w:r w:rsidR="003B0324">
        <w:rPr>
          <w:rStyle w:val="s0"/>
        </w:rPr>
        <w:t>мая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14:paraId="5361C69D" w14:textId="3CDF549E"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 xml:space="preserve">до  09 часов </w:t>
      </w:r>
      <w:r w:rsidR="003B0324">
        <w:rPr>
          <w:rStyle w:val="s0"/>
        </w:rPr>
        <w:t>15</w:t>
      </w:r>
      <w:r>
        <w:rPr>
          <w:rStyle w:val="s0"/>
        </w:rPr>
        <w:t xml:space="preserve"> минут </w:t>
      </w:r>
      <w:r w:rsidR="003B0324">
        <w:rPr>
          <w:rStyle w:val="s0"/>
        </w:rPr>
        <w:t>24</w:t>
      </w:r>
      <w:r>
        <w:rPr>
          <w:rStyle w:val="s0"/>
        </w:rPr>
        <w:t xml:space="preserve"> </w:t>
      </w:r>
      <w:r w:rsidR="003B0324">
        <w:rPr>
          <w:rStyle w:val="s0"/>
        </w:rPr>
        <w:t>мая</w:t>
      </w:r>
      <w:r>
        <w:rPr>
          <w:rStyle w:val="s0"/>
        </w:rPr>
        <w:t xml:space="preserve"> 2024 года.</w:t>
      </w:r>
    </w:p>
    <w:p w14:paraId="690D5CCF" w14:textId="69894E5F" w:rsidR="009D36AE" w:rsidRDefault="00000000">
      <w:pPr>
        <w:spacing w:after="86" w:line="240" w:lineRule="auto"/>
        <w:ind w:firstLine="400"/>
        <w:jc w:val="both"/>
      </w:pPr>
      <w:r>
        <w:rPr>
          <w:rStyle w:val="s0"/>
          <w:b/>
          <w:bCs/>
        </w:rPr>
        <w:t xml:space="preserve">Дата и время рассмотрения ценовых предложений: </w:t>
      </w:r>
      <w:r w:rsidR="003B0324">
        <w:rPr>
          <w:rStyle w:val="s0"/>
        </w:rPr>
        <w:t>24</w:t>
      </w:r>
      <w:r>
        <w:rPr>
          <w:rStyle w:val="s0"/>
        </w:rPr>
        <w:t xml:space="preserve"> </w:t>
      </w:r>
      <w:r w:rsidR="003B0324">
        <w:rPr>
          <w:rStyle w:val="s0"/>
        </w:rPr>
        <w:t>мая</w:t>
      </w:r>
      <w:r>
        <w:rPr>
          <w:rStyle w:val="s0"/>
        </w:rPr>
        <w:t xml:space="preserve"> 2024 года в </w:t>
      </w:r>
      <w:r w:rsidR="003B0324">
        <w:rPr>
          <w:rStyle w:val="s0"/>
        </w:rPr>
        <w:t>09</w:t>
      </w:r>
      <w:r>
        <w:rPr>
          <w:rStyle w:val="s0"/>
        </w:rPr>
        <w:t xml:space="preserve"> часов </w:t>
      </w:r>
      <w:r w:rsidR="003B0324">
        <w:rPr>
          <w:rStyle w:val="s0"/>
        </w:rPr>
        <w:t>3</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14:paraId="40AE60FE" w14:textId="77777777" w:rsidR="009D36AE" w:rsidRDefault="009D36AE">
      <w:pPr>
        <w:spacing w:after="0" w:line="240" w:lineRule="auto"/>
        <w:jc w:val="center"/>
        <w:rPr>
          <w:rFonts w:ascii="Times New Roman" w:hAnsi="Times New Roman"/>
          <w:sz w:val="28"/>
          <w:szCs w:val="28"/>
          <w:lang w:val="kk-KZ"/>
        </w:rPr>
      </w:pPr>
    </w:p>
    <w:p w14:paraId="7CCBCA69" w14:textId="77777777" w:rsidR="009D36AE" w:rsidRDefault="009D36AE">
      <w:pPr>
        <w:spacing w:after="0" w:line="240" w:lineRule="auto"/>
        <w:jc w:val="center"/>
        <w:rPr>
          <w:rFonts w:ascii="Times New Roman" w:hAnsi="Times New Roman"/>
          <w:sz w:val="28"/>
          <w:szCs w:val="28"/>
          <w:lang w:val="kk-KZ"/>
        </w:rPr>
      </w:pPr>
    </w:p>
    <w:p w14:paraId="31210BB1" w14:textId="77777777" w:rsidR="009D36AE" w:rsidRDefault="009D36AE">
      <w:pPr>
        <w:spacing w:after="0" w:line="240" w:lineRule="auto"/>
        <w:jc w:val="center"/>
        <w:rPr>
          <w:rFonts w:ascii="Times New Roman" w:hAnsi="Times New Roman"/>
          <w:sz w:val="28"/>
          <w:szCs w:val="28"/>
          <w:lang w:val="kk-KZ"/>
        </w:rPr>
      </w:pPr>
    </w:p>
    <w:p w14:paraId="5BCA4E5B" w14:textId="77777777" w:rsidR="009D36AE" w:rsidRDefault="009D36AE">
      <w:pPr>
        <w:spacing w:after="0" w:line="240" w:lineRule="auto"/>
        <w:jc w:val="center"/>
        <w:rPr>
          <w:rFonts w:ascii="Times New Roman" w:hAnsi="Times New Roman"/>
          <w:sz w:val="28"/>
          <w:szCs w:val="28"/>
          <w:lang w:val="kk-KZ"/>
        </w:rPr>
      </w:pPr>
    </w:p>
    <w:p w14:paraId="02362CA3" w14:textId="6CACA466" w:rsidR="009D36AE" w:rsidRPr="003B0324" w:rsidRDefault="00000000">
      <w:pPr>
        <w:spacing w:after="0" w:line="240" w:lineRule="auto"/>
        <w:jc w:val="center"/>
        <w:rPr>
          <w:lang w:val="kk-KZ"/>
        </w:rPr>
      </w:pPr>
      <w:r>
        <w:rPr>
          <w:rFonts w:ascii="Times New Roman" w:hAnsi="Times New Roman"/>
          <w:sz w:val="28"/>
          <w:szCs w:val="28"/>
          <w:lang w:val="kk-KZ"/>
        </w:rPr>
        <w:lastRenderedPageBreak/>
        <w:t>№ 2</w:t>
      </w:r>
      <w:r w:rsidR="003B0324">
        <w:rPr>
          <w:rFonts w:ascii="Times New Roman" w:hAnsi="Times New Roman"/>
          <w:sz w:val="28"/>
          <w:szCs w:val="28"/>
          <w:lang w:val="kk-KZ"/>
        </w:rPr>
        <w:t>2</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77777777"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(1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618" w:type="dxa"/>
        <w:tblInd w:w="-40" w:type="dxa"/>
        <w:tblCellMar>
          <w:top w:w="55" w:type="dxa"/>
          <w:left w:w="50" w:type="dxa"/>
          <w:bottom w:w="55" w:type="dxa"/>
          <w:right w:w="55" w:type="dxa"/>
        </w:tblCellMar>
        <w:tblLook w:val="04A0" w:firstRow="1" w:lastRow="0" w:firstColumn="1" w:lastColumn="0" w:noHBand="0" w:noVBand="1"/>
      </w:tblPr>
      <w:tblGrid>
        <w:gridCol w:w="624"/>
        <w:gridCol w:w="1979"/>
        <w:gridCol w:w="5371"/>
        <w:gridCol w:w="780"/>
        <w:gridCol w:w="730"/>
        <w:gridCol w:w="748"/>
        <w:gridCol w:w="985"/>
        <w:gridCol w:w="3401"/>
      </w:tblGrid>
      <w:tr w:rsidR="009D36AE" w14:paraId="05B93AF6" w14:textId="77777777" w:rsidTr="003B0324">
        <w:tc>
          <w:tcPr>
            <w:tcW w:w="624" w:type="dxa"/>
            <w:tcBorders>
              <w:right w:val="nil"/>
            </w:tcBorders>
            <w:shd w:val="clear" w:color="auto" w:fill="auto"/>
            <w:tcMar>
              <w:left w:w="50" w:type="dxa"/>
            </w:tcMar>
            <w:vAlign w:val="center"/>
          </w:tcPr>
          <w:p w14:paraId="0231188A" w14:textId="77777777" w:rsidR="009D36AE" w:rsidRDefault="00000000">
            <w:pPr>
              <w:pStyle w:val="ab"/>
              <w:spacing w:after="0" w:line="240" w:lineRule="auto"/>
            </w:pPr>
            <w:r>
              <w:rPr>
                <w:rFonts w:ascii="Times New Roman" w:hAnsi="Times New Roman" w:cs="Times New Roman"/>
              </w:rPr>
              <w:t>топта ма №</w:t>
            </w:r>
          </w:p>
        </w:tc>
        <w:tc>
          <w:tcPr>
            <w:tcW w:w="1981" w:type="dxa"/>
            <w:tcBorders>
              <w:right w:val="nil"/>
            </w:tcBorders>
            <w:shd w:val="clear" w:color="auto" w:fill="auto"/>
            <w:tcMar>
              <w:left w:w="50" w:type="dxa"/>
            </w:tcMar>
            <w:vAlign w:val="center"/>
          </w:tcPr>
          <w:p w14:paraId="30870647" w14:textId="77777777" w:rsidR="009D36AE" w:rsidRDefault="00000000">
            <w:pPr>
              <w:pStyle w:val="ab"/>
              <w:spacing w:after="0" w:line="240" w:lineRule="auto"/>
            </w:pPr>
            <w:r>
              <w:rPr>
                <w:rFonts w:ascii="Times New Roman" w:hAnsi="Times New Roman" w:cs="Times New Roman"/>
              </w:rPr>
              <w:t>Сатып алынатын тауарлардың</w:t>
            </w:r>
          </w:p>
          <w:p w14:paraId="4708A8B6" w14:textId="77777777" w:rsidR="009D36AE" w:rsidRDefault="00000000">
            <w:pPr>
              <w:pStyle w:val="ab"/>
              <w:spacing w:after="0" w:line="240" w:lineRule="auto"/>
            </w:pPr>
            <w:r>
              <w:rPr>
                <w:rFonts w:ascii="Times New Roman" w:hAnsi="Times New Roman" w:cs="Times New Roman"/>
              </w:rPr>
              <w:t>атауы</w:t>
            </w:r>
          </w:p>
        </w:tc>
        <w:tc>
          <w:tcPr>
            <w:tcW w:w="5382" w:type="dxa"/>
            <w:tcBorders>
              <w:right w:val="nil"/>
            </w:tcBorders>
            <w:shd w:val="clear" w:color="auto" w:fill="auto"/>
            <w:tcMar>
              <w:left w:w="50" w:type="dxa"/>
            </w:tcMar>
            <w:vAlign w:val="center"/>
          </w:tcPr>
          <w:p w14:paraId="323D3392" w14:textId="77777777" w:rsidR="009D36AE" w:rsidRDefault="00000000">
            <w:pPr>
              <w:pStyle w:val="ab"/>
              <w:spacing w:after="0" w:line="240" w:lineRule="auto"/>
            </w:pPr>
            <w:r>
              <w:rPr>
                <w:rFonts w:ascii="Times New Roman" w:hAnsi="Times New Roman" w:cs="Times New Roman"/>
              </w:rPr>
              <w:t>Сатып алынатын тауарларға сипаттама, жұмыстары көрсетілетін қызметтері</w:t>
            </w:r>
          </w:p>
        </w:tc>
        <w:tc>
          <w:tcPr>
            <w:tcW w:w="780" w:type="dxa"/>
            <w:tcBorders>
              <w:right w:val="nil"/>
            </w:tcBorders>
            <w:shd w:val="clear" w:color="auto" w:fill="auto"/>
            <w:tcMar>
              <w:left w:w="50" w:type="dxa"/>
            </w:tcMar>
            <w:vAlign w:val="center"/>
          </w:tcPr>
          <w:p w14:paraId="70F03FA1" w14:textId="77777777" w:rsidR="009D36AE" w:rsidRDefault="00000000">
            <w:pPr>
              <w:pStyle w:val="ab"/>
              <w:spacing w:after="0" w:line="240" w:lineRule="auto"/>
            </w:pPr>
            <w:r>
              <w:rPr>
                <w:rFonts w:ascii="Times New Roman" w:hAnsi="Times New Roman" w:cs="Times New Roman"/>
              </w:rPr>
              <w:t>Өлшем бірлігі</w:t>
            </w:r>
          </w:p>
        </w:tc>
        <w:tc>
          <w:tcPr>
            <w:tcW w:w="730" w:type="dxa"/>
            <w:tcBorders>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r>
              <w:rPr>
                <w:rFonts w:ascii="Times New Roman" w:hAnsi="Times New Roman" w:cs="Times New Roman"/>
              </w:rPr>
              <w:t>көлемі</w:t>
            </w:r>
          </w:p>
        </w:tc>
        <w:tc>
          <w:tcPr>
            <w:tcW w:w="748" w:type="dxa"/>
            <w:tcBorders>
              <w:right w:val="nil"/>
            </w:tcBorders>
            <w:shd w:val="clear" w:color="auto" w:fill="auto"/>
            <w:tcMar>
              <w:left w:w="50" w:type="dxa"/>
            </w:tcMar>
            <w:vAlign w:val="center"/>
          </w:tcPr>
          <w:p w14:paraId="33D7E6EA" w14:textId="77777777" w:rsidR="009D36AE" w:rsidRDefault="00000000">
            <w:pPr>
              <w:pStyle w:val="ab"/>
              <w:spacing w:after="0" w:line="240" w:lineRule="auto"/>
            </w:pPr>
            <w:r>
              <w:rPr>
                <w:rFonts w:ascii="Times New Roman" w:hAnsi="Times New Roman" w:cs="Times New Roman"/>
              </w:rPr>
              <w:t>бағасы</w:t>
            </w:r>
          </w:p>
        </w:tc>
        <w:tc>
          <w:tcPr>
            <w:tcW w:w="965" w:type="dxa"/>
            <w:tcBorders>
              <w:right w:val="nil"/>
            </w:tcBorders>
            <w:shd w:val="clear" w:color="auto" w:fill="auto"/>
            <w:tcMar>
              <w:left w:w="50" w:type="dxa"/>
            </w:tcMar>
            <w:vAlign w:val="center"/>
          </w:tcPr>
          <w:p w14:paraId="7CC26151" w14:textId="77777777" w:rsidR="009D36AE" w:rsidRDefault="00000000">
            <w:pPr>
              <w:pStyle w:val="ab"/>
              <w:spacing w:after="0" w:line="240" w:lineRule="auto"/>
            </w:pPr>
            <w:r>
              <w:rPr>
                <w:rFonts w:ascii="Times New Roman" w:hAnsi="Times New Roman" w:cs="Times New Roman"/>
              </w:rPr>
              <w:t>сомасы</w:t>
            </w:r>
          </w:p>
        </w:tc>
        <w:tc>
          <w:tcPr>
            <w:tcW w:w="3408" w:type="dxa"/>
            <w:shd w:val="clear" w:color="auto" w:fill="auto"/>
            <w:tcMar>
              <w:left w:w="50" w:type="dxa"/>
            </w:tcMar>
            <w:vAlign w:val="center"/>
          </w:tcPr>
          <w:p w14:paraId="481C6E1D" w14:textId="77777777" w:rsidR="009D36AE" w:rsidRDefault="00000000">
            <w:pPr>
              <w:pStyle w:val="ab"/>
              <w:spacing w:after="0" w:line="240" w:lineRule="auto"/>
            </w:pPr>
            <w:r>
              <w:rPr>
                <w:rFonts w:ascii="Times New Roman" w:hAnsi="Times New Roman" w:cs="Times New Roman"/>
              </w:rPr>
              <w:t>Мерзімі, жеткізу орны мен шарттары</w:t>
            </w:r>
          </w:p>
        </w:tc>
      </w:tr>
      <w:tr w:rsidR="003B0324" w14:paraId="1126C1DC" w14:textId="77777777" w:rsidTr="003B0324">
        <w:trPr>
          <w:trHeight w:val="381"/>
        </w:trPr>
        <w:tc>
          <w:tcPr>
            <w:tcW w:w="624" w:type="dxa"/>
            <w:tcBorders>
              <w:top w:val="nil"/>
              <w:right w:val="nil"/>
            </w:tcBorders>
            <w:shd w:val="clear" w:color="auto" w:fill="auto"/>
            <w:tcMar>
              <w:left w:w="50" w:type="dxa"/>
            </w:tcMar>
          </w:tcPr>
          <w:p w14:paraId="2E179C7A" w14:textId="77777777" w:rsidR="003B0324" w:rsidRDefault="003B0324" w:rsidP="003B0324">
            <w:pPr>
              <w:spacing w:after="0" w:line="240" w:lineRule="auto"/>
              <w:jc w:val="center"/>
            </w:pPr>
            <w:r>
              <w:rPr>
                <w:rFonts w:ascii="Times New Roman" w:hAnsi="Times New Roman" w:cs="Times New Roman"/>
              </w:rPr>
              <w:t>1</w:t>
            </w:r>
          </w:p>
        </w:tc>
        <w:tc>
          <w:tcPr>
            <w:tcW w:w="1981" w:type="dxa"/>
            <w:tcBorders>
              <w:top w:val="nil"/>
              <w:right w:val="nil"/>
            </w:tcBorders>
            <w:shd w:val="clear" w:color="auto" w:fill="auto"/>
            <w:tcMar>
              <w:left w:w="50" w:type="dxa"/>
            </w:tcMar>
          </w:tcPr>
          <w:p w14:paraId="5ADAB522" w14:textId="192D8ABB" w:rsidR="003B0324" w:rsidRPr="003B0324" w:rsidRDefault="003B0324" w:rsidP="003B0324">
            <w:pPr>
              <w:spacing w:after="0" w:line="240" w:lineRule="auto"/>
              <w:rPr>
                <w:rFonts w:ascii="Times New Roman" w:hAnsi="Times New Roman" w:cs="Times New Roman"/>
              </w:rPr>
            </w:pPr>
            <w:r w:rsidRPr="003B0324">
              <w:rPr>
                <w:rFonts w:ascii="Times New Roman" w:hAnsi="Times New Roman" w:cs="Times New Roman"/>
              </w:rPr>
              <w:t>Несеп қабылдағыш</w:t>
            </w:r>
          </w:p>
        </w:tc>
        <w:tc>
          <w:tcPr>
            <w:tcW w:w="5382" w:type="dxa"/>
            <w:tcBorders>
              <w:top w:val="nil"/>
              <w:right w:val="nil"/>
            </w:tcBorders>
            <w:shd w:val="clear" w:color="auto" w:fill="auto"/>
            <w:tcMar>
              <w:left w:w="50" w:type="dxa"/>
            </w:tcMar>
          </w:tcPr>
          <w:p w14:paraId="1363B7C4" w14:textId="2D093FE3" w:rsidR="003B0324" w:rsidRPr="003B0324" w:rsidRDefault="003B0324" w:rsidP="003B0324">
            <w:pPr>
              <w:spacing w:after="0" w:line="240" w:lineRule="auto"/>
              <w:rPr>
                <w:rFonts w:ascii="Times New Roman" w:hAnsi="Times New Roman" w:cs="Times New Roman"/>
              </w:rPr>
            </w:pPr>
            <w:r w:rsidRPr="003B0324">
              <w:rPr>
                <w:rFonts w:ascii="Times New Roman" w:hAnsi="Times New Roman" w:cs="Times New Roman"/>
              </w:rPr>
              <w:t>Несеп қабылдағыш стерильді, бір рет қолданылады. Бекітудің модификациясы: көлемі кемінде 2000 мл л а т к с жоқ зәрді жинауға арналған қапшықтан/қапшықтан; Т-тәрізді ағызу клапанынан; м о сағ және сынамаларды алуға арналған порттан; конустық коннекторы және қорғаныш қақпағы бар кіріктірілген рефлюкске қарсы клапаннан; дренаждық т т у б к және сыртқы диаметрі 6,0 мм-ден 10,5 мм-ге дейін және ұзындығы кемінде 100 см; бекітуге арналған бау.</w:t>
            </w:r>
          </w:p>
        </w:tc>
        <w:tc>
          <w:tcPr>
            <w:tcW w:w="780" w:type="dxa"/>
            <w:tcBorders>
              <w:top w:val="nil"/>
              <w:right w:val="nil"/>
            </w:tcBorders>
            <w:shd w:val="clear" w:color="auto" w:fill="auto"/>
            <w:tcMar>
              <w:left w:w="50" w:type="dxa"/>
            </w:tcMar>
          </w:tcPr>
          <w:p w14:paraId="20DA0EF2" w14:textId="77777777" w:rsidR="003B0324" w:rsidRDefault="003B0324" w:rsidP="003B0324">
            <w:pPr>
              <w:spacing w:after="0" w:line="240" w:lineRule="auto"/>
              <w:jc w:val="center"/>
              <w:rPr>
                <w:rFonts w:ascii="Times New Roman" w:hAnsi="Times New Roman" w:cs="Times New Roman"/>
              </w:rPr>
            </w:pPr>
          </w:p>
          <w:p w14:paraId="7C9B8A28" w14:textId="77777777" w:rsidR="003B0324" w:rsidRDefault="003B0324" w:rsidP="003B0324">
            <w:pPr>
              <w:spacing w:after="0" w:line="240" w:lineRule="auto"/>
              <w:jc w:val="center"/>
            </w:pPr>
          </w:p>
          <w:p w14:paraId="63F57BC5" w14:textId="77777777" w:rsidR="003B0324" w:rsidRDefault="003B0324" w:rsidP="003B0324">
            <w:pPr>
              <w:spacing w:after="0" w:line="240" w:lineRule="auto"/>
              <w:jc w:val="center"/>
            </w:pPr>
          </w:p>
          <w:p w14:paraId="4118F297" w14:textId="77777777" w:rsidR="003B0324" w:rsidRDefault="003B0324" w:rsidP="003B0324">
            <w:pPr>
              <w:spacing w:after="0" w:line="240" w:lineRule="auto"/>
              <w:jc w:val="center"/>
            </w:pPr>
          </w:p>
          <w:p w14:paraId="738D8895" w14:textId="5B9A14B3" w:rsidR="003B0324" w:rsidRPr="003B0324" w:rsidRDefault="003B0324" w:rsidP="003B0324">
            <w:pPr>
              <w:spacing w:after="0" w:line="240" w:lineRule="auto"/>
              <w:jc w:val="center"/>
              <w:rPr>
                <w:rFonts w:ascii="Times New Roman" w:hAnsi="Times New Roman" w:cs="Times New Roman"/>
              </w:rPr>
            </w:pPr>
            <w:r w:rsidRPr="003B0324">
              <w:rPr>
                <w:rFonts w:ascii="Times New Roman" w:hAnsi="Times New Roman" w:cs="Times New Roman"/>
              </w:rPr>
              <w:t>дана</w:t>
            </w:r>
          </w:p>
        </w:tc>
        <w:tc>
          <w:tcPr>
            <w:tcW w:w="730" w:type="dxa"/>
            <w:tcBorders>
              <w:top w:val="nil"/>
              <w:right w:val="nil"/>
            </w:tcBorders>
            <w:shd w:val="clear" w:color="auto" w:fill="auto"/>
            <w:tcMar>
              <w:left w:w="50" w:type="dxa"/>
            </w:tcMar>
            <w:vAlign w:val="center"/>
          </w:tcPr>
          <w:p w14:paraId="17BDA6AE" w14:textId="57E8E1D7" w:rsidR="003B0324" w:rsidRPr="003B0324" w:rsidRDefault="003B0324" w:rsidP="003B0324">
            <w:pPr>
              <w:spacing w:after="0" w:line="240" w:lineRule="auto"/>
              <w:jc w:val="center"/>
              <w:rPr>
                <w:rFonts w:ascii="Times New Roman" w:hAnsi="Times New Roman" w:cs="Times New Roman"/>
              </w:rPr>
            </w:pPr>
            <w:r w:rsidRPr="003B0324">
              <w:rPr>
                <w:rFonts w:ascii="Times New Roman" w:hAnsi="Times New Roman" w:cs="Times New Roman"/>
              </w:rPr>
              <w:t xml:space="preserve">200 </w:t>
            </w:r>
          </w:p>
        </w:tc>
        <w:tc>
          <w:tcPr>
            <w:tcW w:w="748" w:type="dxa"/>
            <w:tcBorders>
              <w:top w:val="nil"/>
              <w:right w:val="nil"/>
            </w:tcBorders>
            <w:shd w:val="clear" w:color="auto" w:fill="auto"/>
            <w:tcMar>
              <w:left w:w="50" w:type="dxa"/>
            </w:tcMar>
            <w:vAlign w:val="center"/>
          </w:tcPr>
          <w:p w14:paraId="61B02013" w14:textId="1C2CDFCE" w:rsidR="003B0324" w:rsidRPr="003B0324" w:rsidRDefault="003B0324" w:rsidP="003B0324">
            <w:pPr>
              <w:spacing w:after="0" w:line="240" w:lineRule="auto"/>
              <w:jc w:val="center"/>
              <w:rPr>
                <w:rFonts w:ascii="Times New Roman" w:hAnsi="Times New Roman" w:cs="Times New Roman"/>
              </w:rPr>
            </w:pPr>
            <w:r w:rsidRPr="003B0324">
              <w:rPr>
                <w:rFonts w:ascii="Times New Roman" w:hAnsi="Times New Roman" w:cs="Times New Roman"/>
              </w:rPr>
              <w:t>468,88</w:t>
            </w:r>
          </w:p>
        </w:tc>
        <w:tc>
          <w:tcPr>
            <w:tcW w:w="965" w:type="dxa"/>
            <w:tcBorders>
              <w:top w:val="nil"/>
              <w:right w:val="nil"/>
            </w:tcBorders>
            <w:shd w:val="clear" w:color="auto" w:fill="auto"/>
            <w:tcMar>
              <w:left w:w="50" w:type="dxa"/>
            </w:tcMar>
            <w:vAlign w:val="center"/>
          </w:tcPr>
          <w:p w14:paraId="3CCB61F4" w14:textId="0092AE7E" w:rsidR="003B0324" w:rsidRPr="003B0324" w:rsidRDefault="003B0324" w:rsidP="003B0324">
            <w:pPr>
              <w:spacing w:after="0" w:line="240" w:lineRule="auto"/>
              <w:jc w:val="center"/>
              <w:rPr>
                <w:rFonts w:ascii="Times New Roman" w:hAnsi="Times New Roman" w:cs="Times New Roman"/>
              </w:rPr>
            </w:pPr>
            <w:r w:rsidRPr="003B0324">
              <w:rPr>
                <w:rFonts w:ascii="Times New Roman" w:hAnsi="Times New Roman" w:cs="Times New Roman"/>
              </w:rPr>
              <w:t>93 776,00</w:t>
            </w:r>
          </w:p>
        </w:tc>
        <w:tc>
          <w:tcPr>
            <w:tcW w:w="3408" w:type="dxa"/>
            <w:tcBorders>
              <w:top w:val="nil"/>
            </w:tcBorders>
            <w:shd w:val="clear" w:color="auto" w:fill="auto"/>
            <w:tcMar>
              <w:left w:w="50" w:type="dxa"/>
            </w:tcMar>
          </w:tcPr>
          <w:p w14:paraId="61799A71" w14:textId="26CC356F" w:rsidR="003B0324" w:rsidRPr="003B0324" w:rsidRDefault="003B0324" w:rsidP="003B0324">
            <w:pPr>
              <w:spacing w:after="0" w:line="240" w:lineRule="auto"/>
              <w:jc w:val="both"/>
              <w:rPr>
                <w:rFonts w:ascii="Times New Roman" w:hAnsi="Times New Roman" w:cs="Times New Roman"/>
              </w:rPr>
            </w:pPr>
            <w:r w:rsidRPr="003B0324">
              <w:rPr>
                <w:rFonts w:ascii="Times New Roman" w:hAnsi="Times New Roman" w:cs="Times New Roman"/>
              </w:rPr>
              <w:t xml:space="preserve">Шартты жасасқан күннен бастап күнтізбелік бес күн ішінде мына мекенжай бойынша: Глубокое ауданы, </w:t>
            </w:r>
            <w:r w:rsidR="0027423F">
              <w:rPr>
                <w:rFonts w:ascii="Times New Roman" w:hAnsi="Times New Roman" w:cs="Times New Roman"/>
              </w:rPr>
              <w:t>О</w:t>
            </w:r>
            <w:r w:rsidRPr="003B0324">
              <w:rPr>
                <w:rFonts w:ascii="Times New Roman" w:hAnsi="Times New Roman" w:cs="Times New Roman"/>
              </w:rPr>
              <w:t>пытное поле ауылы, Локомотивная көшесі 3/1 дәріхана</w:t>
            </w:r>
          </w:p>
        </w:tc>
      </w:tr>
    </w:tbl>
    <w:p w14:paraId="16E7E27A" w14:textId="03298DB2" w:rsidR="009D36AE" w:rsidRPr="003B0324" w:rsidRDefault="00000000">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27423F">
        <w:rPr>
          <w:rFonts w:ascii="Times New Roman" w:hAnsi="Times New Roman"/>
          <w:color w:val="000000"/>
          <w:sz w:val="22"/>
          <w:szCs w:val="22"/>
          <w:lang w:val="kk-KZ"/>
        </w:rPr>
        <w:t>17</w:t>
      </w:r>
      <w:r>
        <w:rPr>
          <w:rFonts w:ascii="Times New Roman" w:hAnsi="Times New Roman"/>
          <w:color w:val="000000"/>
          <w:sz w:val="22"/>
          <w:szCs w:val="22"/>
          <w:lang w:val="kk-KZ"/>
        </w:rPr>
        <w:t xml:space="preserve"> </w:t>
      </w:r>
      <w:r w:rsidR="0027423F">
        <w:rPr>
          <w:rFonts w:ascii="Times New Roman" w:hAnsi="Times New Roman"/>
          <w:color w:val="000000"/>
          <w:sz w:val="22"/>
          <w:szCs w:val="22"/>
          <w:lang w:val="kk-KZ"/>
        </w:rPr>
        <w:t>мамыр</w:t>
      </w:r>
      <w:r>
        <w:rPr>
          <w:rFonts w:ascii="Times New Roman" w:hAnsi="Times New Roman"/>
          <w:color w:val="000000"/>
          <w:sz w:val="22"/>
          <w:szCs w:val="22"/>
          <w:lang w:val="kk-KZ"/>
        </w:rPr>
        <w:t>д</w:t>
      </w:r>
      <w:r w:rsidR="0027423F">
        <w:rPr>
          <w:rFonts w:ascii="Times New Roman" w:hAnsi="Times New Roman"/>
          <w:color w:val="000000"/>
          <w:sz w:val="22"/>
          <w:szCs w:val="22"/>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622_168555325"/>
      <w:bookmarkStart w:id="2" w:name="__DdeLink__285_2132574804"/>
      <w:bookmarkStart w:id="3" w:name="__DdeLink__1059_1858256801"/>
      <w:bookmarkStart w:id="4" w:name="__DdeLink__509_211623699"/>
      <w:r w:rsidR="0027423F">
        <w:rPr>
          <w:rFonts w:ascii="Times New Roman" w:hAnsi="Times New Roman"/>
          <w:color w:val="000000"/>
          <w:sz w:val="22"/>
          <w:szCs w:val="22"/>
          <w:lang w:val="kk-KZ"/>
        </w:rPr>
        <w:t>24</w:t>
      </w:r>
      <w:r>
        <w:rPr>
          <w:rFonts w:ascii="Times New Roman" w:hAnsi="Times New Roman"/>
          <w:color w:val="000000"/>
          <w:sz w:val="22"/>
          <w:szCs w:val="22"/>
          <w:lang w:val="kk-KZ"/>
        </w:rPr>
        <w:t xml:space="preserve"> </w:t>
      </w:r>
      <w:bookmarkEnd w:id="1"/>
      <w:bookmarkEnd w:id="2"/>
      <w:bookmarkEnd w:id="3"/>
      <w:r w:rsidR="0027423F">
        <w:rPr>
          <w:rFonts w:ascii="Times New Roman" w:hAnsi="Times New Roman"/>
          <w:color w:val="000000"/>
          <w:sz w:val="22"/>
          <w:szCs w:val="22"/>
          <w:lang w:val="kk-KZ"/>
        </w:rPr>
        <w:t>мамырды</w:t>
      </w:r>
      <w:r>
        <w:rPr>
          <w:rFonts w:ascii="Times New Roman" w:hAnsi="Times New Roman"/>
          <w:color w:val="000000"/>
          <w:sz w:val="22"/>
          <w:szCs w:val="22"/>
          <w:lang w:val="kk-KZ"/>
        </w:rPr>
        <w:t xml:space="preserve"> </w:t>
      </w:r>
      <w:bookmarkEnd w:id="4"/>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27423F">
        <w:rPr>
          <w:rFonts w:ascii="Times New Roman" w:hAnsi="Times New Roman"/>
          <w:color w:val="000000"/>
          <w:sz w:val="22"/>
          <w:szCs w:val="22"/>
          <w:lang w:val="kk-KZ"/>
        </w:rPr>
        <w:t>24 мамырды</w:t>
      </w:r>
      <w:r>
        <w:rPr>
          <w:rFonts w:ascii="Times New Roman" w:hAnsi="Times New Roman"/>
          <w:color w:val="000000"/>
          <w:sz w:val="22"/>
          <w:szCs w:val="22"/>
          <w:lang w:val="kk-KZ"/>
        </w:rPr>
        <w:t xml:space="preserve">  </w:t>
      </w:r>
      <w:r w:rsidR="0027423F">
        <w:rPr>
          <w:rFonts w:ascii="Times New Roman" w:hAnsi="Times New Roman"/>
          <w:color w:val="000000"/>
          <w:sz w:val="22"/>
          <w:szCs w:val="22"/>
          <w:lang w:val="kk-KZ"/>
        </w:rPr>
        <w:t>09</w:t>
      </w:r>
      <w:r>
        <w:rPr>
          <w:rFonts w:ascii="Times New Roman" w:hAnsi="Times New Roman"/>
          <w:color w:val="000000"/>
          <w:sz w:val="22"/>
          <w:szCs w:val="22"/>
          <w:lang w:val="kk-KZ"/>
        </w:rPr>
        <w:t xml:space="preserve"> сағат </w:t>
      </w:r>
      <w:r w:rsidR="0027423F">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1"/>
  </w:num>
  <w:num w:numId="2" w16cid:durableId="178056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27423F"/>
    <w:rsid w:val="003B0324"/>
    <w:rsid w:val="00477774"/>
    <w:rsid w:val="009D36A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3090</TotalTime>
  <Pages>2</Pages>
  <Words>904</Words>
  <Characters>5154</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310</cp:revision>
  <cp:lastPrinted>2024-04-22T13:26:00Z</cp:lastPrinted>
  <dcterms:created xsi:type="dcterms:W3CDTF">2017-02-24T06:56:00Z</dcterms:created>
  <dcterms:modified xsi:type="dcterms:W3CDTF">2024-05-16T09:06:00Z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