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7</w:t>
      </w:r>
    </w:p>
    <w:p>
      <w:pPr>
        <w:pStyle w:val="Normal"/>
        <w:tabs>
          <w:tab w:val="left" w:pos="11415" w:leader="none"/>
        </w:tabs>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(3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413" w:type="dxa"/>
        <w:jc w:val="left"/>
        <w:tblInd w:w="-65" w:type="dxa"/>
        <w:tblCellMar>
          <w:top w:w="0" w:type="dxa"/>
          <w:left w:w="-5" w:type="dxa"/>
          <w:bottom w:w="0" w:type="dxa"/>
          <w:right w:w="108" w:type="dxa"/>
        </w:tblCellMar>
        <w:tblLook w:firstRow="1" w:noVBand="1" w:lastRow="0" w:firstColumn="1" w:lastColumn="0" w:noHBand="0" w:val="04a0"/>
      </w:tblPr>
      <w:tblGrid>
        <w:gridCol w:w="612"/>
        <w:gridCol w:w="1312"/>
        <w:gridCol w:w="6451"/>
        <w:gridCol w:w="791"/>
        <w:gridCol w:w="722"/>
        <w:gridCol w:w="806"/>
        <w:gridCol w:w="1133"/>
        <w:gridCol w:w="2584"/>
      </w:tblGrid>
      <w:tr>
        <w:trPr/>
        <w:tc>
          <w:tcPr>
            <w:tcW w:w="6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31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6451"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791"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722"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80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133"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584"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1309" w:hRule="atLeast"/>
        </w:trPr>
        <w:tc>
          <w:tcPr>
            <w:tcW w:w="612"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31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645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2мл с иглой 23</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w:t>
            </w:r>
          </w:p>
        </w:tc>
        <w:tc>
          <w:tcPr>
            <w:tcW w:w="791"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722"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5 000</w:t>
            </w:r>
          </w:p>
        </w:tc>
        <w:tc>
          <w:tcPr>
            <w:tcW w:w="80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15,71</w:t>
            </w:r>
          </w:p>
        </w:tc>
        <w:tc>
          <w:tcPr>
            <w:tcW w:w="1133"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78 550,00</w:t>
            </w:r>
          </w:p>
        </w:tc>
        <w:tc>
          <w:tcPr>
            <w:tcW w:w="2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jc w:val="center"/>
              <w:rPr/>
            </w:pPr>
            <w:r>
              <w:rPr>
                <w:rFonts w:cs="Times New Roman" w:ascii="Times New Roman" w:hAnsi="Times New Roman"/>
              </w:rPr>
              <w:t>Поставка по заявке по адресу: Глубоковский район , село Опытное поле, ул. Локомотивная 3/1, аптека</w:t>
            </w:r>
          </w:p>
        </w:tc>
      </w:tr>
      <w:tr>
        <w:trPr>
          <w:trHeight w:val="1397" w:hRule="atLeast"/>
        </w:trPr>
        <w:tc>
          <w:tcPr>
            <w:tcW w:w="61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31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Шприц</w:t>
            </w:r>
          </w:p>
        </w:tc>
        <w:tc>
          <w:tcPr>
            <w:tcW w:w="645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5мл с иглой 22</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w:t>
            </w:r>
          </w:p>
        </w:tc>
        <w:tc>
          <w:tcPr>
            <w:tcW w:w="791"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722"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13 000</w:t>
            </w:r>
          </w:p>
        </w:tc>
        <w:tc>
          <w:tcPr>
            <w:tcW w:w="80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15,69</w:t>
            </w:r>
          </w:p>
        </w:tc>
        <w:tc>
          <w:tcPr>
            <w:tcW w:w="1133"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203 970,00</w:t>
            </w:r>
          </w:p>
        </w:tc>
        <w:tc>
          <w:tcPr>
            <w:tcW w:w="2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 xml:space="preserve">Поставка  по заявке </w:t>
            </w:r>
          </w:p>
          <w:p>
            <w:pPr>
              <w:pStyle w:val="Normal"/>
              <w:spacing w:lineRule="auto" w:line="240" w:before="0" w:after="0"/>
              <w:jc w:val="center"/>
              <w:rPr>
                <w:rFonts w:ascii="Times New Roman" w:hAnsi="Times New Roman" w:cs="Times New Roman"/>
              </w:rPr>
            </w:pPr>
            <w:r>
              <w:rPr>
                <w:rFonts w:cs="Times New Roman" w:ascii="Times New Roman" w:hAnsi="Times New Roman"/>
              </w:rPr>
              <w:t>по адресу: Глубоковский район, село Опытное поле, ул. Локомотивная 3/1,  аптека</w:t>
            </w:r>
          </w:p>
        </w:tc>
      </w:tr>
      <w:tr>
        <w:trPr>
          <w:trHeight w:val="1295" w:hRule="atLeast"/>
        </w:trPr>
        <w:tc>
          <w:tcPr>
            <w:tcW w:w="612" w:type="dxa"/>
            <w:tcBorders>
              <w:top w:val="nil"/>
            </w:tcBorders>
            <w:shd w:color="auto" w:fill="auto" w:val="clear"/>
            <w:tcMar>
              <w:left w:w="-5" w:type="dxa"/>
            </w:tcMar>
          </w:tcPr>
          <w:p>
            <w:pPr>
              <w:pStyle w:val="Normal"/>
              <w:spacing w:lineRule="auto" w:line="240" w:before="0" w:after="0"/>
              <w:jc w:val="center"/>
              <w:rPr/>
            </w:pPr>
            <w:r>
              <w:rPr/>
              <w:t>3</w:t>
            </w:r>
          </w:p>
        </w:tc>
        <w:tc>
          <w:tcPr>
            <w:tcW w:w="131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Шприц</w:t>
            </w:r>
          </w:p>
        </w:tc>
        <w:tc>
          <w:tcPr>
            <w:tcW w:w="645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10мл с иглой 21</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w:t>
            </w:r>
          </w:p>
        </w:tc>
        <w:tc>
          <w:tcPr>
            <w:tcW w:w="791"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722"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16 000</w:t>
            </w:r>
          </w:p>
        </w:tc>
        <w:tc>
          <w:tcPr>
            <w:tcW w:w="806"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24,96</w:t>
            </w:r>
          </w:p>
        </w:tc>
        <w:tc>
          <w:tcPr>
            <w:tcW w:w="1133"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399 360,00</w:t>
            </w:r>
          </w:p>
        </w:tc>
        <w:tc>
          <w:tcPr>
            <w:tcW w:w="2584"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jc w:val="center"/>
              <w:rPr/>
            </w:pPr>
            <w:r>
              <w:rPr>
                <w:rFonts w:cs="Times New Roman" w:ascii="Times New Roman" w:hAnsi="Times New Roman"/>
              </w:rPr>
              <w:t xml:space="preserve">Поставка  по заявке </w:t>
            </w:r>
          </w:p>
          <w:p>
            <w:pPr>
              <w:pStyle w:val="Normal"/>
              <w:spacing w:lineRule="auto" w:line="240" w:before="0" w:after="0"/>
              <w:jc w:val="center"/>
              <w:rPr/>
            </w:pPr>
            <w:r>
              <w:rPr>
                <w:rFonts w:cs="Times New Roman" w:ascii="Times New Roman" w:hAnsi="Times New Roman"/>
              </w:rPr>
              <w:t>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19 марта 2024 года по адресу:  </w:t>
      </w:r>
      <w:r>
        <w:rPr>
          <w:rStyle w:val="S0"/>
          <w:lang w:val="kk-KZ"/>
        </w:rPr>
        <w:t xml:space="preserve">РК, ВКО, г.Усть-Каменогорск, ул.Белинского,39 </w:t>
      </w:r>
      <w:r>
        <w:rPr>
          <w:rStyle w:val="S0"/>
        </w:rPr>
        <w:t>отдел гос.закупок с 0</w:t>
      </w:r>
      <w:r>
        <w:rPr>
          <w:rStyle w:val="S0"/>
        </w:rPr>
        <w:t>9</w:t>
      </w:r>
      <w:r>
        <w:rPr>
          <w:rStyle w:val="S0"/>
        </w:rPr>
        <w:t xml:space="preserve">:00ч.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26 марта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26 марта 2024 года в 10 часов 30 минут по адресу  </w:t>
      </w:r>
      <w:r>
        <w:rPr>
          <w:rStyle w:val="S0"/>
          <w:lang w:val="kk-KZ"/>
        </w:rPr>
        <w:t xml:space="preserve">РК, ВКО, г.Усть-Каменогорск, ул.Белинского,39 </w:t>
      </w:r>
      <w:r>
        <w:rPr>
          <w:rStyle w:val="S0"/>
        </w:rPr>
        <w:t>отдел гос.закупок.</w:t>
      </w:r>
    </w:p>
    <w:p>
      <w:pPr>
        <w:pStyle w:val="Normal"/>
        <w:spacing w:lineRule="auto" w:line="240" w:before="0" w:after="0"/>
        <w:rPr/>
      </w:pPr>
      <w:r>
        <w:rPr>
          <w:rFonts w:ascii="Times New Roman" w:hAnsi="Times New Roman"/>
        </w:rPr>
        <w:t xml:space="preserve">Режим работы организации с 09:00ч.-17:30ч.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7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(3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32" w:type="dxa"/>
        <w:jc w:val="left"/>
        <w:tblInd w:w="-65" w:type="dxa"/>
        <w:tblCellMar>
          <w:top w:w="0" w:type="dxa"/>
          <w:left w:w="-5" w:type="dxa"/>
          <w:bottom w:w="0" w:type="dxa"/>
          <w:right w:w="108" w:type="dxa"/>
        </w:tblCellMar>
        <w:tblLook w:firstRow="1" w:noVBand="1" w:lastRow="0" w:firstColumn="1" w:lastColumn="0" w:noHBand="0" w:val="04a0"/>
      </w:tblPr>
      <w:tblGrid>
        <w:gridCol w:w="627"/>
        <w:gridCol w:w="1187"/>
        <w:gridCol w:w="6518"/>
        <w:gridCol w:w="736"/>
        <w:gridCol w:w="739"/>
        <w:gridCol w:w="790"/>
        <w:gridCol w:w="861"/>
        <w:gridCol w:w="3172"/>
      </w:tblGrid>
      <w:tr>
        <w:trPr/>
        <w:tc>
          <w:tcPr>
            <w:tcW w:w="62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187"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6518"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736"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Өлшем бірлігі</w:t>
            </w:r>
          </w:p>
        </w:tc>
        <w:tc>
          <w:tcPr>
            <w:tcW w:w="73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90"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бағасы</w:t>
            </w:r>
          </w:p>
        </w:tc>
        <w:tc>
          <w:tcPr>
            <w:tcW w:w="861" w:type="dxa"/>
            <w:tcBorders>
              <w:bottom w:val="single" w:sz="4" w:space="0" w:color="00000A"/>
              <w:insideH w:val="single" w:sz="4" w:space="0" w:color="00000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сомасы</w:t>
            </w:r>
          </w:p>
        </w:tc>
        <w:tc>
          <w:tcPr>
            <w:tcW w:w="3172" w:type="dxa"/>
            <w:tcBorders>
              <w:left w:val="nil"/>
              <w:bottom w:val="single" w:sz="4" w:space="0" w:color="00000A"/>
              <w:insideH w:val="single" w:sz="4" w:space="0" w:color="00000A"/>
            </w:tcBorders>
            <w:shd w:color="auto" w:fill="auto" w:val="clear"/>
            <w:tcMar>
              <w:top w:w="55" w:type="dxa"/>
              <w:left w:w="58" w:type="dxa"/>
              <w:bottom w:w="5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27"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18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6518"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Үш компонентті, стерильді, бір рет қолданылатын инъекцияға арналған шприц, 2 мл, 23G*1 инесі бар. Жоғары сапалы пластиктен жасалған және поршеньден, резеңке тығыздағыш сақинадан және градуирленген цилиндрден тұрады. Үшбұрышты үшбұрышты ине жұқа силикон қабатымен қапталған.</w:t>
            </w:r>
          </w:p>
        </w:tc>
        <w:tc>
          <w:tcPr>
            <w:tcW w:w="736" w:type="dxa"/>
            <w:tcBorders/>
            <w:shd w:color="auto" w:fill="auto" w:val="clear"/>
            <w:tcMar>
              <w:left w:w="-5" w:type="dxa"/>
            </w:tcMar>
          </w:tcPr>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pPr>
            <w:r>
              <w:rPr>
                <w:rFonts w:cs="Times New Roman" w:ascii="Times New Roman" w:hAnsi="Times New Roman"/>
                <w:color w:val="00000A"/>
              </w:rPr>
              <w:t>дана</w:t>
            </w:r>
          </w:p>
        </w:tc>
        <w:tc>
          <w:tcPr>
            <w:tcW w:w="739"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5 000</w:t>
            </w:r>
          </w:p>
        </w:tc>
        <w:tc>
          <w:tcPr>
            <w:tcW w:w="790"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15,71</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78 550,00</w:t>
            </w:r>
          </w:p>
        </w:tc>
        <w:tc>
          <w:tcPr>
            <w:tcW w:w="3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rPr>
                <w:rFonts w:ascii="Times New Roman" w:hAnsi="Times New Roman" w:cs="Times New Roman"/>
              </w:rPr>
            </w:pPr>
            <w:r>
              <w:rPr>
                <w:rFonts w:cs="Times New Roman" w:ascii="Times New Roman" w:hAnsi="Times New Roman"/>
              </w:rPr>
              <w:t>Өтінім бойынша жеткізу</w:t>
            </w:r>
          </w:p>
          <w:p>
            <w:pPr>
              <w:pStyle w:val="Normal"/>
              <w:spacing w:lineRule="auto" w:line="240" w:before="0" w:after="0"/>
              <w:rPr>
                <w:rFonts w:ascii="Times New Roman" w:hAnsi="Times New Roman" w:cs="Times New Roman"/>
              </w:rPr>
            </w:pPr>
            <w:r>
              <w:rPr>
                <w:rFonts w:cs="Times New Roman" w:ascii="Times New Roman" w:hAnsi="Times New Roman"/>
              </w:rPr>
              <w:t>.Глубокое ауданы , Опытное поле ауылы, Локомотивная көшесі 3/1, дәріхана мекенжайы бойынша</w:t>
            </w:r>
          </w:p>
        </w:tc>
      </w:tr>
      <w:tr>
        <w:trPr>
          <w:trHeight w:val="381" w:hRule="atLeast"/>
        </w:trPr>
        <w:tc>
          <w:tcPr>
            <w:tcW w:w="6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18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6518"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Бір рет қолдануға арналған үш компонентті стерильді инъекцияға арналған шприц, көлемі 5 мл инемен 22G1*1/2. Жоғары сапалы пластиктен жасалған және поршеньден, резеңке тығыздағыш сақинадан және градуирленген цилиндрден тұрады. Үшбұрышты үшбұрышты ине жұқа силикон қабатымен қапталған.</w:t>
            </w:r>
          </w:p>
        </w:tc>
        <w:tc>
          <w:tcPr>
            <w:tcW w:w="736" w:type="dxa"/>
            <w:tcBorders/>
            <w:shd w:color="auto" w:fill="auto" w:val="clear"/>
            <w:tcMar>
              <w:left w:w="-5" w:type="dxa"/>
            </w:tcMar>
          </w:tcPr>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pPr>
            <w:r>
              <w:rPr>
                <w:rFonts w:cs="Times New Roman" w:ascii="Times New Roman" w:hAnsi="Times New Roman"/>
                <w:color w:val="00000A"/>
              </w:rPr>
              <w:t>дана</w:t>
            </w:r>
          </w:p>
        </w:tc>
        <w:tc>
          <w:tcPr>
            <w:tcW w:w="739"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13 000</w:t>
            </w:r>
          </w:p>
        </w:tc>
        <w:tc>
          <w:tcPr>
            <w:tcW w:w="790"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15,69</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203 970,00</w:t>
            </w:r>
          </w:p>
        </w:tc>
        <w:tc>
          <w:tcPr>
            <w:tcW w:w="3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rPr>
                <w:rFonts w:ascii="Times New Roman" w:hAnsi="Times New Roman" w:cs="Times New Roman"/>
              </w:rPr>
            </w:pPr>
            <w:r>
              <w:rPr>
                <w:rFonts w:cs="Times New Roman" w:ascii="Times New Roman" w:hAnsi="Times New Roman"/>
              </w:rPr>
              <w:t>Өтінім бойынша жеткізу</w:t>
            </w:r>
          </w:p>
          <w:p>
            <w:pPr>
              <w:pStyle w:val="Normal"/>
              <w:spacing w:lineRule="auto" w:line="240" w:before="0" w:after="0"/>
              <w:rPr>
                <w:rFonts w:ascii="Times New Roman" w:hAnsi="Times New Roman" w:cs="Times New Roman"/>
              </w:rPr>
            </w:pPr>
            <w:r>
              <w:rPr>
                <w:rFonts w:cs="Times New Roman" w:ascii="Times New Roman" w:hAnsi="Times New Roman"/>
              </w:rPr>
              <w:t>.Глубокое ауданы , Опытное поле ауылы, Локомотивная көшесі 3/1, дәріхана мекенжайы бойынша</w:t>
            </w:r>
          </w:p>
        </w:tc>
      </w:tr>
      <w:tr>
        <w:trPr>
          <w:trHeight w:val="381" w:hRule="atLeast"/>
        </w:trPr>
        <w:tc>
          <w:tcPr>
            <w:tcW w:w="627" w:type="dxa"/>
            <w:tcBorders>
              <w:top w:val="nil"/>
            </w:tcBorders>
            <w:shd w:color="auto" w:fill="auto" w:val="clear"/>
            <w:tcMar>
              <w:left w:w="-5" w:type="dxa"/>
            </w:tcMar>
          </w:tcPr>
          <w:p>
            <w:pPr>
              <w:pStyle w:val="Normal"/>
              <w:spacing w:lineRule="auto" w:line="240" w:before="0" w:after="0"/>
              <w:jc w:val="center"/>
              <w:rPr/>
            </w:pPr>
            <w:r>
              <w:rPr/>
              <w:t>3</w:t>
            </w:r>
          </w:p>
        </w:tc>
        <w:tc>
          <w:tcPr>
            <w:tcW w:w="1187"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themeColor="text1"/>
                <w:sz w:val="22"/>
                <w:szCs w:val="22"/>
              </w:rPr>
              <w:t>Шприц</w:t>
            </w:r>
          </w:p>
        </w:tc>
        <w:tc>
          <w:tcPr>
            <w:tcW w:w="6518" w:type="dxa"/>
            <w:tcBorders>
              <w:top w:val="nil"/>
            </w:tcBorders>
            <w:shd w:color="auto" w:fill="auto" w:val="clear"/>
            <w:tcMar>
              <w:left w:w="-5" w:type="dxa"/>
            </w:tcMar>
          </w:tcPr>
          <w:p>
            <w:pPr>
              <w:pStyle w:val="Normal"/>
              <w:spacing w:lineRule="auto" w:line="240" w:before="0" w:after="0"/>
              <w:rPr>
                <w:rFonts w:ascii="Times New Roman" w:hAnsi="Times New Roman"/>
              </w:rPr>
            </w:pPr>
            <w:r>
              <w:rPr>
                <w:rFonts w:ascii="Times New Roman" w:hAnsi="Times New Roman"/>
              </w:rPr>
              <w:t>Бір рет қолдануға арналған үш компонентті стерильді инъекциялық шприц, көлемі 10 мл инемен 21G1*1/2. Жоғары сапалы пластиктен жасалған және поршеньден, резеңке тығыздағыш сақинадан және градуирленген цилиндрден тұрады. Үшбұрышты үшбұрышты ине жұқа силикон қабатымен қапталған.</w:t>
            </w:r>
          </w:p>
        </w:tc>
        <w:tc>
          <w:tcPr>
            <w:tcW w:w="736" w:type="dxa"/>
            <w:tcBorders>
              <w:top w:val="nil"/>
            </w:tcBorders>
            <w:shd w:color="auto" w:fill="auto" w:val="clear"/>
            <w:tcMar>
              <w:left w:w="-5" w:type="dxa"/>
            </w:tcMar>
          </w:tcPr>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r>
          </w:p>
          <w:p>
            <w:pPr>
              <w:pStyle w:val="Normal"/>
              <w:spacing w:lineRule="auto" w:line="240" w:before="0" w:after="0"/>
              <w:jc w:val="center"/>
              <w:rPr/>
            </w:pPr>
            <w:r>
              <w:rPr>
                <w:rFonts w:cs="Times New Roman" w:ascii="Times New Roman" w:hAnsi="Times New Roman"/>
                <w:color w:val="00000A"/>
              </w:rPr>
              <w:t>дана</w:t>
            </w:r>
          </w:p>
        </w:tc>
        <w:tc>
          <w:tcPr>
            <w:tcW w:w="739"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16 000</w:t>
            </w:r>
          </w:p>
        </w:tc>
        <w:tc>
          <w:tcPr>
            <w:tcW w:w="790"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24,96</w:t>
            </w:r>
          </w:p>
        </w:tc>
        <w:tc>
          <w:tcPr>
            <w:tcW w:w="86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399 360,00</w:t>
            </w:r>
          </w:p>
        </w:tc>
        <w:tc>
          <w:tcPr>
            <w:tcW w:w="3172"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43" w:type="dxa"/>
              <w:bottom w:w="55" w:type="dxa"/>
            </w:tcMar>
          </w:tcPr>
          <w:p>
            <w:pPr>
              <w:pStyle w:val="Normal"/>
              <w:spacing w:lineRule="auto" w:line="240" w:before="0" w:after="0"/>
              <w:rPr/>
            </w:pPr>
            <w:r>
              <w:rPr>
                <w:rFonts w:cs="Times New Roman" w:ascii="Times New Roman" w:hAnsi="Times New Roman"/>
              </w:rPr>
              <w:t>Өтінім бойынша жеткізу</w:t>
            </w:r>
          </w:p>
          <w:p>
            <w:pPr>
              <w:pStyle w:val="Normal"/>
              <w:spacing w:lineRule="auto" w:line="240" w:before="0" w:after="0"/>
              <w:rPr/>
            </w:pPr>
            <w:r>
              <w:rPr>
                <w:rFonts w:cs="Times New Roman" w:ascii="Times New Roman" w:hAnsi="Times New Roman"/>
              </w:rPr>
              <w:t>.Глубокое ауданы , Опытное поле ауылы, Локомотивная көшесі 3/1, дәріхана мекенжайы бойынша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19 </w:t>
      </w:r>
      <w:r>
        <w:rPr>
          <w:rFonts w:ascii="Times New Roman" w:hAnsi="Times New Roman"/>
          <w:color w:val="000000"/>
          <w:sz w:val="22"/>
          <w:szCs w:val="22"/>
          <w:lang w:val="ru-RU"/>
        </w:rPr>
        <w:t>наурыз</w:t>
      </w:r>
      <w:r>
        <w:rPr>
          <w:rFonts w:ascii="Times New Roman" w:hAnsi="Times New Roman"/>
          <w:color w:val="000000"/>
          <w:sz w:val="22"/>
          <w:szCs w:val="22"/>
          <w:lang w:val="kk-KZ"/>
        </w:rPr>
        <w:t>дан бастап ҚР, ШҚО, Өскемен қ., Белинский к-сі,39 Мемлекеттік сатып алу бөлімі мекенжайы бойынша сағат 0</w:t>
      </w:r>
      <w:r>
        <w:rPr>
          <w:rFonts w:ascii="Times New Roman" w:hAnsi="Times New Roman"/>
          <w:color w:val="000000"/>
          <w:sz w:val="22"/>
          <w:szCs w:val="22"/>
          <w:lang w:val="kk-KZ"/>
        </w:rPr>
        <w:t>9</w:t>
      </w:r>
      <w:r>
        <w:rPr>
          <w:rFonts w:ascii="Times New Roman" w:hAnsi="Times New Roman"/>
          <w:color w:val="000000"/>
          <w:sz w:val="22"/>
          <w:szCs w:val="22"/>
          <w:lang w:val="kk-KZ"/>
        </w:rPr>
        <w:t>: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1059_1858256801"/>
      <w:bookmarkStart w:id="3" w:name="__DdeLink__285_2132574804"/>
      <w:bookmarkStart w:id="4" w:name="__DdeLink__622_168555325"/>
      <w:r>
        <w:rPr>
          <w:rFonts w:ascii="Times New Roman" w:hAnsi="Times New Roman"/>
          <w:color w:val="000000"/>
          <w:sz w:val="22"/>
          <w:szCs w:val="22"/>
          <w:lang w:val="kk-KZ"/>
        </w:rPr>
        <w:t xml:space="preserve">26 </w:t>
      </w:r>
      <w:r>
        <w:rPr>
          <w:rFonts w:ascii="Times New Roman" w:hAnsi="Times New Roman"/>
          <w:color w:val="000000"/>
          <w:sz w:val="22"/>
          <w:szCs w:val="22"/>
          <w:lang w:val="ru-RU"/>
        </w:rPr>
        <w:t>наурыз</w:t>
      </w:r>
      <w:bookmarkStart w:id="5" w:name="__DdeLink__17187_1619615538"/>
      <w:r>
        <w:rPr>
          <w:rFonts w:ascii="Times New Roman" w:hAnsi="Times New Roman"/>
          <w:color w:val="000000"/>
          <w:sz w:val="22"/>
          <w:szCs w:val="22"/>
          <w:lang w:val="kk-KZ"/>
        </w:rPr>
        <w:t>д</w:t>
      </w:r>
      <w:bookmarkEnd w:id="5"/>
      <w:r>
        <w:rPr>
          <w:rFonts w:ascii="Times New Roman" w:hAnsi="Times New Roman"/>
          <w:color w:val="000000"/>
          <w:sz w:val="22"/>
          <w:szCs w:val="22"/>
          <w:lang w:val="kk-KZ"/>
        </w:rPr>
        <w:t>ы</w:t>
      </w:r>
      <w:bookmarkEnd w:id="2"/>
      <w:bookmarkEnd w:id="3"/>
      <w:bookmarkEnd w:id="4"/>
      <w:r>
        <w:rPr>
          <w:rFonts w:ascii="Times New Roman" w:hAnsi="Times New Roman"/>
          <w:color w:val="000000"/>
          <w:sz w:val="22"/>
          <w:szCs w:val="22"/>
          <w:lang w:val="kk-KZ"/>
        </w:rPr>
        <w:t xml:space="preserve"> 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26 </w:t>
      </w:r>
      <w:r>
        <w:rPr>
          <w:rFonts w:ascii="Times New Roman" w:hAnsi="Times New Roman"/>
          <w:color w:val="000000"/>
          <w:sz w:val="22"/>
          <w:szCs w:val="22"/>
          <w:lang w:val="ru-RU"/>
        </w:rPr>
        <w:t>наурыз</w:t>
      </w:r>
      <w:bookmarkStart w:id="6" w:name="__DdeLink__17187_16196155381"/>
      <w:r>
        <w:rPr>
          <w:rFonts w:ascii="Times New Roman" w:hAnsi="Times New Roman"/>
          <w:color w:val="000000"/>
          <w:sz w:val="22"/>
          <w:szCs w:val="22"/>
          <w:lang w:val="kk-KZ"/>
        </w:rPr>
        <w:t>д</w:t>
      </w:r>
      <w:bookmarkEnd w:id="6"/>
      <w:r>
        <w:rPr>
          <w:rFonts w:ascii="Times New Roman" w:hAnsi="Times New Roman"/>
          <w:color w:val="000000"/>
          <w:sz w:val="22"/>
          <w:szCs w:val="22"/>
          <w:lang w:val="kk-KZ"/>
        </w:rPr>
        <w:t>ы 10 сағат 30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Application>LibreOffice/5.2.2.2$Windows_X86_64 LibreOffice_project/8f96e87c890bf8fa77463cd4b640a2312823f3ad</Application>
  <Pages>2</Pages>
  <Words>917</Words>
  <Characters>6381</Characters>
  <CharactersWithSpaces>7279</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2024-03-15T14:44:13Z</cp:lastPrinted>
  <dcterms:modified xsi:type="dcterms:W3CDTF">2024-03-15T14:44:43Z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