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8</w:t>
      </w:r>
    </w:p>
    <w:p>
      <w:pPr>
        <w:pStyle w:val="Normal"/>
        <w:jc w:val="center"/>
        <w:rPr>
          <w:b w:val="false"/>
          <w:b w:val="false"/>
          <w:bCs w:val="false"/>
          <w:sz w:val="28"/>
          <w:szCs w:val="28"/>
        </w:rPr>
      </w:pPr>
      <w:r>
        <w:rPr>
          <w:rFonts w:cs="Times New Roman" w:ascii="Times New Roman" w:hAnsi="Times New Roman"/>
          <w:b w:val="false"/>
          <w:bCs w:val="false"/>
          <w:sz w:val="28"/>
          <w:szCs w:val="28"/>
        </w:rPr>
        <w:t xml:space="preserve">Расходные материалов для эндоскопического одноразового сшивающего аппарата  </w:t>
      </w:r>
      <w:r>
        <w:rPr>
          <w:rFonts w:cs="Times New Roman" w:ascii="Times New Roman" w:hAnsi="Times New Roman"/>
          <w:b w:val="false"/>
          <w:bCs w:val="false"/>
          <w:sz w:val="28"/>
          <w:szCs w:val="28"/>
          <w:lang w:val="kk-KZ"/>
        </w:rPr>
        <w:t xml:space="preserve">серии  </w:t>
      </w:r>
      <w:r>
        <w:rPr>
          <w:rFonts w:cs="Times New Roman" w:ascii="Times New Roman" w:hAnsi="Times New Roman"/>
          <w:b w:val="false"/>
          <w:bCs w:val="false"/>
          <w:sz w:val="28"/>
          <w:szCs w:val="28"/>
          <w:lang w:val="en-US"/>
        </w:rPr>
        <w:t>TSC</w:t>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(1 лот).</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413" w:type="dxa"/>
        <w:jc w:val="left"/>
        <w:tblInd w:w="-75" w:type="dxa"/>
        <w:tblCellMar>
          <w:top w:w="0" w:type="dxa"/>
          <w:left w:w="-5" w:type="dxa"/>
          <w:bottom w:w="0" w:type="dxa"/>
          <w:right w:w="108" w:type="dxa"/>
        </w:tblCellMar>
        <w:tblLook w:firstRow="1" w:noVBand="1" w:lastRow="0" w:firstColumn="1" w:lastColumn="0" w:noHBand="0" w:val="04a0"/>
      </w:tblPr>
      <w:tblGrid>
        <w:gridCol w:w="612"/>
        <w:gridCol w:w="1312"/>
        <w:gridCol w:w="7008"/>
        <w:gridCol w:w="791"/>
        <w:gridCol w:w="804"/>
        <w:gridCol w:w="846"/>
        <w:gridCol w:w="1309"/>
        <w:gridCol w:w="1729"/>
      </w:tblGrid>
      <w:tr>
        <w:trPr/>
        <w:tc>
          <w:tcPr>
            <w:tcW w:w="612"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312"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7008"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791"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804"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846"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309"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1729" w:type="dxa"/>
            <w:tcBorders>
              <w:left w:val="nil"/>
              <w:bottom w:val="single" w:sz="4" w:space="0" w:color="00000A"/>
              <w:insideH w:val="single" w:sz="4" w:space="0" w:color="00000A"/>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2045" w:hRule="atLeast"/>
        </w:trPr>
        <w:tc>
          <w:tcPr>
            <w:tcW w:w="612"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312"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sz w:val="20"/>
                <w:szCs w:val="20"/>
              </w:rPr>
              <w:t xml:space="preserve">Кассета сменная изгибаемая </w:t>
            </w:r>
          </w:p>
        </w:tc>
        <w:tc>
          <w:tcPr>
            <w:tcW w:w="7008" w:type="dxa"/>
            <w:tcBorders/>
            <w:shd w:color="auto" w:fill="auto" w:val="clear"/>
            <w:tcMar>
              <w:left w:w="-5" w:type="dxa"/>
            </w:tcMar>
          </w:tcPr>
          <w:p>
            <w:pPr>
              <w:pStyle w:val="NoSpacing"/>
              <w:spacing w:before="0" w:after="0"/>
              <w:rPr/>
            </w:pPr>
            <w:r>
              <w:rPr>
                <w:rFonts w:ascii="Times New Roman" w:hAnsi="Times New Roman"/>
                <w:sz w:val="20"/>
                <w:szCs w:val="20"/>
                <w:shd w:fill="FFFFFF" w:val="clear"/>
              </w:rPr>
              <w:t>Сменная кассета для эндоскопического сшивающего степлера: изгибаемая; длина 30, 45, 60 мм; цветовой код: белый, синий, зеленый, желтый, фиолетовый, черный</w:t>
            </w:r>
          </w:p>
          <w:p>
            <w:pPr>
              <w:pStyle w:val="NoSpacing"/>
              <w:spacing w:before="0" w:after="0"/>
              <w:rPr>
                <w:rFonts w:eastAsia="Calibri" w:eastAsiaTheme="minorHAnsi"/>
              </w:rPr>
            </w:pPr>
            <w:r>
              <w:rPr>
                <w:rFonts w:eastAsia="Calibri" w:ascii="Times New Roman" w:hAnsi="Times New Roman" w:eastAsiaTheme="minorHAnsi"/>
                <w:sz w:val="20"/>
                <w:szCs w:val="20"/>
              </w:rPr>
              <w:t>Сменный картридж для степлера: серия D, серия T, Длина шва: 46, 60 мм; цветовой код: серый, белый, синий, зеленый, желтый, черный</w:t>
            </w:r>
          </w:p>
          <w:p>
            <w:pPr>
              <w:pStyle w:val="NoSpacing"/>
              <w:spacing w:before="0" w:after="0"/>
              <w:rPr/>
            </w:pPr>
            <w:r>
              <w:rPr>
                <w:rFonts w:ascii="Times New Roman" w:hAnsi="Times New Roman"/>
                <w:sz w:val="20"/>
                <w:szCs w:val="20"/>
              </w:rPr>
              <w:t>Кассеты разных серий для эндоскопического и\или аккумуляторного степлера (совместимость с аппаратом закрытой системой)</w:t>
            </w:r>
          </w:p>
          <w:p>
            <w:pPr>
              <w:pStyle w:val="NoSpacing"/>
              <w:spacing w:before="0" w:after="0"/>
              <w:rPr/>
            </w:pPr>
            <w:r>
              <w:rPr>
                <w:rFonts w:ascii="Times New Roman" w:hAnsi="Times New Roman"/>
                <w:sz w:val="20"/>
                <w:szCs w:val="20"/>
              </w:rPr>
              <w:t xml:space="preserve">Кассеты– с подвижной браншой или наковальней, с ножом или без ножа. </w:t>
            </w:r>
          </w:p>
          <w:p>
            <w:pPr>
              <w:pStyle w:val="NoSpacing"/>
              <w:spacing w:before="0" w:after="0"/>
              <w:rPr/>
            </w:pPr>
            <w:r>
              <w:rPr>
                <w:rFonts w:ascii="Times New Roman" w:hAnsi="Times New Roman"/>
                <w:sz w:val="20"/>
                <w:szCs w:val="20"/>
              </w:rPr>
              <w:t xml:space="preserve">Длина 30, 45, 46, 60 мм, цветовой код/высота открытой-закрытой скобки: белый (2.5)/(1,0 ), синий (3.5 мм)/(1,5мм), фиолетовый (3.0-3.5-4.0)/( 1.2-1.5-1.8), желтый  (3,8 или 4.0)/(1.8), зеленый  (4.1 или 4.8) / (2.0 ), черный (4.0-4.5-5.0) / ( 1.8-2.0-2.2 ) (аналог технологии </w:t>
            </w:r>
            <w:r>
              <w:rPr>
                <w:rFonts w:ascii="Times New Roman" w:hAnsi="Times New Roman"/>
                <w:sz w:val="20"/>
                <w:szCs w:val="20"/>
                <w:lang w:val="en-US"/>
              </w:rPr>
              <w:t>Tri</w:t>
            </w:r>
            <w:r>
              <w:rPr>
                <w:rFonts w:ascii="Times New Roman" w:hAnsi="Times New Roman"/>
                <w:sz w:val="20"/>
                <w:szCs w:val="20"/>
              </w:rPr>
              <w:t>-</w:t>
            </w:r>
            <w:r>
              <w:rPr>
                <w:rFonts w:ascii="Times New Roman" w:hAnsi="Times New Roman"/>
                <w:sz w:val="20"/>
                <w:szCs w:val="20"/>
                <w:lang w:val="en-US"/>
              </w:rPr>
              <w:t>staple</w:t>
            </w:r>
            <w:r>
              <w:rPr>
                <w:rFonts w:ascii="Times New Roman" w:hAnsi="Times New Roman"/>
                <w:sz w:val="20"/>
                <w:szCs w:val="20"/>
              </w:rPr>
              <w:t>). Каждая кассета с ножом содержит 48 скоб- в кассетах  длиной 30 мм,  66 скоб -в кассетах длиной 45 мм -  90 скоб - в кассетах 60 мм, 70 скоб – в кассетах (без ножа) 46 мм, 88 скоб- в кассетах (без ножа) 60 мм.</w:t>
            </w:r>
          </w:p>
          <w:p>
            <w:pPr>
              <w:pStyle w:val="NoSpacing"/>
              <w:spacing w:before="0" w:after="0"/>
              <w:rPr/>
            </w:pPr>
            <w:r>
              <w:rPr>
                <w:rFonts w:ascii="Times New Roman" w:hAnsi="Times New Roman"/>
                <w:sz w:val="20"/>
                <w:szCs w:val="20"/>
              </w:rPr>
              <w:t>Черные, фиолетовые кассеты имеют ступенчатую поверхность картриджа, обеспечивающую постепенное сжатие, и три ряда скоб различной высоты.</w:t>
            </w:r>
          </w:p>
          <w:p>
            <w:pPr>
              <w:pStyle w:val="NoSpacing"/>
              <w:spacing w:before="0" w:after="0"/>
              <w:rPr/>
            </w:pPr>
            <w:r>
              <w:rPr>
                <w:rFonts w:ascii="Times New Roman" w:hAnsi="Times New Roman"/>
                <w:sz w:val="20"/>
                <w:szCs w:val="20"/>
              </w:rPr>
              <w:t>Кассета для эндоскопического линейного сшивающего аппарата. Изгибаемая, 45° вправо/влево. 6 рядов скобок расположенных в шахматном порядке, с пересечением между ними. Нож интегрирован в кассету..</w:t>
            </w:r>
          </w:p>
          <w:p>
            <w:pPr>
              <w:pStyle w:val="NoSpacing"/>
              <w:spacing w:before="0" w:after="0"/>
              <w:rPr/>
            </w:pPr>
            <w:r>
              <w:rPr>
                <w:rFonts w:ascii="Times New Roman" w:hAnsi="Times New Roman"/>
                <w:sz w:val="20"/>
                <w:szCs w:val="20"/>
              </w:rPr>
              <w:t>Кассета к перезаряжаемому пересекающему и сшивающему универсальному эндоскопическому аппарату, накладывающему два трёхрядных линейных шва с пересечением ткани между ними ножом. Нож включён в конструкцию кассеты, что обеспечивает каждое пересечение/прошивание новым ножом и снижает риск переноса инфекции.</w:t>
            </w:r>
          </w:p>
          <w:p>
            <w:pPr>
              <w:pStyle w:val="NoSpacing"/>
              <w:spacing w:before="0" w:after="0"/>
              <w:rPr/>
            </w:pPr>
            <w:r>
              <w:rPr>
                <w:rFonts w:ascii="Times New Roman" w:hAnsi="Times New Roman"/>
                <w:sz w:val="20"/>
                <w:szCs w:val="20"/>
              </w:rPr>
              <w:t xml:space="preserve">Кассета может быть с клювом или без </w:t>
            </w:r>
            <w:r>
              <w:rPr>
                <w:rFonts w:ascii="Times New Roman" w:hAnsi="Times New Roman"/>
                <w:sz w:val="20"/>
                <w:szCs w:val="20"/>
                <w:u w:val="single"/>
              </w:rPr>
              <w:t>на выбор заказчика</w:t>
            </w:r>
            <w:r>
              <w:rPr>
                <w:rFonts w:ascii="Times New Roman" w:hAnsi="Times New Roman"/>
                <w:sz w:val="20"/>
                <w:szCs w:val="20"/>
              </w:rPr>
              <w:t>, с противоскользящей технологией</w:t>
            </w:r>
          </w:p>
          <w:p>
            <w:pPr>
              <w:pStyle w:val="Normal"/>
              <w:spacing w:lineRule="auto" w:line="240" w:before="0" w:after="0"/>
              <w:rPr/>
            </w:pPr>
            <w:r>
              <w:rPr>
                <w:rFonts w:ascii="Times New Roman" w:hAnsi="Times New Roman"/>
                <w:sz w:val="20"/>
                <w:szCs w:val="20"/>
              </w:rPr>
              <w:t>Скрепки созданы из титановой проволоки, расположены в шахматном порядке. стерильная, одноразовая.  Каждая кассета поставляется в картонной коробке. Наличие необходимых сертификатов на товар</w:t>
            </w:r>
          </w:p>
          <w:p>
            <w:pPr>
              <w:pStyle w:val="NoSpacing"/>
              <w:spacing w:before="0" w:after="0"/>
              <w:rPr>
                <w:rFonts w:ascii="Times New Roman" w:hAnsi="Times New Roman"/>
                <w:sz w:val="20"/>
                <w:szCs w:val="20"/>
              </w:rPr>
            </w:pPr>
            <w:r>
              <w:rPr>
                <w:rFonts w:ascii="Times New Roman" w:hAnsi="Times New Roman"/>
                <w:sz w:val="20"/>
                <w:szCs w:val="20"/>
              </w:rPr>
            </w:r>
          </w:p>
          <w:p>
            <w:pPr>
              <w:pStyle w:val="Normal"/>
              <w:spacing w:before="0" w:after="0"/>
              <w:rPr/>
            </w:pPr>
            <w:r>
              <w:rPr>
                <w:rFonts w:ascii="Times New Roman" w:hAnsi="Times New Roman"/>
                <w:b/>
                <w:bCs/>
                <w:sz w:val="20"/>
                <w:szCs w:val="20"/>
              </w:rPr>
              <w:t>Перед поставкой р</w:t>
            </w:r>
            <w:r>
              <w:rPr>
                <w:rFonts w:ascii="Times New Roman" w:hAnsi="Times New Roman"/>
                <w:b/>
                <w:bCs/>
                <w:sz w:val="20"/>
                <w:szCs w:val="20"/>
              </w:rPr>
              <w:t>азмер и конфигураци</w:t>
            </w:r>
            <w:r>
              <w:rPr>
                <w:rFonts w:ascii="Times New Roman" w:hAnsi="Times New Roman"/>
                <w:b/>
                <w:bCs/>
                <w:sz w:val="20"/>
                <w:szCs w:val="20"/>
              </w:rPr>
              <w:t>ю</w:t>
            </w:r>
            <w:r>
              <w:rPr>
                <w:rFonts w:ascii="Times New Roman" w:hAnsi="Times New Roman"/>
                <w:b/>
                <w:bCs/>
                <w:sz w:val="20"/>
                <w:szCs w:val="20"/>
              </w:rPr>
              <w:t xml:space="preserve"> сменной кассеты </w:t>
            </w:r>
            <w:r>
              <w:rPr>
                <w:rFonts w:ascii="Times New Roman" w:hAnsi="Times New Roman"/>
                <w:b/>
                <w:bCs/>
                <w:sz w:val="20"/>
                <w:szCs w:val="20"/>
              </w:rPr>
              <w:t>согласовать с З</w:t>
            </w:r>
            <w:r>
              <w:rPr>
                <w:rFonts w:ascii="Times New Roman" w:hAnsi="Times New Roman"/>
                <w:b/>
                <w:bCs/>
                <w:sz w:val="20"/>
                <w:szCs w:val="20"/>
              </w:rPr>
              <w:t>аказчик</w:t>
            </w:r>
            <w:r>
              <w:rPr>
                <w:rFonts w:ascii="Times New Roman" w:hAnsi="Times New Roman"/>
                <w:b/>
                <w:bCs/>
                <w:sz w:val="20"/>
                <w:szCs w:val="20"/>
              </w:rPr>
              <w:t>ом</w:t>
            </w:r>
          </w:p>
        </w:tc>
        <w:tc>
          <w:tcPr>
            <w:tcW w:w="791"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pPr>
            <w:r>
              <w:rPr>
                <w:rFonts w:cs="Times New Roman" w:ascii="Times New Roman" w:hAnsi="Times New Roman"/>
                <w:sz w:val="20"/>
                <w:szCs w:val="20"/>
              </w:rPr>
              <w:t>упаковка</w:t>
            </w:r>
          </w:p>
        </w:tc>
        <w:tc>
          <w:tcPr>
            <w:tcW w:w="804"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pPr>
            <w:r>
              <w:rPr>
                <w:rFonts w:cs="Times New Roman" w:ascii="Times New Roman" w:hAnsi="Times New Roman"/>
                <w:sz w:val="20"/>
                <w:szCs w:val="20"/>
              </w:rPr>
              <w:t>100</w:t>
            </w:r>
          </w:p>
        </w:tc>
        <w:tc>
          <w:tcPr>
            <w:tcW w:w="846" w:type="dx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sz w:val="20"/>
                <w:szCs w:val="20"/>
              </w:rPr>
              <w:t>63 000,00</w:t>
            </w:r>
          </w:p>
        </w:tc>
        <w:tc>
          <w:tcPr>
            <w:tcW w:w="1309"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sz w:val="20"/>
                <w:szCs w:val="20"/>
              </w:rPr>
              <w:t>6 300 000,00</w:t>
            </w:r>
          </w:p>
        </w:tc>
        <w:tc>
          <w:tcPr>
            <w:tcW w:w="1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pPr>
            <w:r>
              <w:rPr>
                <w:rFonts w:cs="Times New Roman" w:ascii="Times New Roman" w:hAnsi="Times New Roman"/>
              </w:rPr>
              <w:t>Поставка по заявке по адресу: Глубоковский район , село Опытное поле, ул. Локомотивная 3/1, аптека</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19 марта 2024 года по адресу:  </w:t>
      </w:r>
      <w:r>
        <w:rPr>
          <w:rStyle w:val="S0"/>
          <w:lang w:val="kk-KZ"/>
        </w:rPr>
        <w:t xml:space="preserve">РК, ВКО, г.Усть-Каменогорск, ул.Белинского,39 </w:t>
      </w:r>
      <w:r>
        <w:rPr>
          <w:rStyle w:val="S0"/>
        </w:rPr>
        <w:t>отдел гос.закупок с 0</w:t>
      </w:r>
      <w:r>
        <w:rPr>
          <w:rStyle w:val="S0"/>
        </w:rPr>
        <w:t>9</w:t>
      </w:r>
      <w:r>
        <w:rPr>
          <w:rStyle w:val="S0"/>
        </w:rPr>
        <w:t xml:space="preserve">:00ч.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26 марта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26 марта 2024 года в 11 часов 00 минут по адресу  </w:t>
      </w:r>
      <w:r>
        <w:rPr>
          <w:rStyle w:val="S0"/>
          <w:lang w:val="kk-KZ"/>
        </w:rPr>
        <w:t xml:space="preserve">РК, ВКО, г.Усть-Каменогорск, ул.Белинского,39 </w:t>
      </w:r>
      <w:r>
        <w:rPr>
          <w:rStyle w:val="S0"/>
        </w:rPr>
        <w:t>отдел гос.закупок.</w:t>
      </w:r>
    </w:p>
    <w:p>
      <w:pPr>
        <w:pStyle w:val="Normal"/>
        <w:spacing w:lineRule="auto" w:line="240" w:before="0" w:after="0"/>
        <w:rPr/>
      </w:pP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8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t>TSC сериялы эндоскопиялық бір рет қолданылатын степлерге арналған шығыс материалдары</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(1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32" w:type="dxa"/>
        <w:jc w:val="left"/>
        <w:tblInd w:w="-75" w:type="dxa"/>
        <w:tblCellMar>
          <w:top w:w="0" w:type="dxa"/>
          <w:left w:w="-5" w:type="dxa"/>
          <w:bottom w:w="0" w:type="dxa"/>
          <w:right w:w="108" w:type="dxa"/>
        </w:tblCellMar>
        <w:tblLook w:firstRow="1" w:noVBand="1" w:lastRow="0" w:firstColumn="1" w:lastColumn="0" w:noHBand="0" w:val="04a0"/>
      </w:tblPr>
      <w:tblGrid>
        <w:gridCol w:w="627"/>
        <w:gridCol w:w="1187"/>
        <w:gridCol w:w="7022"/>
        <w:gridCol w:w="859"/>
        <w:gridCol w:w="846"/>
        <w:gridCol w:w="845"/>
        <w:gridCol w:w="1146"/>
        <w:gridCol w:w="2098"/>
      </w:tblGrid>
      <w:tr>
        <w:trPr/>
        <w:tc>
          <w:tcPr>
            <w:tcW w:w="627"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топта ма №</w:t>
            </w:r>
          </w:p>
        </w:tc>
        <w:tc>
          <w:tcPr>
            <w:tcW w:w="1187"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7022"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859"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Өлшем бірлігі</w:t>
            </w:r>
          </w:p>
        </w:tc>
        <w:tc>
          <w:tcPr>
            <w:tcW w:w="846"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845"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бағасы</w:t>
            </w:r>
          </w:p>
        </w:tc>
        <w:tc>
          <w:tcPr>
            <w:tcW w:w="1146" w:type="dxa"/>
            <w:tcBorders>
              <w:bottom w:val="single" w:sz="4" w:space="0" w:color="00000A"/>
              <w:insideH w:val="single" w:sz="4" w:space="0" w:color="00000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сомасы</w:t>
            </w:r>
          </w:p>
        </w:tc>
        <w:tc>
          <w:tcPr>
            <w:tcW w:w="2098" w:type="dxa"/>
            <w:tcBorders>
              <w:left w:val="nil"/>
              <w:bottom w:val="single" w:sz="4" w:space="0" w:color="00000A"/>
              <w:insideH w:val="single" w:sz="4" w:space="0" w:color="00000A"/>
            </w:tcBorders>
            <w:shd w:color="auto" w:fill="auto" w:val="clear"/>
            <w:tcMar>
              <w:top w:w="55" w:type="dxa"/>
              <w:left w:w="58" w:type="dxa"/>
              <w:bottom w:w="55"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27"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187"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themeColor="text1"/>
                <w:sz w:val="22"/>
                <w:szCs w:val="22"/>
              </w:rPr>
              <w:t>Ауыстырылатын майысатын кассета</w:t>
            </w:r>
          </w:p>
        </w:tc>
        <w:tc>
          <w:tcPr>
            <w:tcW w:w="7022"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Эндоскопиялық степлерге арналған ауыстыру кассетасы: иілгіш; ұзындығы 30, 45, 60 мм; түс коды: ақ, көк, жасыл, сары, күлгін, қара</w:t>
            </w:r>
          </w:p>
          <w:p>
            <w:pPr>
              <w:pStyle w:val="Normal"/>
              <w:spacing w:lineRule="auto" w:line="240" w:before="0" w:after="0"/>
              <w:rPr/>
            </w:pPr>
            <w:r>
              <w:rPr>
                <w:rFonts w:cs="Times New Roman" w:ascii="Times New Roman" w:hAnsi="Times New Roman"/>
                <w:color w:val="00000A"/>
              </w:rPr>
              <w:t>Степлерге арналған ауыстыру картриджі: D сериясы, T сериясы, Жік ұзындығы: 46, 60 мм; түс коды: сұр, ақ, көк, жасыл, сары, қара</w:t>
            </w:r>
          </w:p>
          <w:p>
            <w:pPr>
              <w:pStyle w:val="Normal"/>
              <w:spacing w:lineRule="auto" w:line="240" w:before="0" w:after="0"/>
              <w:rPr/>
            </w:pPr>
            <w:r>
              <w:rPr>
                <w:rFonts w:cs="Times New Roman" w:ascii="Times New Roman" w:hAnsi="Times New Roman"/>
                <w:color w:val="00000A"/>
              </w:rPr>
              <w:t>Эндоскопиялық және/немесе сымсыз степлерге арналған әртүрлі сериялы кассеталар (жабық жүйе құрылғысымен үйлесімді)</w:t>
            </w:r>
          </w:p>
          <w:p>
            <w:pPr>
              <w:pStyle w:val="Normal"/>
              <w:spacing w:lineRule="auto" w:line="240" w:before="0" w:after="0"/>
              <w:rPr/>
            </w:pPr>
            <w:r>
              <w:rPr>
                <w:rFonts w:cs="Times New Roman" w:ascii="Times New Roman" w:hAnsi="Times New Roman"/>
                <w:color w:val="00000A"/>
              </w:rPr>
              <w:t>Кассеталар – жылжымалы жақпен немесе пышақпен немесе пышақсыз.</w:t>
            </w:r>
          </w:p>
          <w:p>
            <w:pPr>
              <w:pStyle w:val="Normal"/>
              <w:spacing w:lineRule="auto" w:line="240" w:before="0" w:after="0"/>
              <w:rPr/>
            </w:pPr>
            <w:r>
              <w:rPr>
                <w:rFonts w:cs="Times New Roman" w:ascii="Times New Roman" w:hAnsi="Times New Roman"/>
                <w:color w:val="00000A"/>
              </w:rPr>
              <w:t>Ұзындығы 30, 45, 46, 60 мм, түс коды/ашық жабық жақшаның биіктігі: ақ (2,5)/(1,0), көк (3,5 мм)/(1,5 мм), күлгін (3,0-3,5-4,0) /( 1,2-1,5-1,8), сары (3,8 немесе 4,0) / (1,8), жасыл (4,1 немесе 4,8) / (2,0), қара (4,0-4,5-5,0) / ( 1,8-2,0-2,2) ( Tri- аналогы қапсырма технологиясы). Пышағы бар әрбір кассетада 48 қапсырма бар - 30 мм кассетада, 66 қапсырма - 45 мм кассеталарда - 90 қапсырма - 60 мм кассетада, 70 қапсырмада - кассетада (пышақсыз) 46 мм, - 88 дюймдік пышақсыз).пышақ) 60 мм.</w:t>
            </w:r>
          </w:p>
          <w:p>
            <w:pPr>
              <w:pStyle w:val="Normal"/>
              <w:spacing w:lineRule="auto" w:line="240" w:before="0" w:after="0"/>
              <w:rPr/>
            </w:pPr>
            <w:r>
              <w:rPr>
                <w:rFonts w:cs="Times New Roman" w:ascii="Times New Roman" w:hAnsi="Times New Roman"/>
                <w:color w:val="00000A"/>
              </w:rPr>
              <w:t>Қара, күлгін түсті кассеталар біртіндеп қысуды қамтамасыз ететін сатылы картридж беті және әртүрлі биіктіктегі үш қатарлы қапсырмаларға ие.</w:t>
            </w:r>
          </w:p>
          <w:p>
            <w:pPr>
              <w:pStyle w:val="Normal"/>
              <w:spacing w:lineRule="auto" w:line="240" w:before="0" w:after="0"/>
              <w:rPr/>
            </w:pPr>
            <w:r>
              <w:rPr>
                <w:rFonts w:cs="Times New Roman" w:ascii="Times New Roman" w:hAnsi="Times New Roman"/>
                <w:color w:val="00000A"/>
              </w:rPr>
              <w:t>Эндоскопиялық сызықтық степлерге арналған кассета. Иілуге ​​болатын, 45° оңға/солға. 6 қатар жақшалар шахмат тақтасында орналасқан, олардың арасында қиылысуы бар. Пышақ кассетаға біріктірілген..</w:t>
            </w:r>
          </w:p>
          <w:p>
            <w:pPr>
              <w:pStyle w:val="Normal"/>
              <w:spacing w:lineRule="auto" w:line="240" w:before="0" w:after="0"/>
              <w:rPr/>
            </w:pPr>
            <w:r>
              <w:rPr>
                <w:rFonts w:cs="Times New Roman" w:ascii="Times New Roman" w:hAnsi="Times New Roman"/>
                <w:color w:val="00000A"/>
              </w:rPr>
              <w:t>Қайта зарядталатын қиылысу және тігуге арналған әмбебап эндоскопиялық құрылғыға арналған кассета, екі үш қатарлы сызықты тігістерді пышақпен олардың арасындағы ұлпаны кесіп өтетін. Пышақ кассета дизайнына кіреді, ол әрбір қиылысуды/жаңа пышақпен тігуді қамтамасыз етеді және инфекция қаупін азайтады.</w:t>
            </w:r>
          </w:p>
          <w:p>
            <w:pPr>
              <w:pStyle w:val="Normal"/>
              <w:spacing w:lineRule="auto" w:line="240" w:before="0" w:after="0"/>
              <w:rPr/>
            </w:pPr>
            <w:r>
              <w:rPr>
                <w:rFonts w:cs="Times New Roman" w:ascii="Times New Roman" w:hAnsi="Times New Roman"/>
                <w:color w:val="00000A"/>
              </w:rPr>
              <w:t>Кассета сырғанау технологиясымен тапсырыс берушінің таңдауы бойынша тұмсықты немесе тұмсықсыз болуы мүмкін</w:t>
            </w:r>
          </w:p>
          <w:p>
            <w:pPr>
              <w:pStyle w:val="Normal"/>
              <w:spacing w:lineRule="auto" w:line="240" w:before="0" w:after="0"/>
              <w:rPr/>
            </w:pPr>
            <w:r>
              <w:rPr>
                <w:rFonts w:cs="Times New Roman" w:ascii="Times New Roman" w:hAnsi="Times New Roman"/>
                <w:color w:val="00000A"/>
              </w:rPr>
              <w:t>Қағаз қыстырғыштары титан сымынан жасалған және шахмат тақтасы үлгісінде орналастырылған. стерильді, бір реттік. Әрбір кассета картон қорапта жеткізіледі. Тауарларға қажетті сертификаттардың болуы</w:t>
            </w:r>
          </w:p>
          <w:p>
            <w:pPr>
              <w:pStyle w:val="Normal"/>
              <w:spacing w:lineRule="auto" w:line="240" w:before="0" w:after="0"/>
              <w:rPr>
                <w:rFonts w:ascii="Times New Roman" w:hAnsi="Times New Roman" w:cs="Times New Roman"/>
                <w:color w:val="00000A"/>
              </w:rPr>
            </w:pPr>
            <w:r>
              <w:rPr>
                <w:rFonts w:cs="Times New Roman" w:ascii="Times New Roman" w:hAnsi="Times New Roman"/>
                <w:color w:val="00000A"/>
              </w:rPr>
            </w:r>
          </w:p>
          <w:p>
            <w:pPr>
              <w:pStyle w:val="Normal"/>
              <w:spacing w:lineRule="auto" w:line="240" w:before="0" w:after="0"/>
              <w:rPr/>
            </w:pPr>
            <w:r>
              <w:rPr>
                <w:rFonts w:cs="Times New Roman" w:ascii="Times New Roman" w:hAnsi="Times New Roman"/>
                <w:b/>
                <w:bCs/>
                <w:color w:val="00000A"/>
              </w:rPr>
              <w:t>Жеткізу алдында ауыстырылатын кассетаның мөлшері мен конфигурациясы Тапсырыс берушімен келісіледі</w:t>
            </w:r>
          </w:p>
        </w:tc>
        <w:tc>
          <w:tcPr>
            <w:tcW w:w="859"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A"/>
              </w:rPr>
              <w:t>орау</w:t>
            </w:r>
          </w:p>
        </w:tc>
        <w:tc>
          <w:tcPr>
            <w:tcW w:w="846"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pPr>
            <w:r>
              <w:rPr>
                <w:rFonts w:cs="Times New Roman" w:ascii="Times New Roman" w:hAnsi="Times New Roman"/>
                <w:sz w:val="20"/>
                <w:szCs w:val="20"/>
              </w:rPr>
              <w:t>100</w:t>
            </w:r>
          </w:p>
        </w:tc>
        <w:tc>
          <w:tcPr>
            <w:tcW w:w="845"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sz w:val="20"/>
                <w:szCs w:val="20"/>
              </w:rPr>
              <w:t>63 000,00</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sz w:val="20"/>
                <w:szCs w:val="20"/>
              </w:rPr>
              <w:t>6 300 000,00</w:t>
            </w:r>
          </w:p>
        </w:tc>
        <w:tc>
          <w:tcPr>
            <w:tcW w:w="2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rPr>
                <w:rFonts w:ascii="Times New Roman" w:hAnsi="Times New Roman" w:cs="Times New Roman"/>
              </w:rPr>
            </w:pPr>
            <w:r>
              <w:rPr>
                <w:rFonts w:cs="Times New Roman" w:ascii="Times New Roman" w:hAnsi="Times New Roman"/>
              </w:rPr>
              <w:t>Өтінім бойынша жеткізу</w:t>
            </w:r>
          </w:p>
          <w:p>
            <w:pPr>
              <w:pStyle w:val="Normal"/>
              <w:spacing w:lineRule="auto" w:line="240" w:before="0" w:after="0"/>
              <w:rPr>
                <w:rFonts w:ascii="Times New Roman" w:hAnsi="Times New Roman" w:cs="Times New Roman"/>
              </w:rPr>
            </w:pPr>
            <w:r>
              <w:rPr>
                <w:rFonts w:cs="Times New Roman" w:ascii="Times New Roman" w:hAnsi="Times New Roman"/>
              </w:rPr>
              <w:t>.Глубокое ауданы , Опытное поле ауылы, Локомотивная көшесі 3/1, дәріхана мекенжайы бойынша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19 </w:t>
      </w:r>
      <w:r>
        <w:rPr>
          <w:rFonts w:ascii="Times New Roman" w:hAnsi="Times New Roman"/>
          <w:color w:val="000000"/>
          <w:sz w:val="22"/>
          <w:szCs w:val="22"/>
          <w:lang w:val="ru-RU"/>
        </w:rPr>
        <w:t>наурыз</w:t>
      </w:r>
      <w:r>
        <w:rPr>
          <w:rFonts w:ascii="Times New Roman" w:hAnsi="Times New Roman"/>
          <w:color w:val="000000"/>
          <w:sz w:val="22"/>
          <w:szCs w:val="22"/>
          <w:lang w:val="kk-KZ"/>
        </w:rPr>
        <w:t>дан бастап ҚР, ШҚО, Өскемен қ., Белинский к-сі,39 Мемлекеттік сатып алу бөлімі мекенжайы бойынша сағат 0</w:t>
      </w:r>
      <w:r>
        <w:rPr>
          <w:rFonts w:ascii="Times New Roman" w:hAnsi="Times New Roman"/>
          <w:color w:val="000000"/>
          <w:sz w:val="22"/>
          <w:szCs w:val="22"/>
          <w:lang w:val="kk-KZ"/>
        </w:rPr>
        <w:t>9</w:t>
      </w:r>
      <w:r>
        <w:rPr>
          <w:rFonts w:ascii="Times New Roman" w:hAnsi="Times New Roman"/>
          <w:color w:val="000000"/>
          <w:sz w:val="22"/>
          <w:szCs w:val="22"/>
          <w:lang w:val="kk-KZ"/>
        </w:rPr>
        <w:t>: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2" w:name="__DdeLink__1059_1858256801"/>
      <w:bookmarkStart w:id="3" w:name="__DdeLink__285_2132574804"/>
      <w:bookmarkStart w:id="4" w:name="__DdeLink__622_168555325"/>
      <w:r>
        <w:rPr>
          <w:rFonts w:ascii="Times New Roman" w:hAnsi="Times New Roman"/>
          <w:color w:val="000000"/>
          <w:sz w:val="22"/>
          <w:szCs w:val="22"/>
          <w:lang w:val="kk-KZ"/>
        </w:rPr>
        <w:t xml:space="preserve">26 </w:t>
      </w:r>
      <w:r>
        <w:rPr>
          <w:rFonts w:ascii="Times New Roman" w:hAnsi="Times New Roman"/>
          <w:color w:val="000000"/>
          <w:sz w:val="22"/>
          <w:szCs w:val="22"/>
          <w:lang w:val="ru-RU"/>
        </w:rPr>
        <w:t>наурыз</w:t>
      </w:r>
      <w:bookmarkStart w:id="5" w:name="__DdeLink__17187_1619615538"/>
      <w:r>
        <w:rPr>
          <w:rFonts w:ascii="Times New Roman" w:hAnsi="Times New Roman"/>
          <w:color w:val="000000"/>
          <w:sz w:val="22"/>
          <w:szCs w:val="22"/>
          <w:lang w:val="kk-KZ"/>
        </w:rPr>
        <w:t>д</w:t>
      </w:r>
      <w:bookmarkEnd w:id="5"/>
      <w:r>
        <w:rPr>
          <w:rFonts w:ascii="Times New Roman" w:hAnsi="Times New Roman"/>
          <w:color w:val="000000"/>
          <w:sz w:val="22"/>
          <w:szCs w:val="22"/>
          <w:lang w:val="kk-KZ"/>
        </w:rPr>
        <w:t>ы</w:t>
      </w:r>
      <w:bookmarkEnd w:id="2"/>
      <w:bookmarkEnd w:id="3"/>
      <w:bookmarkEnd w:id="4"/>
      <w:r>
        <w:rPr>
          <w:rFonts w:ascii="Times New Roman" w:hAnsi="Times New Roman"/>
          <w:color w:val="000000"/>
          <w:sz w:val="22"/>
          <w:szCs w:val="22"/>
          <w:lang w:val="kk-KZ"/>
        </w:rPr>
        <w:t xml:space="preserve"> 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26 </w:t>
      </w:r>
      <w:r>
        <w:rPr>
          <w:rFonts w:ascii="Times New Roman" w:hAnsi="Times New Roman"/>
          <w:color w:val="000000"/>
          <w:sz w:val="22"/>
          <w:szCs w:val="22"/>
          <w:lang w:val="ru-RU"/>
        </w:rPr>
        <w:t>наурыз</w:t>
      </w:r>
      <w:bookmarkStart w:id="6" w:name="__DdeLink__17187_16196155381"/>
      <w:r>
        <w:rPr>
          <w:rFonts w:ascii="Times New Roman" w:hAnsi="Times New Roman"/>
          <w:color w:val="000000"/>
          <w:sz w:val="22"/>
          <w:szCs w:val="22"/>
          <w:lang w:val="kk-KZ"/>
        </w:rPr>
        <w:t>д</w:t>
      </w:r>
      <w:bookmarkEnd w:id="6"/>
      <w:r>
        <w:rPr>
          <w:rFonts w:ascii="Times New Roman" w:hAnsi="Times New Roman"/>
          <w:color w:val="000000"/>
          <w:sz w:val="22"/>
          <w:szCs w:val="22"/>
          <w:lang w:val="kk-KZ"/>
        </w:rPr>
        <w:t>ы 11 сағат 00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Application>LibreOffice/5.2.2.2$Windows_X86_64 LibreOffice_project/8f96e87c890bf8fa77463cd4b640a2312823f3ad</Application>
  <Pages>4</Pages>
  <Words>1180</Words>
  <Characters>8007</Characters>
  <CharactersWithSpaces>9187</CharactersWithSpaces>
  <Paragraphs>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2023-08-08T13:55:00Z</cp:lastPrinted>
  <dcterms:modified xsi:type="dcterms:W3CDTF">2024-03-15T14:52:03Z</dcterms:modified>
  <cp:revision>294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