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CBCF" w14:textId="2A4992B6" w:rsidR="00653B97" w:rsidRDefault="00653B97">
      <w:r>
        <w:t>XADC</w:t>
      </w:r>
    </w:p>
    <w:p w14:paraId="638E1726" w14:textId="77777777" w:rsidR="00653B97" w:rsidRDefault="00653B97"/>
    <w:p w14:paraId="25EA0BEE" w14:textId="5D1AEE23" w:rsidR="00A0013D" w:rsidRDefault="00653B97">
      <w:r w:rsidRPr="00653B97">
        <w:drawing>
          <wp:inline distT="0" distB="0" distL="0" distR="0" wp14:anchorId="4DDCC505" wp14:editId="5464BCB2">
            <wp:extent cx="5943600" cy="219075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8CAE" w14:textId="2DD7D27E" w:rsidR="00653B97" w:rsidRDefault="00653B97"/>
    <w:p w14:paraId="4BB2F92D" w14:textId="05F9FE03" w:rsidR="00653B97" w:rsidRDefault="00653B97">
      <w:pPr>
        <w:rPr>
          <w:rFonts w:ascii="Helvetica-Bold" w:hAnsi="Helvetica-Bold" w:cs="Helvetica-Bold"/>
          <w:b/>
          <w:bCs/>
          <w:sz w:val="32"/>
          <w:szCs w:val="32"/>
        </w:rPr>
      </w:pPr>
      <w:r>
        <w:rPr>
          <w:rFonts w:ascii="Helvetica-Bold" w:hAnsi="Helvetica-Bold" w:cs="Helvetica-Bold"/>
          <w:b/>
          <w:bCs/>
          <w:sz w:val="32"/>
          <w:szCs w:val="32"/>
        </w:rPr>
        <w:t>Reference Inputs (V</w:t>
      </w:r>
      <w:r>
        <w:rPr>
          <w:rFonts w:ascii="Helvetica-Bold" w:hAnsi="Helvetica-Bold" w:cs="Helvetica-Bold"/>
          <w:b/>
          <w:bCs/>
          <w:sz w:val="26"/>
          <w:szCs w:val="26"/>
        </w:rPr>
        <w:t xml:space="preserve">REFP </w:t>
      </w:r>
      <w:r>
        <w:rPr>
          <w:rFonts w:ascii="Helvetica-Bold" w:hAnsi="Helvetica-Bold" w:cs="Helvetica-Bold"/>
          <w:b/>
          <w:bCs/>
          <w:sz w:val="32"/>
          <w:szCs w:val="32"/>
        </w:rPr>
        <w:t>and V</w:t>
      </w:r>
      <w:r>
        <w:rPr>
          <w:rFonts w:ascii="Helvetica-Bold" w:hAnsi="Helvetica-Bold" w:cs="Helvetica-Bold"/>
          <w:b/>
          <w:bCs/>
          <w:sz w:val="26"/>
          <w:szCs w:val="26"/>
        </w:rPr>
        <w:t>REFN</w:t>
      </w:r>
      <w:r>
        <w:rPr>
          <w:rFonts w:ascii="Helvetica-Bold" w:hAnsi="Helvetica-Bold" w:cs="Helvetica-Bold"/>
          <w:b/>
          <w:bCs/>
          <w:sz w:val="32"/>
          <w:szCs w:val="32"/>
        </w:rPr>
        <w:t>)</w:t>
      </w:r>
    </w:p>
    <w:p w14:paraId="6292679E" w14:textId="3A71C187" w:rsidR="00653B97" w:rsidRDefault="00653B97">
      <w:pPr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V</w:t>
      </w:r>
      <w:r w:rsidRPr="00653B97">
        <w:rPr>
          <w:rFonts w:ascii="Palatino-Roman" w:hAnsi="Palatino-Roman" w:cs="Palatino-Roman"/>
          <w:sz w:val="20"/>
          <w:szCs w:val="20"/>
          <w:vertAlign w:val="subscript"/>
        </w:rPr>
        <w:t>REFP</w:t>
      </w:r>
      <w:r>
        <w:rPr>
          <w:rFonts w:ascii="Palatino-Roman" w:hAnsi="Palatino-Roman" w:cs="Palatino-Roman"/>
          <w:sz w:val="20"/>
          <w:szCs w:val="20"/>
        </w:rPr>
        <w:t xml:space="preserve"> and V</w:t>
      </w:r>
      <w:r w:rsidRPr="00653B97">
        <w:rPr>
          <w:rFonts w:ascii="Palatino-Roman" w:hAnsi="Palatino-Roman" w:cs="Palatino-Roman"/>
          <w:sz w:val="20"/>
          <w:szCs w:val="20"/>
          <w:vertAlign w:val="subscript"/>
        </w:rPr>
        <w:t>REFN</w:t>
      </w:r>
      <w:r>
        <w:rPr>
          <w:rFonts w:ascii="Palatino-Roman" w:hAnsi="Palatino-Roman" w:cs="Palatino-Roman"/>
          <w:sz w:val="20"/>
          <w:szCs w:val="20"/>
        </w:rPr>
        <w:t xml:space="preserve"> are providing </w:t>
      </w:r>
      <w:r>
        <w:rPr>
          <w:rFonts w:ascii="Palatino-Roman" w:hAnsi="Palatino-Roman" w:cs="Palatino-Roman"/>
          <w:sz w:val="20"/>
          <w:szCs w:val="20"/>
        </w:rPr>
        <w:t>differential reference voltage</w:t>
      </w:r>
      <w:r>
        <w:rPr>
          <w:rFonts w:ascii="Palatino-Roman" w:hAnsi="Palatino-Roman" w:cs="Palatino-Roman"/>
          <w:sz w:val="20"/>
          <w:szCs w:val="20"/>
        </w:rPr>
        <w:t xml:space="preserve"> for XADC.</w:t>
      </w:r>
    </w:p>
    <w:p w14:paraId="391A2A8A" w14:textId="49B202A5" w:rsidR="00653B97" w:rsidRDefault="00653B97" w:rsidP="00653B9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reference voltage between V</w:t>
      </w:r>
      <w:r w:rsidRPr="00653B97">
        <w:rPr>
          <w:rFonts w:ascii="Palatino-Roman" w:hAnsi="Palatino-Roman" w:cs="Palatino-Roman"/>
          <w:sz w:val="20"/>
          <w:szCs w:val="20"/>
          <w:vertAlign w:val="subscript"/>
        </w:rPr>
        <w:t>REFP</w:t>
      </w:r>
      <w:r>
        <w:rPr>
          <w:rFonts w:ascii="Palatino-Roman" w:hAnsi="Palatino-Roman" w:cs="Palatino-Roman"/>
          <w:sz w:val="20"/>
          <w:szCs w:val="20"/>
        </w:rPr>
        <w:t xml:space="preserve"> and V</w:t>
      </w:r>
      <w:r w:rsidRPr="00653B97">
        <w:rPr>
          <w:rFonts w:ascii="Palatino-Roman" w:hAnsi="Palatino-Roman" w:cs="Palatino-Roman"/>
          <w:sz w:val="20"/>
          <w:szCs w:val="20"/>
          <w:vertAlign w:val="subscript"/>
        </w:rPr>
        <w:t>REFN</w:t>
      </w:r>
      <w:r>
        <w:rPr>
          <w:rFonts w:ascii="Palatino-Roman" w:hAnsi="Palatino-Roman" w:cs="Palatino-Roman"/>
          <w:sz w:val="20"/>
          <w:szCs w:val="20"/>
        </w:rPr>
        <w:t xml:space="preserve"> should be maintained at</w:t>
      </w:r>
      <w:r>
        <w:rPr>
          <w:rFonts w:ascii="Palatino-Roman" w:hAnsi="Palatino-Roman" w:cs="Palatino-Roman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1.25V ± 0.2% using an external reference IC</w:t>
      </w:r>
      <w:r>
        <w:rPr>
          <w:rFonts w:ascii="Palatino-Roman" w:hAnsi="Palatino-Roman" w:cs="Palatino-Roman"/>
          <w:sz w:val="20"/>
          <w:szCs w:val="20"/>
        </w:rPr>
        <w:t>.</w:t>
      </w:r>
    </w:p>
    <w:p w14:paraId="4D1C5127" w14:textId="29A650EE" w:rsidR="00060692" w:rsidRDefault="00060692" w:rsidP="00060692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The XADC also has an on-chip reference option which is selected by connecting V</w:t>
      </w:r>
      <w:r w:rsidRPr="00653B97">
        <w:rPr>
          <w:rFonts w:ascii="Palatino-Roman" w:hAnsi="Palatino-Roman" w:cs="Palatino-Roman"/>
          <w:sz w:val="20"/>
          <w:szCs w:val="20"/>
          <w:vertAlign w:val="subscript"/>
        </w:rPr>
        <w:t>REFP</w:t>
      </w:r>
      <w:r>
        <w:rPr>
          <w:rFonts w:ascii="Palatino-Roman" w:hAnsi="Palatino-Roman" w:cs="Palatino-Roman"/>
          <w:sz w:val="20"/>
          <w:szCs w:val="20"/>
        </w:rPr>
        <w:t xml:space="preserve"> and V</w:t>
      </w:r>
      <w:r w:rsidRPr="00653B97">
        <w:rPr>
          <w:rFonts w:ascii="Palatino-Roman" w:hAnsi="Palatino-Roman" w:cs="Palatino-Roman"/>
          <w:sz w:val="20"/>
          <w:szCs w:val="20"/>
          <w:vertAlign w:val="subscript"/>
        </w:rPr>
        <w:t>REFN</w:t>
      </w:r>
      <w:r>
        <w:rPr>
          <w:rFonts w:ascii="Palatino-Roman" w:hAnsi="Palatino-Roman" w:cs="Palatino-Roman"/>
          <w:sz w:val="20"/>
          <w:szCs w:val="20"/>
        </w:rPr>
        <w:t xml:space="preserve"> to ADCGND</w:t>
      </w:r>
      <w:r>
        <w:rPr>
          <w:rFonts w:ascii="Palatino-Roman" w:hAnsi="Palatino-Roman" w:cs="Palatino-Roman"/>
          <w:sz w:val="20"/>
          <w:szCs w:val="20"/>
        </w:rPr>
        <w:t>.</w:t>
      </w:r>
    </w:p>
    <w:p w14:paraId="1F2A4537" w14:textId="33AE181D" w:rsidR="00653B97" w:rsidRDefault="00653B97" w:rsidP="00653B9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14:paraId="38DFCECD" w14:textId="062C8936" w:rsidR="00653B97" w:rsidRDefault="00653B97" w:rsidP="00653B97">
      <w:pPr>
        <w:autoSpaceDE w:val="0"/>
        <w:autoSpaceDN w:val="0"/>
        <w:adjustRightInd w:val="0"/>
        <w:spacing w:after="0" w:line="240" w:lineRule="auto"/>
      </w:pPr>
      <w:r w:rsidRPr="00653B97">
        <w:drawing>
          <wp:inline distT="0" distB="0" distL="0" distR="0" wp14:anchorId="7EDFD7D8" wp14:editId="26FE55C1">
            <wp:extent cx="5943600" cy="240855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883A7" w14:textId="631B55FC" w:rsidR="00653B97" w:rsidRDefault="00653B97" w:rsidP="00653B97">
      <w:pPr>
        <w:autoSpaceDE w:val="0"/>
        <w:autoSpaceDN w:val="0"/>
        <w:adjustRightInd w:val="0"/>
        <w:spacing w:after="0" w:line="240" w:lineRule="auto"/>
      </w:pPr>
    </w:p>
    <w:p w14:paraId="2ABE8608" w14:textId="6A28A071" w:rsidR="00156AF4" w:rsidRDefault="00156AF4" w:rsidP="00653B97">
      <w:pPr>
        <w:autoSpaceDE w:val="0"/>
        <w:autoSpaceDN w:val="0"/>
        <w:adjustRightInd w:val="0"/>
        <w:spacing w:after="0" w:line="240" w:lineRule="auto"/>
      </w:pPr>
    </w:p>
    <w:p w14:paraId="33A01074" w14:textId="14A9222A" w:rsidR="00156AF4" w:rsidRDefault="00156AF4" w:rsidP="00653B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  <w:r>
        <w:rPr>
          <w:rFonts w:ascii="Helvetica-Bold" w:hAnsi="Helvetica-Bold" w:cs="Helvetica-Bold"/>
          <w:b/>
          <w:bCs/>
          <w:sz w:val="32"/>
          <w:szCs w:val="32"/>
        </w:rPr>
        <w:t>Analog Power Supply and Ground (V</w:t>
      </w:r>
      <w:r>
        <w:rPr>
          <w:rFonts w:ascii="Helvetica-Bold" w:hAnsi="Helvetica-Bold" w:cs="Helvetica-Bold"/>
          <w:b/>
          <w:bCs/>
          <w:sz w:val="26"/>
          <w:szCs w:val="26"/>
        </w:rPr>
        <w:t xml:space="preserve">CCADC </w:t>
      </w:r>
      <w:r>
        <w:rPr>
          <w:rFonts w:ascii="Helvetica-Bold" w:hAnsi="Helvetica-Bold" w:cs="Helvetica-Bold"/>
          <w:b/>
          <w:bCs/>
          <w:sz w:val="32"/>
          <w:szCs w:val="32"/>
        </w:rPr>
        <w:t>and GNDADC)</w:t>
      </w:r>
    </w:p>
    <w:p w14:paraId="3790531D" w14:textId="36D15FAB" w:rsidR="00156AF4" w:rsidRDefault="00156AF4" w:rsidP="00653B97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</w:p>
    <w:p w14:paraId="3ADDE5DF" w14:textId="36AB2D9D" w:rsidR="00D53BF7" w:rsidRDefault="00D53BF7" w:rsidP="00D53BF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Common ground impedance is a mechanism for noise coupling and needs to be carefully</w:t>
      </w:r>
      <w:r>
        <w:rPr>
          <w:rFonts w:ascii="Palatino-Roman" w:hAnsi="Palatino-Roman" w:cs="Palatino-Roman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considered when designing the PCB</w:t>
      </w:r>
      <w:r>
        <w:rPr>
          <w:rFonts w:ascii="Palatino-Roman" w:hAnsi="Palatino-Roman" w:cs="Palatino-Roman"/>
          <w:sz w:val="20"/>
          <w:szCs w:val="20"/>
        </w:rPr>
        <w:t>.</w:t>
      </w:r>
    </w:p>
    <w:p w14:paraId="194FFEB0" w14:textId="09391EC8" w:rsidR="00156AF4" w:rsidRDefault="00D53BF7" w:rsidP="00D53BF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lastRenderedPageBreak/>
        <w:t>The filtering should ensure no more than</w:t>
      </w:r>
      <w:r>
        <w:rPr>
          <w:rFonts w:ascii="Palatino-Roman" w:hAnsi="Palatino-Roman" w:cs="Palatino-Roman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1 LSB (250 uV) of noise on the reference output to minimize any impact on ADC accuracy</w:t>
      </w:r>
      <w:r>
        <w:rPr>
          <w:rFonts w:ascii="Palatino-Roman" w:hAnsi="Palatino-Roman" w:cs="Palatino-Roman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at 12 bits.</w:t>
      </w:r>
    </w:p>
    <w:p w14:paraId="6F5E91C1" w14:textId="03A61AA2" w:rsidR="00731945" w:rsidRDefault="00731945" w:rsidP="00D53BF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Some PCB considerations:</w:t>
      </w:r>
    </w:p>
    <w:p w14:paraId="76917067" w14:textId="1FA2530A" w:rsidR="00D53BF7" w:rsidRDefault="00D53BF7" w:rsidP="00D53BF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Place the 100nF capacitor as close as possible to the package balls</w:t>
      </w:r>
      <w:r>
        <w:rPr>
          <w:rFonts w:ascii="Palatino-Roman" w:hAnsi="Palatino-Roman" w:cs="Palatino-Roman"/>
          <w:sz w:val="20"/>
          <w:szCs w:val="20"/>
        </w:rPr>
        <w:t>.</w:t>
      </w:r>
    </w:p>
    <w:p w14:paraId="315868F2" w14:textId="30645E5E" w:rsidR="00D53BF7" w:rsidRDefault="00D53BF7" w:rsidP="00D53BF7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Place anti-alias filters for analog inputs close to the FPGA.</w:t>
      </w:r>
    </w:p>
    <w:p w14:paraId="15851C36" w14:textId="49A096C0" w:rsidR="00731945" w:rsidRDefault="00731945" w:rsidP="0073194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  <w:r>
        <w:rPr>
          <w:rFonts w:ascii="Palatino-Roman" w:hAnsi="Palatino-Roman" w:cs="Palatino-Roman"/>
          <w:sz w:val="20"/>
          <w:szCs w:val="20"/>
        </w:rPr>
        <w:t>Place external reference IC and any dedicated analog power supply regulation as close</w:t>
      </w:r>
      <w:r>
        <w:rPr>
          <w:rFonts w:ascii="Palatino-Roman" w:hAnsi="Palatino-Roman" w:cs="Palatino-Roman"/>
          <w:sz w:val="20"/>
          <w:szCs w:val="20"/>
        </w:rPr>
        <w:t xml:space="preserve"> </w:t>
      </w:r>
      <w:r>
        <w:rPr>
          <w:rFonts w:ascii="Palatino-Roman" w:hAnsi="Palatino-Roman" w:cs="Palatino-Roman"/>
          <w:sz w:val="20"/>
          <w:szCs w:val="20"/>
        </w:rPr>
        <w:t>to the FPGA as possible.</w:t>
      </w:r>
    </w:p>
    <w:p w14:paraId="30C41AE5" w14:textId="3245DF9A" w:rsidR="00913837" w:rsidRDefault="00913837" w:rsidP="0073194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14:paraId="3D9FF1E9" w14:textId="77777777" w:rsidR="00913837" w:rsidRDefault="00913837" w:rsidP="00731945">
      <w:pPr>
        <w:autoSpaceDE w:val="0"/>
        <w:autoSpaceDN w:val="0"/>
        <w:adjustRightInd w:val="0"/>
        <w:spacing w:after="0" w:line="240" w:lineRule="auto"/>
        <w:rPr>
          <w:rFonts w:ascii="Palatino-Roman" w:hAnsi="Palatino-Roman" w:cs="Palatino-Roman"/>
          <w:sz w:val="20"/>
          <w:szCs w:val="20"/>
        </w:rPr>
      </w:pPr>
    </w:p>
    <w:p w14:paraId="6E6A5F5E" w14:textId="3C301EEE" w:rsidR="00913837" w:rsidRDefault="00913837" w:rsidP="007319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  <w:r>
        <w:rPr>
          <w:rFonts w:ascii="Helvetica-Bold" w:hAnsi="Helvetica-Bold" w:cs="Helvetica-Bold"/>
          <w:b/>
          <w:bCs/>
          <w:sz w:val="32"/>
          <w:szCs w:val="32"/>
        </w:rPr>
        <w:t>Analog Inputs</w:t>
      </w:r>
    </w:p>
    <w:p w14:paraId="1D1F6788" w14:textId="58D3826E" w:rsidR="00913837" w:rsidRDefault="00913837" w:rsidP="00731945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32"/>
          <w:szCs w:val="32"/>
        </w:rPr>
      </w:pPr>
    </w:p>
    <w:p w14:paraId="11A6BC11" w14:textId="625241E4" w:rsidR="004B2B9C" w:rsidRDefault="004B2B9C" w:rsidP="00731945">
      <w:pPr>
        <w:autoSpaceDE w:val="0"/>
        <w:autoSpaceDN w:val="0"/>
        <w:adjustRightInd w:val="0"/>
        <w:spacing w:after="0" w:line="240" w:lineRule="auto"/>
      </w:pPr>
      <w:r>
        <w:t>AD0P to AD15P and</w:t>
      </w:r>
    </w:p>
    <w:p w14:paraId="6BC7F6F3" w14:textId="576E5D20" w:rsidR="004B2B9C" w:rsidRDefault="004B2B9C" w:rsidP="00731945">
      <w:pPr>
        <w:autoSpaceDE w:val="0"/>
        <w:autoSpaceDN w:val="0"/>
        <w:adjustRightInd w:val="0"/>
        <w:spacing w:after="0" w:line="240" w:lineRule="auto"/>
      </w:pPr>
      <w:r>
        <w:t>AD0N to AD15N</w:t>
      </w:r>
    </w:p>
    <w:p w14:paraId="453F8E60" w14:textId="44898BE0" w:rsidR="00913837" w:rsidRDefault="008D02D5" w:rsidP="00731945">
      <w:pPr>
        <w:autoSpaceDE w:val="0"/>
        <w:autoSpaceDN w:val="0"/>
        <w:adjustRightInd w:val="0"/>
        <w:spacing w:after="0" w:line="240" w:lineRule="auto"/>
      </w:pPr>
      <w:r>
        <w:t>Use anti-alias filter at the input.</w:t>
      </w:r>
    </w:p>
    <w:sectPr w:rsidR="009138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atino-Roman">
    <w:altName w:val="Palatino Linotype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B97"/>
    <w:rsid w:val="00060692"/>
    <w:rsid w:val="00156AF4"/>
    <w:rsid w:val="004B2B9C"/>
    <w:rsid w:val="00653B97"/>
    <w:rsid w:val="00731945"/>
    <w:rsid w:val="008D02D5"/>
    <w:rsid w:val="00913837"/>
    <w:rsid w:val="00A0013D"/>
    <w:rsid w:val="00D5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4BAD"/>
  <w15:chartTrackingRefBased/>
  <w15:docId w15:val="{1716F5E4-CEC6-4393-A3BE-5076D04E0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Zadeh Abdulah</dc:creator>
  <cp:keywords/>
  <dc:description/>
  <cp:lastModifiedBy>Zadeh Abdulah</cp:lastModifiedBy>
  <cp:revision>3</cp:revision>
  <dcterms:created xsi:type="dcterms:W3CDTF">2022-06-01T15:58:00Z</dcterms:created>
  <dcterms:modified xsi:type="dcterms:W3CDTF">2022-06-01T18:08:00Z</dcterms:modified>
</cp:coreProperties>
</file>