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03 - DESIGN TOKENS</w:t>
      </w:r>
    </w:p>
    <w:p>
      <w:r>
        <w:t>This document records the visual design tokens observable from the supplied design screens. Where the original Figma variables/styles are unavailable, values are documented as design categories and should be validated against the source Figma before implementation.</w:t>
      </w:r>
    </w:p>
    <w:p>
      <w:pPr>
        <w:pStyle w:val="Heading2"/>
      </w:pPr>
      <w:r>
        <w:t>Color System</w:t>
      </w:r>
    </w:p>
    <w:p>
      <w:r>
        <w:t>Primary brand, neutral grayscale, semantic colors (success, warning, error, info), surface colors, borders and overlays.</w:t>
      </w:r>
    </w:p>
    <w:p>
      <w:pPr>
        <w:pStyle w:val="Heading2"/>
      </w:pPr>
      <w:r>
        <w:t>Typography</w:t>
      </w:r>
    </w:p>
    <w:p>
      <w:r>
        <w:t>Primary typeface, heading hierarchy, body text hierarchy, captions, buttons, labels and numeric styles.</w:t>
      </w:r>
    </w:p>
    <w:p>
      <w:pPr>
        <w:pStyle w:val="Heading2"/>
      </w:pPr>
      <w:r>
        <w:t>Spacing Scale</w:t>
      </w:r>
    </w:p>
    <w:p>
      <w:r>
        <w:t>Base spacing scale, vertical rhythm, component padding, section spacing and gutter system.</w:t>
      </w:r>
    </w:p>
    <w:p>
      <w:pPr>
        <w:pStyle w:val="Heading2"/>
      </w:pPr>
      <w:r>
        <w:t>Border Radius</w:t>
      </w:r>
    </w:p>
    <w:p>
      <w:r>
        <w:t>Standard radius tokens for buttons, inputs, cards, sheets, dialogs and chips.</w:t>
      </w:r>
    </w:p>
    <w:p>
      <w:pPr>
        <w:pStyle w:val="Heading2"/>
      </w:pPr>
      <w:r>
        <w:t>Borders</w:t>
      </w:r>
    </w:p>
    <w:p>
      <w:r>
        <w:t>Default border thickness, divider styles and outline variants.</w:t>
      </w:r>
    </w:p>
    <w:p>
      <w:pPr>
        <w:pStyle w:val="Heading2"/>
      </w:pPr>
      <w:r>
        <w:t>Elevation</w:t>
      </w:r>
    </w:p>
    <w:p>
      <w:r>
        <w:t>Shadow tokens for cards, floating menus, dialogs, bottom sheets and toast notifications.</w:t>
      </w:r>
    </w:p>
    <w:p>
      <w:pPr>
        <w:pStyle w:val="Heading2"/>
      </w:pPr>
      <w:r>
        <w:t>Grid &amp; Containers</w:t>
      </w:r>
    </w:p>
    <w:p>
      <w:r>
        <w:t>Mobile-first container widths, gutters, responsive spacing and layout alignment.</w:t>
      </w:r>
    </w:p>
    <w:p>
      <w:pPr>
        <w:pStyle w:val="Heading2"/>
      </w:pPr>
      <w:r>
        <w:t>Breakpoints</w:t>
      </w:r>
    </w:p>
    <w:p>
      <w:r>
        <w:t>Mobile, Tablet, Laptop and Desktop breakpoint strategy aligned with Twilight.</w:t>
      </w:r>
    </w:p>
    <w:p>
      <w:pPr>
        <w:pStyle w:val="Heading2"/>
      </w:pPr>
      <w:r>
        <w:t>Icon System</w:t>
      </w:r>
    </w:p>
    <w:p>
      <w:r>
        <w:t>Consistent outline icon family, sizing scale and interaction states.</w:t>
      </w:r>
    </w:p>
    <w:p>
      <w:pPr>
        <w:pStyle w:val="Heading2"/>
      </w:pPr>
      <w:r>
        <w:t>Motion Tokens</w:t>
      </w:r>
    </w:p>
    <w:p>
      <w:r>
        <w:t>Standard durations, easing curves and transition timing used across interactive components.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Convert approved tokens into centralized SCSS variables.</w:t>
      </w:r>
    </w:p>
    <w:p>
      <w:pPr>
        <w:pStyle w:val="ListBullet"/>
      </w:pPr>
      <w:r>
        <w:t>Expose merchant-configurable colors through Theme Settings where appropriate.</w:t>
      </w:r>
    </w:p>
    <w:p>
      <w:pPr>
        <w:pStyle w:val="ListBullet"/>
      </w:pPr>
      <w:r>
        <w:t>Avoid hardcoded visual values inside components.</w:t>
      </w:r>
    </w:p>
    <w:p>
      <w:pPr>
        <w:pStyle w:val="ListBullet"/>
      </w:pPr>
      <w:r>
        <w:t>Keep token names semantic instead of visual.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