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BB5C74" w14:textId="3E73175D" w:rsidR="00F2541C" w:rsidRPr="00F2541C" w:rsidRDefault="00F2541C" w:rsidP="00F2541C">
      <w:pPr>
        <w:bidi/>
        <w:rPr>
          <w:lang w:bidi="fa-IR"/>
        </w:rPr>
      </w:pPr>
      <w:r w:rsidRPr="00F2541C">
        <w:rPr>
          <w:rtl/>
        </w:rPr>
        <w:t>در ابتدای این بخش، تمامی فایل‌های داده‌ای تمیزشده که در مرحله پیش‌پردازش تهیه شده بودند، وارد محیط</w:t>
      </w:r>
      <w:r w:rsidRPr="00F2541C">
        <w:rPr>
          <w:lang w:bidi="fa-IR"/>
        </w:rPr>
        <w:t xml:space="preserve"> Microsoft Excel </w:t>
      </w:r>
      <w:r w:rsidRPr="00F2541C">
        <w:rPr>
          <w:rtl/>
        </w:rPr>
        <w:t>شدند. پس از بارگذاری جداول، نوع داده تمامی ستون‌ها مورد بررسی قرار گرفت تا اطمینان حاصل شود هر ستون با نوع داده مناسب خود ذخیره شده است. این مرحله اهمیت زیادی دارد، زیرا تشخیص نادرست نوع داده می‌تواند باعث بروز خطا در محاسبات، مرتب‌سازی، فیلتر کردن و تحلیل‌های بعدی شود</w:t>
      </w:r>
      <w:r w:rsidRPr="00F2541C">
        <w:rPr>
          <w:lang w:bidi="fa-IR"/>
        </w:rPr>
        <w:t>.</w:t>
      </w:r>
    </w:p>
    <w:p w14:paraId="6ED6B158" w14:textId="06A0FDBF" w:rsidR="00F2541C" w:rsidRPr="00F2541C" w:rsidRDefault="00F2541C" w:rsidP="00F2541C">
      <w:pPr>
        <w:bidi/>
        <w:rPr>
          <w:lang w:bidi="fa-IR"/>
        </w:rPr>
      </w:pPr>
      <w:r w:rsidRPr="00F2541C">
        <w:rPr>
          <w:rtl/>
        </w:rPr>
        <w:t>در ادامه، ستون‌هایی که نوع داده آن‌ها به‌درستی تشخیص داده نشده بود اصلاح شدند. برای مثال، ستون‌های تاریخ به قالب</w:t>
      </w:r>
      <w:r w:rsidRPr="00F2541C">
        <w:rPr>
          <w:lang w:bidi="fa-IR"/>
        </w:rPr>
        <w:t xml:space="preserve"> Date</w:t>
      </w:r>
      <w:r w:rsidRPr="00F2541C">
        <w:rPr>
          <w:rtl/>
        </w:rPr>
        <w:t>، ستون‌های عددی به قالب عددی و ستون‌های شناسه یا داده‌های متنی به قالب</w:t>
      </w:r>
      <w:r w:rsidRPr="00F2541C">
        <w:rPr>
          <w:lang w:bidi="fa-IR"/>
        </w:rPr>
        <w:t xml:space="preserve"> Text </w:t>
      </w:r>
      <w:r w:rsidRPr="00F2541C">
        <w:rPr>
          <w:rtl/>
        </w:rPr>
        <w:t>تبدیل شدند. این استانداردسازی موجب شد تمامی داده‌ها با ساختاری یکنواخت در اختیار مراحل بعدی پردازش قرار گیرند و از بروز ناسازگاری هنگام انجام محاسبات، ایجاد</w:t>
      </w:r>
      <w:r w:rsidRPr="00F2541C">
        <w:rPr>
          <w:lang w:bidi="fa-IR"/>
        </w:rPr>
        <w:t xml:space="preserve"> Pivot Table </w:t>
      </w:r>
      <w:r w:rsidRPr="00F2541C">
        <w:rPr>
          <w:rtl/>
        </w:rPr>
        <w:t>و استفاده از فرمول‌های</w:t>
      </w:r>
      <w:r w:rsidRPr="00F2541C">
        <w:rPr>
          <w:lang w:bidi="fa-IR"/>
        </w:rPr>
        <w:t xml:space="preserve"> Excel </w:t>
      </w:r>
      <w:r w:rsidRPr="00F2541C">
        <w:rPr>
          <w:rtl/>
        </w:rPr>
        <w:t>جلوگیری شود</w:t>
      </w:r>
      <w:r w:rsidRPr="00F2541C">
        <w:rPr>
          <w:lang w:bidi="fa-IR"/>
        </w:rPr>
        <w:t>.</w:t>
      </w:r>
    </w:p>
    <w:p w14:paraId="00C33EFD" w14:textId="2FB1F09E" w:rsidR="00F2541C" w:rsidRPr="00F2541C" w:rsidRDefault="00F2541C" w:rsidP="00F2541C">
      <w:pPr>
        <w:bidi/>
        <w:rPr>
          <w:lang w:bidi="fa-IR"/>
        </w:rPr>
      </w:pPr>
      <w:r w:rsidRPr="00F2541C">
        <w:rPr>
          <w:rtl/>
        </w:rPr>
        <w:t>برای افزایش خوانایی داده‌ها و کاهش تعداد ستون‌های تکراری، بخشی از اطلاعات مرتبط با یکدیگر در قالب ستون‌های جدید ادغام شدند. در جدول مشتریان و تأمین‌کنندگان، اطلاعات شماره تلفن و فکس در یک ستون مشترک قرار گرفت تا تمامی اطلاعات تماس در یک محل قابل مشاهده باشند. در مواردی که مقدار فکس وجود نداشت، عبارت «بدون فکس» درج شد تا مشخص باشد مقدار خالی ناشی از نبود این اطلاعات است و نه خطای داده‌ای</w:t>
      </w:r>
      <w:r w:rsidRPr="00F2541C">
        <w:rPr>
          <w:lang w:bidi="fa-IR"/>
        </w:rPr>
        <w:t>.</w:t>
      </w:r>
    </w:p>
    <w:p w14:paraId="5D5432F8" w14:textId="2396295E" w:rsidR="00F2541C" w:rsidRPr="00F2541C" w:rsidRDefault="00F2541C" w:rsidP="00F2541C">
      <w:pPr>
        <w:bidi/>
        <w:rPr>
          <w:lang w:bidi="fa-IR"/>
        </w:rPr>
      </w:pPr>
      <w:r w:rsidRPr="00F2541C">
        <w:rPr>
          <w:rFonts w:cs="Arial"/>
          <w:noProof/>
          <w:rtl/>
        </w:rPr>
        <w:drawing>
          <wp:anchor distT="0" distB="0" distL="114300" distR="114300" simplePos="0" relativeHeight="251660288" behindDoc="0" locked="0" layoutInCell="1" allowOverlap="1" wp14:anchorId="2B0C3A0D" wp14:editId="15F07301">
            <wp:simplePos x="0" y="0"/>
            <wp:positionH relativeFrom="column">
              <wp:posOffset>3756660</wp:posOffset>
            </wp:positionH>
            <wp:positionV relativeFrom="paragraph">
              <wp:posOffset>1023620</wp:posOffset>
            </wp:positionV>
            <wp:extent cx="2286319" cy="4382112"/>
            <wp:effectExtent l="0" t="0" r="0" b="0"/>
            <wp:wrapNone/>
            <wp:docPr id="207880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00586" name=""/>
                    <pic:cNvPicPr/>
                  </pic:nvPicPr>
                  <pic:blipFill>
                    <a:blip r:embed="rId4">
                      <a:extLst>
                        <a:ext uri="{28A0092B-C50C-407E-A947-70E740481C1C}">
                          <a14:useLocalDpi xmlns:a14="http://schemas.microsoft.com/office/drawing/2010/main" val="0"/>
                        </a:ext>
                      </a:extLst>
                    </a:blip>
                    <a:stretch>
                      <a:fillRect/>
                    </a:stretch>
                  </pic:blipFill>
                  <pic:spPr>
                    <a:xfrm>
                      <a:off x="0" y="0"/>
                      <a:ext cx="2286319" cy="4382112"/>
                    </a:xfrm>
                    <a:prstGeom prst="rect">
                      <a:avLst/>
                    </a:prstGeom>
                  </pic:spPr>
                </pic:pic>
              </a:graphicData>
            </a:graphic>
          </wp:anchor>
        </w:drawing>
      </w:r>
      <w:r w:rsidRPr="00F2541C">
        <w:rPr>
          <w:rFonts w:cs="Arial"/>
          <w:noProof/>
          <w:rtl/>
        </w:rPr>
        <w:drawing>
          <wp:anchor distT="0" distB="0" distL="114300" distR="114300" simplePos="0" relativeHeight="251659264" behindDoc="1" locked="0" layoutInCell="1" allowOverlap="1" wp14:anchorId="31DEDE59" wp14:editId="71137B7D">
            <wp:simplePos x="0" y="0"/>
            <wp:positionH relativeFrom="column">
              <wp:posOffset>-655320</wp:posOffset>
            </wp:positionH>
            <wp:positionV relativeFrom="paragraph">
              <wp:posOffset>267335</wp:posOffset>
            </wp:positionV>
            <wp:extent cx="4333875" cy="5134610"/>
            <wp:effectExtent l="0" t="0" r="9525" b="8890"/>
            <wp:wrapTight wrapText="bothSides">
              <wp:wrapPolygon edited="0">
                <wp:start x="0" y="0"/>
                <wp:lineTo x="0" y="21557"/>
                <wp:lineTo x="21553" y="21557"/>
                <wp:lineTo x="21553" y="0"/>
                <wp:lineTo x="0" y="0"/>
              </wp:wrapPolygon>
            </wp:wrapTight>
            <wp:docPr id="37774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49999" name=""/>
                    <pic:cNvPicPr/>
                  </pic:nvPicPr>
                  <pic:blipFill>
                    <a:blip r:embed="rId5">
                      <a:extLst>
                        <a:ext uri="{28A0092B-C50C-407E-A947-70E740481C1C}">
                          <a14:useLocalDpi xmlns:a14="http://schemas.microsoft.com/office/drawing/2010/main" val="0"/>
                        </a:ext>
                      </a:extLst>
                    </a:blip>
                    <a:stretch>
                      <a:fillRect/>
                    </a:stretch>
                  </pic:blipFill>
                  <pic:spPr>
                    <a:xfrm>
                      <a:off x="0" y="0"/>
                      <a:ext cx="4333875" cy="5134610"/>
                    </a:xfrm>
                    <a:prstGeom prst="rect">
                      <a:avLst/>
                    </a:prstGeom>
                  </pic:spPr>
                </pic:pic>
              </a:graphicData>
            </a:graphic>
          </wp:anchor>
        </w:drawing>
      </w:r>
      <w:r w:rsidRPr="00F2541C">
        <w:rPr>
          <w:rtl/>
        </w:rPr>
        <w:t>همچنین اطلاعات مربوط به کشور، شهر و نشانی در قالب یک ستون جدید با عنوان «موقعیت» ترکیب شدند. این کار باعث شد اطلاعات مکانی هر رکورد به صورت یک مقدار کامل و قابل فهم نمایش داده شود و استفاده از آن در گزارش‌ها، فیلترها و تحلیل‌های مکانی ساده‌تر گردد</w:t>
      </w:r>
      <w:r w:rsidRPr="00F2541C">
        <w:rPr>
          <w:lang w:bidi="fa-IR"/>
        </w:rPr>
        <w:t>.</w:t>
      </w:r>
    </w:p>
    <w:p w14:paraId="68836E4F" w14:textId="4D241A05" w:rsidR="00F2541C" w:rsidRDefault="00F2541C" w:rsidP="00F2541C">
      <w:pPr>
        <w:bidi/>
        <w:rPr>
          <w:rtl/>
          <w:lang w:bidi="fa-IR"/>
        </w:rPr>
      </w:pPr>
    </w:p>
    <w:p w14:paraId="7D071F0F" w14:textId="77777777" w:rsidR="00F2541C" w:rsidRDefault="00F2541C">
      <w:pPr>
        <w:rPr>
          <w:rtl/>
          <w:lang w:bidi="fa-IR"/>
        </w:rPr>
      </w:pPr>
      <w:r>
        <w:rPr>
          <w:rtl/>
          <w:lang w:bidi="fa-IR"/>
        </w:rPr>
        <w:br w:type="page"/>
      </w:r>
    </w:p>
    <w:p w14:paraId="46BDC9CF" w14:textId="77777777" w:rsidR="00F2541C" w:rsidRPr="00F2541C" w:rsidRDefault="00F2541C" w:rsidP="00F2541C">
      <w:pPr>
        <w:bidi/>
        <w:rPr>
          <w:lang w:bidi="fa-IR"/>
        </w:rPr>
      </w:pPr>
      <w:r w:rsidRPr="00F2541C">
        <w:rPr>
          <w:rtl/>
        </w:rPr>
        <w:lastRenderedPageBreak/>
        <w:t>پس از استانداردسازی ساختار داده‌ها، قالب نمایش برخی ستون‌ها متناسب با ماهیت اطلاعات آن‌ها اصلاح شد. ستون تخفیف به قالب درصد</w:t>
      </w:r>
      <w:r w:rsidRPr="00F2541C">
        <w:rPr>
          <w:lang w:bidi="fa-IR"/>
        </w:rPr>
        <w:t xml:space="preserve"> (Percentage) </w:t>
      </w:r>
      <w:r w:rsidRPr="00F2541C">
        <w:rPr>
          <w:rtl/>
        </w:rPr>
        <w:t>تبدیل شد تا مقدار واقعی تخفیف برای کاربران قابل درک‌تر باشد. همچنین ستون‌های مرتبط با قیمت، مانند قیمت واحد و قیمت کل، با قالب پولی نمایش داده شدند تا مقادیر مالی با خوانایی بیشتری ارائه شوند</w:t>
      </w:r>
      <w:r w:rsidRPr="00F2541C">
        <w:rPr>
          <w:lang w:bidi="fa-IR"/>
        </w:rPr>
        <w:t>.</w:t>
      </w:r>
    </w:p>
    <w:p w14:paraId="79F3F3D8" w14:textId="77777777" w:rsidR="00F2541C" w:rsidRPr="00F2541C" w:rsidRDefault="00F2541C" w:rsidP="00F2541C">
      <w:pPr>
        <w:bidi/>
        <w:rPr>
          <w:lang w:bidi="fa-IR"/>
        </w:rPr>
      </w:pPr>
      <w:r w:rsidRPr="00F2541C">
        <w:rPr>
          <w:rtl/>
        </w:rPr>
        <w:t xml:space="preserve">علاوه بر این، ستون توقف تولید که به‌صورت مقادیر عددی صفر و یک ذخیره شده بود، به مقادیر متنی معنادار تبدیل شد؛ به‌طوری‌که مقدار </w:t>
      </w:r>
      <w:r w:rsidRPr="00F2541C">
        <w:rPr>
          <w:rtl/>
          <w:lang w:bidi="fa-IR"/>
        </w:rPr>
        <w:t>۰</w:t>
      </w:r>
      <w:r w:rsidRPr="00F2541C">
        <w:rPr>
          <w:rtl/>
        </w:rPr>
        <w:t xml:space="preserve"> به «در حال تولید» و مقدار </w:t>
      </w:r>
      <w:r w:rsidRPr="00F2541C">
        <w:rPr>
          <w:rtl/>
          <w:lang w:bidi="fa-IR"/>
        </w:rPr>
        <w:t>۱</w:t>
      </w:r>
      <w:r w:rsidRPr="00F2541C">
        <w:rPr>
          <w:rtl/>
        </w:rPr>
        <w:t xml:space="preserve"> به «توقف تولید» تغییر یافت. این تبدیل باعث شد بدون نیاز به مراجعه به مستندات، وضعیت هر محصول به‌صورت مستقیم برای کاربران قابل تفسیر باشد</w:t>
      </w:r>
      <w:r w:rsidRPr="00F2541C">
        <w:rPr>
          <w:lang w:bidi="fa-IR"/>
        </w:rPr>
        <w:t>.</w:t>
      </w:r>
    </w:p>
    <w:p w14:paraId="1EDEAA05" w14:textId="77777777" w:rsidR="00F2541C" w:rsidRPr="00F2541C" w:rsidRDefault="00F2541C" w:rsidP="00F2541C">
      <w:pPr>
        <w:bidi/>
        <w:rPr>
          <w:lang w:bidi="fa-IR"/>
        </w:rPr>
      </w:pPr>
      <w:r w:rsidRPr="00F2541C">
        <w:rPr>
          <w:rtl/>
        </w:rPr>
        <w:t>در همین مرحله، شاخص محبوبیت کالا نیز بر اساس مجموع تعداد فروش و سطح بازسفارش محاسبه شد و محصولات در چهار گروه</w:t>
      </w:r>
      <w:r w:rsidRPr="00F2541C">
        <w:rPr>
          <w:lang w:bidi="fa-IR"/>
        </w:rPr>
        <w:t xml:space="preserve"> A</w:t>
      </w:r>
      <w:r w:rsidRPr="00F2541C">
        <w:rPr>
          <w:rtl/>
        </w:rPr>
        <w:t xml:space="preserve">، </w:t>
      </w:r>
      <w:r w:rsidRPr="00F2541C">
        <w:rPr>
          <w:lang w:bidi="fa-IR"/>
        </w:rPr>
        <w:t>B</w:t>
      </w:r>
      <w:r w:rsidRPr="00F2541C">
        <w:rPr>
          <w:rtl/>
        </w:rPr>
        <w:t xml:space="preserve">، </w:t>
      </w:r>
      <w:r w:rsidRPr="00F2541C">
        <w:rPr>
          <w:lang w:bidi="fa-IR"/>
        </w:rPr>
        <w:t xml:space="preserve">C </w:t>
      </w:r>
      <w:r w:rsidRPr="00F2541C">
        <w:rPr>
          <w:rtl/>
        </w:rPr>
        <w:t>و</w:t>
      </w:r>
      <w:r w:rsidRPr="00F2541C">
        <w:rPr>
          <w:lang w:bidi="fa-IR"/>
        </w:rPr>
        <w:t xml:space="preserve"> D </w:t>
      </w:r>
      <w:r w:rsidRPr="00F2541C">
        <w:rPr>
          <w:rtl/>
        </w:rPr>
        <w:t>طبقه‌بندی شدند. این دسته‌بندی امکان مقایسه سریع محصولات از نظر میزان تقاضا و اهمیت تجاری آن‌ها را فراهم می‌کند و مبنایی برای تحلیل‌های مدیریتی محسوب می‌شود</w:t>
      </w:r>
      <w:r w:rsidRPr="00F2541C">
        <w:rPr>
          <w:lang w:bidi="fa-IR"/>
        </w:rPr>
        <w:t>.</w:t>
      </w:r>
    </w:p>
    <w:p w14:paraId="6160798E" w14:textId="5ED46DC0" w:rsidR="005248DE" w:rsidRDefault="00F2541C" w:rsidP="00F2541C">
      <w:pPr>
        <w:bidi/>
        <w:rPr>
          <w:lang w:bidi="fa-IR"/>
        </w:rPr>
      </w:pPr>
      <w:r w:rsidRPr="00F2541C">
        <w:rPr>
          <w:rFonts w:cs="Arial"/>
          <w:noProof/>
          <w:rtl/>
        </w:rPr>
        <w:drawing>
          <wp:inline distT="0" distB="0" distL="0" distR="0" wp14:anchorId="1683384B" wp14:editId="43134B0B">
            <wp:extent cx="5820587" cy="2095792"/>
            <wp:effectExtent l="0" t="0" r="8890" b="0"/>
            <wp:docPr id="43109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4645" name=""/>
                    <pic:cNvPicPr/>
                  </pic:nvPicPr>
                  <pic:blipFill>
                    <a:blip r:embed="rId6"/>
                    <a:stretch>
                      <a:fillRect/>
                    </a:stretch>
                  </pic:blipFill>
                  <pic:spPr>
                    <a:xfrm>
                      <a:off x="0" y="0"/>
                      <a:ext cx="5820587" cy="2095792"/>
                    </a:xfrm>
                    <a:prstGeom prst="rect">
                      <a:avLst/>
                    </a:prstGeom>
                  </pic:spPr>
                </pic:pic>
              </a:graphicData>
            </a:graphic>
          </wp:inline>
        </w:drawing>
      </w:r>
    </w:p>
    <w:p w14:paraId="76370DBC" w14:textId="5D6DB4A7" w:rsidR="00F2541C" w:rsidRDefault="00F2541C" w:rsidP="00F2541C">
      <w:pPr>
        <w:bidi/>
        <w:rPr>
          <w:lang w:bidi="fa-IR"/>
        </w:rPr>
      </w:pPr>
      <w:r w:rsidRPr="00F2541C">
        <w:rPr>
          <w:rFonts w:cs="Arial"/>
          <w:noProof/>
          <w:rtl/>
        </w:rPr>
        <w:drawing>
          <wp:inline distT="0" distB="0" distL="0" distR="0" wp14:anchorId="54B8410F" wp14:editId="3BA4C6D9">
            <wp:extent cx="1924319" cy="2581635"/>
            <wp:effectExtent l="0" t="0" r="0" b="0"/>
            <wp:docPr id="212321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15908" name=""/>
                    <pic:cNvPicPr/>
                  </pic:nvPicPr>
                  <pic:blipFill>
                    <a:blip r:embed="rId7"/>
                    <a:stretch>
                      <a:fillRect/>
                    </a:stretch>
                  </pic:blipFill>
                  <pic:spPr>
                    <a:xfrm>
                      <a:off x="0" y="0"/>
                      <a:ext cx="1924319" cy="2581635"/>
                    </a:xfrm>
                    <a:prstGeom prst="rect">
                      <a:avLst/>
                    </a:prstGeom>
                  </pic:spPr>
                </pic:pic>
              </a:graphicData>
            </a:graphic>
          </wp:inline>
        </w:drawing>
      </w:r>
    </w:p>
    <w:p w14:paraId="0F1F571B" w14:textId="1E85E1B9" w:rsidR="0042606B" w:rsidRDefault="0042606B" w:rsidP="0042606B">
      <w:pPr>
        <w:bidi/>
        <w:rPr>
          <w:rtl/>
          <w:lang w:bidi="fa-IR"/>
        </w:rPr>
      </w:pPr>
      <w:r w:rsidRPr="0042606B">
        <w:rPr>
          <w:rtl/>
        </w:rPr>
        <w:t>در بخش پایانی، تعدادی ویژگی جدید از روی داده‌های موجود استخراج شد تا اطلاعات قابل استفاده‌تری برای تحلیل ایجاد شود. ابتدا وضعیت موجودی هر کالا با استفاده از مقدار موجودی انبار و نقطه سفارش مجدد تعیین شد و محصولات در وضعیت‌هایی مانند «مطلوب»، «نیازمند سفارش» و «بررسی توقف تولید» قرار گرفتند. سپس با استفاده از قالب‌بندی شرطی</w:t>
      </w:r>
      <w:r w:rsidRPr="0042606B">
        <w:rPr>
          <w:lang w:bidi="fa-IR"/>
        </w:rPr>
        <w:t xml:space="preserve"> (Conditional Formatting)</w:t>
      </w:r>
      <w:r w:rsidRPr="0042606B">
        <w:rPr>
          <w:rtl/>
        </w:rPr>
        <w:t>، برای هر وضعیت رنگ متفاوتی اختصاص داده شد تا تشخیص شرایط محصولات تنها با مشاهده جدول امکان‌پذیر باشد</w:t>
      </w:r>
      <w:r w:rsidRPr="0042606B">
        <w:rPr>
          <w:lang w:bidi="fa-IR"/>
        </w:rPr>
        <w:t>.</w:t>
      </w:r>
    </w:p>
    <w:p w14:paraId="2EC8F47B" w14:textId="447E31B0" w:rsidR="0042606B" w:rsidRPr="0042606B" w:rsidRDefault="0042606B" w:rsidP="0042606B">
      <w:pPr>
        <w:bidi/>
        <w:rPr>
          <w:lang w:bidi="fa-IR"/>
        </w:rPr>
      </w:pPr>
    </w:p>
    <w:p w14:paraId="405D6EF7" w14:textId="77777777" w:rsidR="0042606B" w:rsidRPr="0042606B" w:rsidRDefault="0042606B" w:rsidP="0042606B">
      <w:pPr>
        <w:bidi/>
        <w:rPr>
          <w:lang w:bidi="fa-IR"/>
        </w:rPr>
      </w:pPr>
      <w:r w:rsidRPr="0042606B">
        <w:rPr>
          <w:rtl/>
        </w:rPr>
        <w:t>همچنین با استفاده از قیمت واحد، تعداد کالا و میزان تخفیف، هزینه نهایی هر سفارش محاسبه و در قالب ستون «قیمت کل» ثبت شد. این ویژگی بدون نیاز به انجام محاسبات مجدد، امکان بررسی ارزش مالی سفارش‌ها و تحلیل‌های مرتبط با فروش را فراهم می‌کند و می‌تواند در تهیه گزارش‌های مدیریتی مورد استفاده قرار گیرد</w:t>
      </w:r>
      <w:r w:rsidRPr="0042606B">
        <w:rPr>
          <w:lang w:bidi="fa-IR"/>
        </w:rPr>
        <w:t>.</w:t>
      </w:r>
    </w:p>
    <w:p w14:paraId="07AC0EEC" w14:textId="77777777" w:rsidR="00F06C17" w:rsidRDefault="00F06C17" w:rsidP="00F2541C">
      <w:pPr>
        <w:bidi/>
        <w:rPr>
          <w:rtl/>
          <w:lang w:bidi="fa-IR"/>
        </w:rPr>
      </w:pPr>
    </w:p>
    <w:p w14:paraId="6ABBB8CF" w14:textId="3845153D" w:rsidR="00F2541C" w:rsidRDefault="0042606B" w:rsidP="00F06C17">
      <w:pPr>
        <w:bidi/>
        <w:rPr>
          <w:rtl/>
          <w:lang w:bidi="fa-IR"/>
        </w:rPr>
      </w:pPr>
      <w:r w:rsidRPr="0042606B">
        <w:rPr>
          <w:rFonts w:cs="Arial"/>
          <w:noProof/>
          <w:rtl/>
        </w:rPr>
        <w:drawing>
          <wp:anchor distT="0" distB="0" distL="114300" distR="114300" simplePos="0" relativeHeight="251661312" behindDoc="0" locked="0" layoutInCell="1" allowOverlap="1" wp14:anchorId="6A4642BD" wp14:editId="3E5B6BB3">
            <wp:simplePos x="0" y="0"/>
            <wp:positionH relativeFrom="column">
              <wp:posOffset>457200</wp:posOffset>
            </wp:positionH>
            <wp:positionV relativeFrom="paragraph">
              <wp:posOffset>431165</wp:posOffset>
            </wp:positionV>
            <wp:extent cx="2381582" cy="3010320"/>
            <wp:effectExtent l="0" t="0" r="0" b="0"/>
            <wp:wrapNone/>
            <wp:docPr id="50437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2057" name=""/>
                    <pic:cNvPicPr/>
                  </pic:nvPicPr>
                  <pic:blipFill>
                    <a:blip r:embed="rId8">
                      <a:extLst>
                        <a:ext uri="{28A0092B-C50C-407E-A947-70E740481C1C}">
                          <a14:useLocalDpi xmlns:a14="http://schemas.microsoft.com/office/drawing/2010/main" val="0"/>
                        </a:ext>
                      </a:extLst>
                    </a:blip>
                    <a:stretch>
                      <a:fillRect/>
                    </a:stretch>
                  </pic:blipFill>
                  <pic:spPr>
                    <a:xfrm>
                      <a:off x="0" y="0"/>
                      <a:ext cx="2381582" cy="3010320"/>
                    </a:xfrm>
                    <a:prstGeom prst="rect">
                      <a:avLst/>
                    </a:prstGeom>
                  </pic:spPr>
                </pic:pic>
              </a:graphicData>
            </a:graphic>
          </wp:anchor>
        </w:drawing>
      </w:r>
      <w:r w:rsidRPr="0042606B">
        <w:rPr>
          <w:rFonts w:cs="Arial"/>
          <w:noProof/>
          <w:rtl/>
        </w:rPr>
        <w:drawing>
          <wp:inline distT="0" distB="0" distL="0" distR="0" wp14:anchorId="582FCBE1" wp14:editId="3CAD54EC">
            <wp:extent cx="2133898" cy="4163006"/>
            <wp:effectExtent l="0" t="0" r="0" b="9525"/>
            <wp:docPr id="108269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95846" name=""/>
                    <pic:cNvPicPr/>
                  </pic:nvPicPr>
                  <pic:blipFill>
                    <a:blip r:embed="rId9"/>
                    <a:stretch>
                      <a:fillRect/>
                    </a:stretch>
                  </pic:blipFill>
                  <pic:spPr>
                    <a:xfrm>
                      <a:off x="0" y="0"/>
                      <a:ext cx="2133898" cy="4163006"/>
                    </a:xfrm>
                    <a:prstGeom prst="rect">
                      <a:avLst/>
                    </a:prstGeom>
                  </pic:spPr>
                </pic:pic>
              </a:graphicData>
            </a:graphic>
          </wp:inline>
        </w:drawing>
      </w:r>
    </w:p>
    <w:p w14:paraId="47B46343" w14:textId="77777777" w:rsidR="00F06C17" w:rsidRDefault="00F06C17" w:rsidP="00F06C17">
      <w:pPr>
        <w:bidi/>
        <w:rPr>
          <w:rtl/>
          <w:lang w:bidi="fa-IR"/>
        </w:rPr>
      </w:pPr>
    </w:p>
    <w:p w14:paraId="6E50E3F1" w14:textId="77777777" w:rsidR="00F06C17" w:rsidRDefault="00F06C17" w:rsidP="00F06C17">
      <w:pPr>
        <w:bidi/>
        <w:rPr>
          <w:rtl/>
          <w:lang w:bidi="fa-IR"/>
        </w:rPr>
      </w:pPr>
    </w:p>
    <w:p w14:paraId="30459641" w14:textId="77777777" w:rsidR="00F06C17" w:rsidRDefault="00F06C17" w:rsidP="00F06C17">
      <w:pPr>
        <w:bidi/>
        <w:rPr>
          <w:rtl/>
          <w:lang w:bidi="fa-IR"/>
        </w:rPr>
      </w:pPr>
    </w:p>
    <w:p w14:paraId="78A1FF45" w14:textId="77777777" w:rsidR="00F06C17" w:rsidRDefault="00F06C17" w:rsidP="00F06C17">
      <w:pPr>
        <w:bidi/>
        <w:rPr>
          <w:rtl/>
          <w:lang w:bidi="fa-IR"/>
        </w:rPr>
      </w:pPr>
    </w:p>
    <w:p w14:paraId="79CAFB17" w14:textId="77777777" w:rsidR="00F06C17" w:rsidRDefault="00F06C17" w:rsidP="00F06C17">
      <w:pPr>
        <w:bidi/>
        <w:rPr>
          <w:rtl/>
          <w:lang w:bidi="fa-IR"/>
        </w:rPr>
      </w:pPr>
    </w:p>
    <w:p w14:paraId="7B0F9976" w14:textId="77777777" w:rsidR="00F06C17" w:rsidRDefault="00F06C17" w:rsidP="00F06C17">
      <w:pPr>
        <w:bidi/>
        <w:rPr>
          <w:rtl/>
          <w:lang w:bidi="fa-IR"/>
        </w:rPr>
      </w:pPr>
    </w:p>
    <w:p w14:paraId="207F4AAA" w14:textId="77777777" w:rsidR="00F06C17" w:rsidRDefault="00F06C17" w:rsidP="00F06C17">
      <w:pPr>
        <w:bidi/>
        <w:rPr>
          <w:rtl/>
          <w:lang w:bidi="fa-IR"/>
        </w:rPr>
      </w:pPr>
    </w:p>
    <w:p w14:paraId="4E602CE8" w14:textId="5F314ABF" w:rsidR="00F06C17" w:rsidRDefault="00F06C17" w:rsidP="00F06C17">
      <w:pPr>
        <w:bidi/>
        <w:rPr>
          <w:rtl/>
        </w:rPr>
      </w:pPr>
      <w:r>
        <w:rPr>
          <w:rFonts w:hint="cs"/>
          <w:rtl/>
        </w:rPr>
        <w:t xml:space="preserve">بخش 4.4 رامتین </w:t>
      </w:r>
    </w:p>
    <w:p w14:paraId="599C89E5" w14:textId="1659C143" w:rsidR="00F06C17" w:rsidRDefault="00F06C17" w:rsidP="00F06C17">
      <w:pPr>
        <w:pStyle w:val="NormalWeb"/>
        <w:bidi/>
        <w:rPr>
          <w:lang w:bidi="fa-IR"/>
        </w:rPr>
      </w:pPr>
      <w:r>
        <w:rPr>
          <w:rFonts w:hint="cs"/>
          <w:rtl/>
          <w:lang w:bidi="fa-IR"/>
        </w:rPr>
        <w:t xml:space="preserve">در بخش مدل‌سازی و تحلیل داده‌ها، ابتدا تمامی جداول پایگاه داده وارد محیط </w:t>
      </w:r>
      <w:r>
        <w:rPr>
          <w:rFonts w:hint="cs"/>
          <w:lang w:bidi="fa-IR"/>
        </w:rPr>
        <w:t>Data Model</w:t>
      </w:r>
      <w:r>
        <w:rPr>
          <w:rFonts w:hint="cs"/>
          <w:rtl/>
          <w:lang w:bidi="fa-IR"/>
        </w:rPr>
        <w:t xml:space="preserve"> اکسل شدند و ارتباطات منطقی میان آن‌ها (از جمله جداول سفارشات، محصولات، تأمین‌کنندگان، شرکت‌های حمل‌ونقل و دسته‌بندی‌ها) بر اساس کلیدهای اصلی و خارجی به طور کامل برقرار گردید. پس از حصول اطمینان از یکپارچگی روابط، پنج تحلیل کلیدی با بهره‌گیری از ابزارهای </w:t>
      </w:r>
      <w:r>
        <w:rPr>
          <w:rFonts w:hint="cs"/>
          <w:lang w:bidi="fa-IR"/>
        </w:rPr>
        <w:t>PivotTable</w:t>
      </w:r>
      <w:r>
        <w:rPr>
          <w:rFonts w:hint="cs"/>
          <w:rtl/>
          <w:lang w:bidi="fa-IR"/>
        </w:rPr>
        <w:t xml:space="preserve"> و </w:t>
      </w:r>
      <w:r>
        <w:rPr>
          <w:rFonts w:hint="cs"/>
          <w:lang w:bidi="fa-IR"/>
        </w:rPr>
        <w:t>PivotChart</w:t>
      </w:r>
      <w:r>
        <w:rPr>
          <w:rFonts w:hint="cs"/>
          <w:rtl/>
          <w:lang w:bidi="fa-IR"/>
        </w:rPr>
        <w:t xml:space="preserve"> به منظور استخراج بینش‌های تجاری طراحی و پیاده‌سازی شد.</w:t>
      </w:r>
    </w:p>
    <w:p w14:paraId="2F33BC60" w14:textId="0C57DB91" w:rsidR="00F06C17" w:rsidRDefault="008944BF" w:rsidP="00F06C17">
      <w:pPr>
        <w:pStyle w:val="NormalWeb"/>
        <w:bidi/>
        <w:rPr>
          <w:rFonts w:hint="cs"/>
          <w:rtl/>
          <w:lang w:bidi="fa-IR"/>
        </w:rPr>
      </w:pPr>
      <w:r w:rsidRPr="00F06C17">
        <w:rPr>
          <w:rtl/>
          <w:lang w:bidi="fa-IR"/>
        </w:rPr>
        <w:drawing>
          <wp:anchor distT="0" distB="0" distL="114300" distR="114300" simplePos="0" relativeHeight="251662336" behindDoc="0" locked="0" layoutInCell="1" allowOverlap="1" wp14:anchorId="27053D4A" wp14:editId="0DC0FE13">
            <wp:simplePos x="0" y="0"/>
            <wp:positionH relativeFrom="column">
              <wp:posOffset>160020</wp:posOffset>
            </wp:positionH>
            <wp:positionV relativeFrom="paragraph">
              <wp:posOffset>370840</wp:posOffset>
            </wp:positionV>
            <wp:extent cx="1830070" cy="15392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30070" cy="1539240"/>
                    </a:xfrm>
                    <a:prstGeom prst="rect">
                      <a:avLst/>
                    </a:prstGeom>
                  </pic:spPr>
                </pic:pic>
              </a:graphicData>
            </a:graphic>
            <wp14:sizeRelH relativeFrom="margin">
              <wp14:pctWidth>0</wp14:pctWidth>
            </wp14:sizeRelH>
            <wp14:sizeRelV relativeFrom="margin">
              <wp14:pctHeight>0</wp14:pctHeight>
            </wp14:sizeRelV>
          </wp:anchor>
        </w:drawing>
      </w:r>
      <w:r w:rsidR="00F06C17">
        <w:rPr>
          <w:rFonts w:hint="cs"/>
          <w:rtl/>
          <w:lang w:bidi="fa-IR"/>
        </w:rPr>
        <w:t>در تحلیل نخست، با هدف پایش وضعیت تأمین کالا، مجموع مقدار سفارشات جدید در راه (</w:t>
      </w:r>
      <w:proofErr w:type="spellStart"/>
      <w:r w:rsidR="00F06C17">
        <w:rPr>
          <w:rStyle w:val="katex-mathml"/>
          <w:rFonts w:eastAsiaTheme="majorEastAsia" w:hint="cs"/>
          <w:lang w:bidi="fa-IR"/>
        </w:rPr>
        <w:t>UnitsOnOrder</w:t>
      </w:r>
      <w:r w:rsidR="00F06C17">
        <w:rPr>
          <w:rStyle w:val="mord"/>
          <w:rFonts w:eastAsiaTheme="majorEastAsia" w:hint="cs"/>
          <w:lang w:bidi="fa-IR"/>
        </w:rPr>
        <w:t>r</w:t>
      </w:r>
      <w:proofErr w:type="spellEnd"/>
      <w:r w:rsidR="00F06C17">
        <w:rPr>
          <w:rFonts w:hint="cs"/>
          <w:rtl/>
          <w:lang w:bidi="fa-IR"/>
        </w:rPr>
        <w:t>) به تفکیک هر دسته‌بندی کالایی (</w:t>
      </w:r>
      <w:proofErr w:type="spellStart"/>
      <w:r w:rsidR="00F06C17">
        <w:rPr>
          <w:rStyle w:val="katex-mathml"/>
          <w:rFonts w:eastAsiaTheme="majorEastAsia" w:hint="cs"/>
          <w:lang w:bidi="fa-IR"/>
        </w:rPr>
        <w:t>CategoryName</w:t>
      </w:r>
      <w:proofErr w:type="spellEnd"/>
      <w:r w:rsidR="00F06C17">
        <w:rPr>
          <w:rFonts w:hint="cs"/>
          <w:rtl/>
          <w:lang w:bidi="fa-IR"/>
        </w:rPr>
        <w:t>) استخراج</w:t>
      </w:r>
      <w:r w:rsidR="00F06C17">
        <w:rPr>
          <w:rFonts w:hint="cs"/>
          <w:rtl/>
          <w:lang w:bidi="fa-IR"/>
        </w:rPr>
        <w:t xml:space="preserve"> شد</w:t>
      </w:r>
      <w:r w:rsidR="00F06C17">
        <w:rPr>
          <w:rFonts w:hint="cs"/>
          <w:rtl/>
          <w:lang w:bidi="fa-IR"/>
        </w:rPr>
        <w:t xml:space="preserve">. </w:t>
      </w:r>
    </w:p>
    <w:p w14:paraId="226CB919" w14:textId="77777777" w:rsidR="008944BF" w:rsidRDefault="008944BF" w:rsidP="00F06C17">
      <w:pPr>
        <w:pStyle w:val="NormalWeb"/>
        <w:bidi/>
        <w:rPr>
          <w:rtl/>
          <w:lang w:bidi="fa-IR"/>
        </w:rPr>
      </w:pPr>
    </w:p>
    <w:p w14:paraId="0051F4D8" w14:textId="296A264A" w:rsidR="00F06C17" w:rsidRDefault="00F06C17" w:rsidP="008944BF">
      <w:pPr>
        <w:pStyle w:val="NormalWeb"/>
        <w:bidi/>
        <w:rPr>
          <w:rtl/>
          <w:lang w:bidi="fa-IR"/>
        </w:rPr>
      </w:pPr>
      <w:r>
        <w:rPr>
          <w:rFonts w:hint="cs"/>
          <w:rtl/>
          <w:lang w:bidi="fa-IR"/>
        </w:rPr>
        <w:t>در تحلیل دوم، به منظور ارزیابی دقیق هزینه‌های لجستیک، شاخص هزینه حمل‌ونقل (</w:t>
      </w:r>
      <w:proofErr w:type="spellStart"/>
      <w:r>
        <w:rPr>
          <w:rStyle w:val="katex-mathml"/>
          <w:rFonts w:eastAsiaTheme="majorEastAsia" w:hint="cs"/>
          <w:lang w:bidi="fa-IR"/>
        </w:rPr>
        <w:t>Freight</w:t>
      </w:r>
      <w:r>
        <w:rPr>
          <w:rStyle w:val="mord"/>
          <w:rFonts w:eastAsiaTheme="majorEastAsia" w:hint="cs"/>
          <w:lang w:bidi="fa-IR"/>
        </w:rPr>
        <w:t>t</w:t>
      </w:r>
      <w:proofErr w:type="spellEnd"/>
      <w:r>
        <w:rPr>
          <w:rFonts w:hint="cs"/>
          <w:rtl/>
          <w:lang w:bidi="fa-IR"/>
        </w:rPr>
        <w:t>) بر اساس تقاطع دو بعد «کشور مقصد» (</w:t>
      </w:r>
      <w:proofErr w:type="spellStart"/>
      <w:r>
        <w:rPr>
          <w:rStyle w:val="katex-mathml"/>
          <w:rFonts w:eastAsiaTheme="majorEastAsia" w:hint="cs"/>
          <w:lang w:bidi="fa-IR"/>
        </w:rPr>
        <w:t>ShipCountry</w:t>
      </w:r>
      <w:proofErr w:type="spellEnd"/>
      <w:r>
        <w:rPr>
          <w:rFonts w:hint="cs"/>
          <w:rtl/>
          <w:lang w:bidi="fa-IR"/>
        </w:rPr>
        <w:t>) و «شرکت حمل‌ونقل» (</w:t>
      </w:r>
      <w:proofErr w:type="spellStart"/>
      <w:r>
        <w:rPr>
          <w:rStyle w:val="katex-mathml"/>
          <w:rFonts w:eastAsiaTheme="majorEastAsia" w:hint="cs"/>
          <w:lang w:bidi="fa-IR"/>
        </w:rPr>
        <w:t>Shippers</w:t>
      </w:r>
      <w:r>
        <w:rPr>
          <w:rStyle w:val="mord"/>
          <w:rFonts w:eastAsiaTheme="majorEastAsia" w:hint="cs"/>
          <w:lang w:bidi="fa-IR"/>
        </w:rPr>
        <w:t>s</w:t>
      </w:r>
      <w:proofErr w:type="spellEnd"/>
      <w:r>
        <w:rPr>
          <w:rFonts w:hint="cs"/>
          <w:rtl/>
          <w:lang w:bidi="fa-IR"/>
        </w:rPr>
        <w:t>) مورد بررسی قرار گرفت و خروجی آن به صورت یک نمودار ستونی خوشه‌ای ارائه گردید.</w:t>
      </w:r>
    </w:p>
    <w:p w14:paraId="3FDFE7A8" w14:textId="5D17DA03" w:rsidR="008944BF" w:rsidRDefault="008944BF" w:rsidP="008944BF">
      <w:pPr>
        <w:pStyle w:val="NormalWeb"/>
        <w:bidi/>
        <w:rPr>
          <w:rFonts w:hint="cs"/>
          <w:rtl/>
          <w:lang w:bidi="fa-IR"/>
        </w:rPr>
      </w:pPr>
      <w:r w:rsidRPr="008944BF">
        <w:rPr>
          <w:rtl/>
          <w:lang w:bidi="fa-IR"/>
        </w:rPr>
        <w:drawing>
          <wp:inline distT="0" distB="0" distL="0" distR="0" wp14:anchorId="77137D0D" wp14:editId="1CA212AC">
            <wp:extent cx="5943600" cy="2573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73655"/>
                    </a:xfrm>
                    <a:prstGeom prst="rect">
                      <a:avLst/>
                    </a:prstGeom>
                  </pic:spPr>
                </pic:pic>
              </a:graphicData>
            </a:graphic>
          </wp:inline>
        </w:drawing>
      </w:r>
    </w:p>
    <w:p w14:paraId="6562F161" w14:textId="0272F150" w:rsidR="00F06C17" w:rsidRDefault="00F06C17" w:rsidP="008944BF">
      <w:pPr>
        <w:pStyle w:val="NormalWeb"/>
        <w:bidi/>
        <w:rPr>
          <w:rtl/>
          <w:lang w:bidi="fa-IR"/>
        </w:rPr>
      </w:pPr>
      <w:r>
        <w:rPr>
          <w:rFonts w:hint="cs"/>
          <w:rtl/>
          <w:lang w:bidi="fa-IR"/>
        </w:rPr>
        <w:t xml:space="preserve"> برای تحلیل سوم، رفتار بازار در قبال قیمت‌گذاری محصولات ارزیابی شد؛ به این صورت که «مقدار کل تقاضا» (</w:t>
      </w:r>
      <w:proofErr w:type="spellStart"/>
      <w:r>
        <w:rPr>
          <w:rStyle w:val="katex-mathml"/>
          <w:rFonts w:eastAsiaTheme="majorEastAsia" w:hint="cs"/>
          <w:lang w:bidi="fa-IR"/>
        </w:rPr>
        <w:t>TotalQuantitySold</w:t>
      </w:r>
      <w:proofErr w:type="spellEnd"/>
      <w:r>
        <w:rPr>
          <w:rFonts w:hint="cs"/>
          <w:rtl/>
          <w:lang w:bidi="fa-IR"/>
        </w:rPr>
        <w:t>) در مقابل «میانگین قیمت واحد» (</w:t>
      </w:r>
      <w:proofErr w:type="spellStart"/>
      <w:r>
        <w:rPr>
          <w:rStyle w:val="mord"/>
          <w:rFonts w:eastAsiaTheme="majorEastAsia" w:hint="cs"/>
          <w:lang w:bidi="fa-IR"/>
        </w:rPr>
        <w:t>UnitPrice</w:t>
      </w:r>
      <w:proofErr w:type="spellEnd"/>
      <w:r>
        <w:rPr>
          <w:rFonts w:hint="cs"/>
          <w:rtl/>
          <w:lang w:bidi="fa-IR"/>
        </w:rPr>
        <w:t xml:space="preserve">) هر محصول قرار گرفت و این </w:t>
      </w:r>
      <w:proofErr w:type="spellStart"/>
      <w:r>
        <w:rPr>
          <w:rStyle w:val="katex-mathml"/>
          <w:rFonts w:eastAsiaTheme="majorEastAsia" w:hint="cs"/>
          <w:lang w:bidi="fa-IR"/>
        </w:rPr>
        <w:t>Axis</w:t>
      </w:r>
      <w:r>
        <w:rPr>
          <w:rStyle w:val="mord"/>
          <w:rFonts w:eastAsiaTheme="majorEastAsia" w:hint="cs"/>
          <w:lang w:bidi="fa-IR"/>
        </w:rPr>
        <w:t>Secondary</w:t>
      </w:r>
      <w:proofErr w:type="spellEnd"/>
      <w:r>
        <w:rPr>
          <w:rFonts w:hint="cs"/>
          <w:rtl/>
          <w:lang w:bidi="fa-IR"/>
        </w:rPr>
        <w:t>) نمایش داده شد تا همبستگی میان قیمت و حجم فروش به وضوح قابل درک باشد.</w:t>
      </w:r>
    </w:p>
    <w:p w14:paraId="10B306E3" w14:textId="77777777" w:rsidR="008944BF" w:rsidRDefault="008944BF" w:rsidP="008944BF">
      <w:pPr>
        <w:pStyle w:val="NormalWeb"/>
        <w:bidi/>
        <w:rPr>
          <w:rtl/>
          <w:lang w:bidi="fa-IR"/>
        </w:rPr>
      </w:pPr>
    </w:p>
    <w:p w14:paraId="3F1BE0FF" w14:textId="006F7A57" w:rsidR="008944BF" w:rsidRDefault="008944BF" w:rsidP="008944BF">
      <w:pPr>
        <w:pStyle w:val="NormalWeb"/>
        <w:bidi/>
        <w:rPr>
          <w:rFonts w:hint="cs"/>
          <w:rtl/>
          <w:lang w:bidi="fa-IR"/>
        </w:rPr>
      </w:pPr>
      <w:r w:rsidRPr="008944BF">
        <w:rPr>
          <w:rtl/>
          <w:lang w:bidi="fa-IR"/>
        </w:rPr>
        <w:drawing>
          <wp:inline distT="0" distB="0" distL="0" distR="0" wp14:anchorId="4FB4FBF9" wp14:editId="3F38B3E4">
            <wp:extent cx="5943600" cy="2536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36825"/>
                    </a:xfrm>
                    <a:prstGeom prst="rect">
                      <a:avLst/>
                    </a:prstGeom>
                  </pic:spPr>
                </pic:pic>
              </a:graphicData>
            </a:graphic>
          </wp:inline>
        </w:drawing>
      </w:r>
    </w:p>
    <w:p w14:paraId="5FCA512B" w14:textId="0D7FE0E1" w:rsidR="00F06C17" w:rsidRDefault="00F06C17" w:rsidP="008944BF">
      <w:pPr>
        <w:pStyle w:val="NormalWeb"/>
        <w:bidi/>
        <w:rPr>
          <w:rtl/>
          <w:lang w:bidi="fa-IR"/>
        </w:rPr>
      </w:pPr>
      <w:r>
        <w:rPr>
          <w:rFonts w:hint="cs"/>
          <w:rtl/>
          <w:lang w:bidi="fa-IR"/>
        </w:rPr>
        <w:t>در ادامه و برای تحلیل چهارم، به منظور برآورد ارزش سرمایه در گردشِ موجود در انبار، ابتدا یک ستون محاسباتی (</w:t>
      </w:r>
      <w:proofErr w:type="spellStart"/>
      <w:r>
        <w:rPr>
          <w:rStyle w:val="katex-mathml"/>
          <w:rFonts w:eastAsiaTheme="majorEastAsia" w:hint="cs"/>
          <w:lang w:bidi="fa-IR"/>
        </w:rPr>
        <w:t>CalculatedColumn</w:t>
      </w:r>
      <w:proofErr w:type="spellEnd"/>
      <w:r>
        <w:rPr>
          <w:rFonts w:hint="cs"/>
          <w:rtl/>
          <w:lang w:bidi="fa-IR"/>
        </w:rPr>
        <w:t>) اختصاصی با فرمول ضرب موجودی در قیمت واحد (</w:t>
      </w:r>
      <w:proofErr w:type="spellStart"/>
      <w:r w:rsidR="008944BF">
        <w:rPr>
          <w:rStyle w:val="mord"/>
          <w:rFonts w:eastAsiaTheme="majorEastAsia"/>
        </w:rPr>
        <w:t>UnitsInStock</w:t>
      </w:r>
      <w:r w:rsidR="008944BF">
        <w:rPr>
          <w:rStyle w:val="mbin"/>
          <w:rFonts w:eastAsiaTheme="majorEastAsia"/>
        </w:rPr>
        <w:t>×</w:t>
      </w:r>
      <w:r w:rsidR="008944BF">
        <w:rPr>
          <w:rStyle w:val="mord"/>
          <w:rFonts w:eastAsiaTheme="majorEastAsia"/>
        </w:rPr>
        <w:t>UnitPrice</w:t>
      </w:r>
      <w:proofErr w:type="spellEnd"/>
      <w:r>
        <w:rPr>
          <w:rFonts w:hint="cs"/>
          <w:rtl/>
          <w:lang w:bidi="fa-IR"/>
        </w:rPr>
        <w:t>) در جدول محصولات ایجاد گردید. سپس ارزش کل موجودی انبار به تفکیک شرکت‌های تأمین‌کننده (</w:t>
      </w:r>
      <w:r>
        <w:rPr>
          <w:rStyle w:val="katex-mathml"/>
          <w:rFonts w:eastAsiaTheme="majorEastAsia" w:hint="cs"/>
          <w:lang w:bidi="fa-IR"/>
        </w:rPr>
        <w:t>Suppliers</w:t>
      </w:r>
      <w:r>
        <w:rPr>
          <w:rFonts w:hint="cs"/>
          <w:rtl/>
          <w:lang w:bidi="fa-IR"/>
        </w:rPr>
        <w:t xml:space="preserve">) محاسبه و در یک نمودار میله‌ای تجمیع شد. </w:t>
      </w:r>
    </w:p>
    <w:p w14:paraId="7DE2D95F" w14:textId="49191596" w:rsidR="008944BF" w:rsidRDefault="008944BF" w:rsidP="008944BF">
      <w:pPr>
        <w:pStyle w:val="NormalWeb"/>
        <w:bidi/>
        <w:rPr>
          <w:rtl/>
          <w:lang w:bidi="fa-IR"/>
        </w:rPr>
      </w:pPr>
      <w:r w:rsidRPr="008944BF">
        <w:rPr>
          <w:rtl/>
          <w:lang w:bidi="fa-IR"/>
        </w:rPr>
        <w:drawing>
          <wp:inline distT="0" distB="0" distL="0" distR="0" wp14:anchorId="625DE4C5" wp14:editId="5104DF9E">
            <wp:extent cx="5943600" cy="29483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48305"/>
                    </a:xfrm>
                    <a:prstGeom prst="rect">
                      <a:avLst/>
                    </a:prstGeom>
                  </pic:spPr>
                </pic:pic>
              </a:graphicData>
            </a:graphic>
          </wp:inline>
        </w:drawing>
      </w:r>
    </w:p>
    <w:p w14:paraId="1FD2F241" w14:textId="5DE3F6CC" w:rsidR="00F06C17" w:rsidRDefault="00F06C17" w:rsidP="008944BF">
      <w:pPr>
        <w:pStyle w:val="NormalWeb"/>
        <w:bidi/>
        <w:rPr>
          <w:rtl/>
          <w:lang w:bidi="fa-IR"/>
        </w:rPr>
      </w:pPr>
      <w:r>
        <w:rPr>
          <w:rFonts w:hint="cs"/>
          <w:rtl/>
          <w:lang w:bidi="fa-IR"/>
        </w:rPr>
        <w:t xml:space="preserve">برای تحلیل پنجم که به بررسی درآمد کل شرکت اختصاص داشت، با توجه به ساختار داده‌ها، ارتباط استانداردی میان جدول </w:t>
      </w:r>
      <w:proofErr w:type="spellStart"/>
      <w:r>
        <w:rPr>
          <w:rStyle w:val="katex-mathml"/>
          <w:rFonts w:eastAsiaTheme="majorEastAsia" w:hint="cs"/>
          <w:lang w:bidi="fa-IR"/>
        </w:rPr>
        <w:t>CleanOrderDetails</w:t>
      </w:r>
      <w:proofErr w:type="spellEnd"/>
      <w:r>
        <w:rPr>
          <w:rFonts w:hint="cs"/>
          <w:rtl/>
          <w:lang w:bidi="fa-IR"/>
        </w:rPr>
        <w:t xml:space="preserve"> و جدول </w:t>
      </w:r>
      <w:r>
        <w:rPr>
          <w:rStyle w:val="katex-mathml"/>
          <w:rFonts w:eastAsiaTheme="majorEastAsia" w:hint="cs"/>
          <w:lang w:bidi="fa-IR"/>
        </w:rPr>
        <w:t>Orders</w:t>
      </w:r>
      <w:r>
        <w:rPr>
          <w:rFonts w:hint="cs"/>
          <w:rtl/>
          <w:lang w:bidi="fa-IR"/>
        </w:rPr>
        <w:t xml:space="preserve"> از طریق شناسه </w:t>
      </w:r>
      <w:proofErr w:type="spellStart"/>
      <w:r>
        <w:rPr>
          <w:rStyle w:val="katex-mathml"/>
          <w:rFonts w:eastAsiaTheme="majorEastAsia" w:hint="cs"/>
          <w:lang w:bidi="fa-IR"/>
        </w:rPr>
        <w:t>OrderID</w:t>
      </w:r>
      <w:proofErr w:type="spellEnd"/>
      <w:r>
        <w:rPr>
          <w:rFonts w:hint="cs"/>
          <w:rtl/>
          <w:lang w:bidi="fa-IR"/>
        </w:rPr>
        <w:t xml:space="preserve"> برقرار گردید. مجموع هزینه سفارشات (</w:t>
      </w:r>
      <w:proofErr w:type="spellStart"/>
      <w:r>
        <w:rPr>
          <w:rStyle w:val="katex-mathml"/>
          <w:rFonts w:eastAsiaTheme="majorEastAsia" w:hint="cs"/>
          <w:lang w:bidi="fa-IR"/>
        </w:rPr>
        <w:t>TotalCostOfOrder</w:t>
      </w:r>
      <w:proofErr w:type="spellEnd"/>
      <w:r>
        <w:rPr>
          <w:rFonts w:hint="cs"/>
          <w:rtl/>
          <w:lang w:bidi="fa-IR"/>
        </w:rPr>
        <w:t>) به عنوان شاخص درآمد کل به تفکیک کشورهای مقصد (</w:t>
      </w:r>
      <w:proofErr w:type="spellStart"/>
      <w:r>
        <w:rPr>
          <w:rStyle w:val="katex-mathml"/>
          <w:rFonts w:eastAsiaTheme="majorEastAsia" w:hint="cs"/>
          <w:lang w:bidi="fa-IR"/>
        </w:rPr>
        <w:t>ShipCountry</w:t>
      </w:r>
      <w:proofErr w:type="spellEnd"/>
      <w:r>
        <w:rPr>
          <w:rFonts w:hint="cs"/>
          <w:rtl/>
          <w:lang w:bidi="fa-IR"/>
        </w:rPr>
        <w:t>) محاسبه و مصورسازی شد. به منظور ارتقای سطح کارایی و تعاملی کردن این گزارش پایانی، ابزار فیلتر گرافیکی (</w:t>
      </w:r>
      <w:r>
        <w:rPr>
          <w:rStyle w:val="mord"/>
          <w:rFonts w:eastAsiaTheme="majorEastAsia" w:hint="cs"/>
          <w:lang w:bidi="fa-IR"/>
        </w:rPr>
        <w:t>Slicer</w:t>
      </w:r>
      <w:r>
        <w:rPr>
          <w:rFonts w:hint="cs"/>
          <w:rtl/>
          <w:lang w:bidi="fa-IR"/>
        </w:rPr>
        <w:t>) بر روی فیلد تاریخ سفارش (</w:t>
      </w:r>
      <w:proofErr w:type="spellStart"/>
      <w:r>
        <w:rPr>
          <w:rStyle w:val="katex-mathml"/>
          <w:rFonts w:eastAsiaTheme="majorEastAsia" w:hint="cs"/>
          <w:lang w:bidi="fa-IR"/>
        </w:rPr>
        <w:t>OrderDate</w:t>
      </w:r>
      <w:proofErr w:type="spellEnd"/>
      <w:r>
        <w:rPr>
          <w:rFonts w:hint="cs"/>
          <w:rtl/>
          <w:lang w:bidi="fa-IR"/>
        </w:rPr>
        <w:t>) پیاده‌سازی گردید تا امکان پایش دینامیک روند درآمدهای جغرافیایی در بازه‌های زمانی مختلف جهت تسهیل تصمیم‌گیری‌های کلان مدیریتی فراهم گردد.</w:t>
      </w:r>
    </w:p>
    <w:p w14:paraId="43039E3F" w14:textId="3DD4527A" w:rsidR="008944BF" w:rsidRDefault="008944BF" w:rsidP="008944BF">
      <w:pPr>
        <w:pStyle w:val="NormalWeb"/>
        <w:bidi/>
        <w:rPr>
          <w:rFonts w:hint="cs"/>
          <w:rtl/>
          <w:lang w:bidi="fa-IR"/>
        </w:rPr>
      </w:pPr>
      <w:r w:rsidRPr="008944BF">
        <w:rPr>
          <w:rtl/>
          <w:lang w:bidi="fa-IR"/>
        </w:rPr>
        <w:drawing>
          <wp:inline distT="0" distB="0" distL="0" distR="0" wp14:anchorId="156CE665" wp14:editId="6484D3C2">
            <wp:extent cx="5943600" cy="2479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79675"/>
                    </a:xfrm>
                    <a:prstGeom prst="rect">
                      <a:avLst/>
                    </a:prstGeom>
                  </pic:spPr>
                </pic:pic>
              </a:graphicData>
            </a:graphic>
          </wp:inline>
        </w:drawing>
      </w:r>
      <w:bookmarkStart w:id="0" w:name="_GoBack"/>
      <w:bookmarkEnd w:id="0"/>
    </w:p>
    <w:p w14:paraId="19FF84AA" w14:textId="77777777" w:rsidR="00F06C17" w:rsidRDefault="00F06C17" w:rsidP="00F06C17">
      <w:pPr>
        <w:bidi/>
        <w:rPr>
          <w:rtl/>
        </w:rPr>
      </w:pPr>
    </w:p>
    <w:p w14:paraId="5AA78F41" w14:textId="77777777" w:rsidR="00F06C17" w:rsidRDefault="00F06C17" w:rsidP="00F06C17">
      <w:pPr>
        <w:bidi/>
        <w:rPr>
          <w:rtl/>
          <w:lang w:bidi="fa-IR"/>
        </w:rPr>
      </w:pPr>
    </w:p>
    <w:p w14:paraId="692F9BAF" w14:textId="77777777" w:rsidR="00F06C17" w:rsidRDefault="00F06C17" w:rsidP="00F06C17">
      <w:pPr>
        <w:bidi/>
        <w:rPr>
          <w:rtl/>
          <w:lang w:bidi="fa-IR"/>
        </w:rPr>
      </w:pPr>
    </w:p>
    <w:p w14:paraId="62747811" w14:textId="77777777" w:rsidR="00F06C17" w:rsidRDefault="00F06C17" w:rsidP="00F06C17">
      <w:pPr>
        <w:bidi/>
        <w:rPr>
          <w:rtl/>
          <w:lang w:bidi="fa-IR"/>
        </w:rPr>
      </w:pPr>
    </w:p>
    <w:p w14:paraId="292F08CE" w14:textId="77777777" w:rsidR="00F06C17" w:rsidRDefault="00F06C17" w:rsidP="00F06C17">
      <w:pPr>
        <w:bidi/>
        <w:rPr>
          <w:rtl/>
          <w:lang w:bidi="fa-IR"/>
        </w:rPr>
      </w:pPr>
    </w:p>
    <w:p w14:paraId="0C719E81" w14:textId="77777777" w:rsidR="00F06C17" w:rsidRDefault="00F06C17" w:rsidP="00F06C17">
      <w:pPr>
        <w:bidi/>
        <w:rPr>
          <w:rtl/>
          <w:lang w:bidi="fa-IR"/>
        </w:rPr>
      </w:pPr>
    </w:p>
    <w:p w14:paraId="7DDA8244" w14:textId="77777777" w:rsidR="00F06C17" w:rsidRPr="0042606B" w:rsidRDefault="00F06C17" w:rsidP="00F06C17">
      <w:pPr>
        <w:bidi/>
        <w:rPr>
          <w:rtl/>
          <w:lang w:bidi="fa-IR"/>
        </w:rPr>
      </w:pPr>
    </w:p>
    <w:sectPr w:rsidR="00F06C17" w:rsidRPr="004260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41C"/>
    <w:rsid w:val="0042606B"/>
    <w:rsid w:val="005248DE"/>
    <w:rsid w:val="008944BF"/>
    <w:rsid w:val="00AE0491"/>
    <w:rsid w:val="00AF6DE8"/>
    <w:rsid w:val="00F06C17"/>
    <w:rsid w:val="00F254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0C64"/>
  <w15:chartTrackingRefBased/>
  <w15:docId w15:val="{36AAADB8-0649-4529-A3DF-15DA68C20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25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41C"/>
    <w:rPr>
      <w:rFonts w:eastAsiaTheme="majorEastAsia" w:cstheme="majorBidi"/>
      <w:color w:val="272727" w:themeColor="text1" w:themeTint="D8"/>
    </w:rPr>
  </w:style>
  <w:style w:type="paragraph" w:styleId="Title">
    <w:name w:val="Title"/>
    <w:basedOn w:val="Normal"/>
    <w:next w:val="Normal"/>
    <w:link w:val="TitleChar"/>
    <w:uiPriority w:val="10"/>
    <w:qFormat/>
    <w:rsid w:val="00F25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41C"/>
    <w:pPr>
      <w:spacing w:before="160"/>
      <w:jc w:val="center"/>
    </w:pPr>
    <w:rPr>
      <w:i/>
      <w:iCs/>
      <w:color w:val="404040" w:themeColor="text1" w:themeTint="BF"/>
    </w:rPr>
  </w:style>
  <w:style w:type="character" w:customStyle="1" w:styleId="QuoteChar">
    <w:name w:val="Quote Char"/>
    <w:basedOn w:val="DefaultParagraphFont"/>
    <w:link w:val="Quote"/>
    <w:uiPriority w:val="29"/>
    <w:rsid w:val="00F2541C"/>
    <w:rPr>
      <w:i/>
      <w:iCs/>
      <w:color w:val="404040" w:themeColor="text1" w:themeTint="BF"/>
    </w:rPr>
  </w:style>
  <w:style w:type="paragraph" w:styleId="ListParagraph">
    <w:name w:val="List Paragraph"/>
    <w:basedOn w:val="Normal"/>
    <w:uiPriority w:val="34"/>
    <w:qFormat/>
    <w:rsid w:val="00F2541C"/>
    <w:pPr>
      <w:ind w:left="720"/>
      <w:contextualSpacing/>
    </w:pPr>
  </w:style>
  <w:style w:type="character" w:styleId="IntenseEmphasis">
    <w:name w:val="Intense Emphasis"/>
    <w:basedOn w:val="DefaultParagraphFont"/>
    <w:uiPriority w:val="21"/>
    <w:qFormat/>
    <w:rsid w:val="00F2541C"/>
    <w:rPr>
      <w:i/>
      <w:iCs/>
      <w:color w:val="0F4761" w:themeColor="accent1" w:themeShade="BF"/>
    </w:rPr>
  </w:style>
  <w:style w:type="paragraph" w:styleId="IntenseQuote">
    <w:name w:val="Intense Quote"/>
    <w:basedOn w:val="Normal"/>
    <w:next w:val="Normal"/>
    <w:link w:val="IntenseQuoteChar"/>
    <w:uiPriority w:val="30"/>
    <w:qFormat/>
    <w:rsid w:val="00F25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41C"/>
    <w:rPr>
      <w:i/>
      <w:iCs/>
      <w:color w:val="0F4761" w:themeColor="accent1" w:themeShade="BF"/>
    </w:rPr>
  </w:style>
  <w:style w:type="character" w:styleId="IntenseReference">
    <w:name w:val="Intense Reference"/>
    <w:basedOn w:val="DefaultParagraphFont"/>
    <w:uiPriority w:val="32"/>
    <w:qFormat/>
    <w:rsid w:val="00F2541C"/>
    <w:rPr>
      <w:b/>
      <w:bCs/>
      <w:smallCaps/>
      <w:color w:val="0F4761" w:themeColor="accent1" w:themeShade="BF"/>
      <w:spacing w:val="5"/>
    </w:rPr>
  </w:style>
  <w:style w:type="paragraph" w:styleId="NormalWeb">
    <w:name w:val="Normal (Web)"/>
    <w:basedOn w:val="Normal"/>
    <w:uiPriority w:val="99"/>
    <w:semiHidden/>
    <w:unhideWhenUsed/>
    <w:rsid w:val="00F06C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F06C17"/>
  </w:style>
  <w:style w:type="character" w:customStyle="1" w:styleId="mord">
    <w:name w:val="mord"/>
    <w:basedOn w:val="DefaultParagraphFont"/>
    <w:rsid w:val="00F06C17"/>
  </w:style>
  <w:style w:type="character" w:customStyle="1" w:styleId="mbin">
    <w:name w:val="mbin"/>
    <w:basedOn w:val="DefaultParagraphFont"/>
    <w:rsid w:val="00F06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10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amirali sh</dc:creator>
  <cp:keywords/>
  <dc:description/>
  <cp:lastModifiedBy>Microsoft account</cp:lastModifiedBy>
  <cp:revision>2</cp:revision>
  <dcterms:created xsi:type="dcterms:W3CDTF">2026-06-27T19:47:00Z</dcterms:created>
  <dcterms:modified xsi:type="dcterms:W3CDTF">2026-06-29T21:21:00Z</dcterms:modified>
</cp:coreProperties>
</file>