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libri" w:hAnsi="Calibri"/>
          <w:b/>
          <w:i w:val="0"/>
          <w:color w:val="6B6B66"/>
          <w:sz w:val="18"/>
        </w:rPr>
        <w:t>AA PERFORMANCE · LEARNING SERIES</w:t>
      </w:r>
    </w:p>
    <w:p>
      <w:pPr>
        <w:spacing w:before="40" w:after="40" w:line="240" w:lineRule="auto"/>
      </w:pPr>
      <w:r>
        <w:rPr>
          <w:rFonts w:ascii="Calibri" w:hAnsi="Calibri"/>
          <w:b/>
          <w:i w:val="0"/>
          <w:color w:val="2A5C45"/>
          <w:sz w:val="44"/>
        </w:rPr>
        <w:t>Returning the Cutting Athlete</w:t>
      </w:r>
    </w:p>
    <w:p>
      <w:pPr>
        <w:spacing w:before="0" w:after="80" w:line="240" w:lineRule="auto"/>
      </w:pPr>
      <w:r>
        <w:rPr>
          <w:rFonts w:ascii="Calibri" w:hAnsi="Calibri"/>
          <w:b/>
          <w:i w:val="0"/>
          <w:color w:val="C4522A"/>
          <w:sz w:val="28"/>
        </w:rPr>
        <w:t>Partial ACL Tear with Meniscus Involvement — The Non-Surgical (Coper) Pathway</w:t>
      </w:r>
    </w:p>
    <w:p>
      <w:pPr>
        <w:spacing w:before="0" w:after="120" w:line="269" w:lineRule="auto"/>
      </w:pPr>
      <w:r>
        <w:rPr>
          <w:rFonts w:ascii="Calibri" w:hAnsi="Calibri"/>
          <w:b w:val="0"/>
          <w:i/>
          <w:color w:val="6B6B66"/>
          <w:sz w:val="22"/>
        </w:rPr>
        <w:t>A mentor's walkthrough for the developing coach: every step from the first phone call to the first match back — and the why behind each one.</w:t>
      </w:r>
    </w:p>
    <w:p>
      <w:pPr>
        <w:spacing w:before="40" w:after="200" w:line="240" w:lineRule="auto"/>
        <w:pBdr>
          <w:bottom w:val="single" w:sz="8" w:space="4" w:color="C4522A"/>
        </w:pBdr>
      </w:pPr>
    </w:p>
    <w:p>
      <w:pPr>
        <w:pStyle w:val="Heading1"/>
        <w:spacing w:before="320" w:after="100" w:line="240" w:lineRule="auto"/>
      </w:pPr>
      <w:r>
        <w:rPr>
          <w:rFonts w:ascii="Calibri" w:hAnsi="Calibri"/>
          <w:b/>
          <w:i w:val="0"/>
          <w:color w:val="C4522A"/>
          <w:sz w:val="30"/>
        </w:rPr>
        <w:t>How to Use This Document</w:t>
      </w:r>
    </w:p>
    <w:p>
      <w:pPr>
        <w:spacing w:before="0" w:after="160" w:line="269" w:lineRule="auto"/>
      </w:pPr>
      <w:r>
        <w:rPr>
          <w:rFonts w:ascii="Calibri" w:hAnsi="Calibri"/>
          <w:b w:val="0"/>
          <w:i w:val="0"/>
          <w:color w:val="2B2B28"/>
          <w:sz w:val="22"/>
        </w:rPr>
        <w:t>This is a method document, not a case study. It teaches the complete process for taking a tennis or padel athlete with a partial ACL tear and a stable, non-surgical meniscus injury — a knee the surgeon has chosen to leave alone — from diagnosis back to competition, documented to the standard the UKSCA expects. Read it to learn the reasoning. Then, when a real athlete with this presentation walks in, run the process on him and record his data.</w:t>
      </w:r>
    </w:p>
    <w:p>
      <w:pPr>
        <w:spacing w:before="0" w:after="160" w:line="269" w:lineRule="auto"/>
      </w:pPr>
      <w:r>
        <w:rPr>
          <w:rFonts w:ascii="Calibri" w:hAnsi="Calibri"/>
          <w:b/>
          <w:i w:val="0"/>
          <w:color w:val="2B2B28"/>
          <w:sz w:val="22"/>
        </w:rPr>
        <w:t>One thing before anything else: the case study is the athlete, not the template. UKSCA assessors fail theoretical work and “too good to be true” results, and experienced employers can smell both. This document makes you ready; the real athlete, with his real bumpy data, makes the case. A programme with a swollen week five and a smart response to it reads as more credible than a perfect curve — because assessors have coached, and they know perfect curves don’t exist.</w:t>
      </w:r>
    </w:p>
    <w:p>
      <w:pPr>
        <w:spacing w:before="0" w:after="160" w:line="269" w:lineRule="auto"/>
      </w:pPr>
      <w:r>
        <w:rPr>
          <w:rFonts w:ascii="Calibri" w:hAnsi="Calibri"/>
          <w:b w:val="0"/>
          <w:i w:val="0"/>
          <w:color w:val="2B2B28"/>
          <w:sz w:val="22"/>
        </w:rPr>
        <w:t>The arc you are about to learn, in one line: confirm and screen → understand the tissue → measure symmetry and control → load in gated phases → monitor the swelling → return by criteria → write it up. Seven moves. Everything else is detail inside those moves. And one idea runs underneath all seven: you are not protecting a fragile knee, you are auditioning a coper — building a knee that controls itself well enough not to need the ligament it’s missing. The criteria are the audition.</w:t>
      </w:r>
    </w:p>
    <w:p>
      <w:pPr>
        <w:pStyle w:val="Heading1"/>
        <w:spacing w:before="320" w:after="100" w:line="240" w:lineRule="auto"/>
      </w:pPr>
      <w:r>
        <w:rPr>
          <w:rFonts w:ascii="Calibri" w:hAnsi="Calibri"/>
          <w:b/>
          <w:i w:val="0"/>
          <w:color w:val="C4522A"/>
          <w:sz w:val="30"/>
        </w:rPr>
        <w:t>Step 0 — Before You Write a Single Rep</w:t>
      </w:r>
    </w:p>
    <w:p>
      <w:pPr>
        <w:spacing w:before="0" w:after="160" w:line="269" w:lineRule="auto"/>
      </w:pPr>
      <w:r>
        <w:rPr>
          <w:rFonts w:ascii="Calibri" w:hAnsi="Calibri"/>
          <w:b w:val="0"/>
          <w:i w:val="0"/>
          <w:color w:val="2B2B28"/>
          <w:sz w:val="22"/>
        </w:rPr>
        <w:t>Start with what you are not. You are not the diagnostician, and you are not the clinician managing the medical pathway. The physiotherapist or orthopaedic surgeon owns the diagnosis, the healing timeline, the contraindications, and one decision that sits at the centre of this whole case: whether this knee is a genuine candidate for non-surgical management, or whether it is heading for reconstruction. You own the physical preparation that happens around and after that. We hold this line for three reasons: it is a legal and ethical boundary that protects you and the athlete; it is a competency the UKSCA explicitly assesses (evidence of collaboration with medical staff); and — the reason that actually matters day to day — the programme is simply better when the person who read the MRI is talking to the person writing the loading.</w:t>
      </w:r>
    </w:p>
    <w:p>
      <w:pPr>
        <w:spacing w:before="0" w:after="160" w:line="269" w:lineRule="auto"/>
      </w:pPr>
      <w:r>
        <w:rPr>
          <w:rFonts w:ascii="Calibri" w:hAnsi="Calibri"/>
          <w:b w:val="0"/>
          <w:i w:val="0"/>
          <w:color w:val="2B2B28"/>
          <w:sz w:val="22"/>
        </w:rPr>
        <w:t>So in week zero, before any programming, you secure three things:</w:t>
      </w:r>
    </w:p>
    <w:p>
      <w:pPr>
        <w:pStyle w:val="ListBullet"/>
        <w:spacing w:before="0" w:after="80" w:line="269" w:lineRule="auto"/>
      </w:pPr>
      <w:r>
        <w:rPr>
          <w:rFonts w:ascii="Calibri" w:hAnsi="Calibri"/>
          <w:b/>
          <w:i w:val="0"/>
          <w:color w:val="2B2B28"/>
          <w:sz w:val="22"/>
        </w:rPr>
        <w:t>Medical confirmation in writing</w:t>
      </w:r>
      <w:r>
        <w:rPr>
          <w:rFonts w:ascii="Calibri" w:hAnsi="Calibri"/>
          <w:b w:val="0"/>
          <w:i w:val="0"/>
          <w:color w:val="2B2B28"/>
          <w:sz w:val="22"/>
        </w:rPr>
        <w:t xml:space="preserve"> — the diagnosis (partial versus complete ACL tear; which meniscus and where; crucially whether the tear is in the peripheral, blood-supplied zone or the inner, avascular one), the current contraindications, and the surgeon’s view on the non-surgical pathway, from the treating clinician — not relayed through the athlete. “It’s only a partial tear” in an athlete’s mouth can mean anything from a minor sprain to a knee one bad cut from a full rupture.</w:t>
      </w:r>
    </w:p>
    <w:p>
      <w:pPr>
        <w:pStyle w:val="ListBullet"/>
        <w:spacing w:before="0" w:after="80" w:line="269" w:lineRule="auto"/>
      </w:pPr>
      <w:r>
        <w:rPr>
          <w:rFonts w:ascii="Calibri" w:hAnsi="Calibri"/>
          <w:b/>
          <w:i w:val="0"/>
          <w:color w:val="2B2B28"/>
          <w:sz w:val="22"/>
        </w:rPr>
        <w:t>Athlete consent, also in writing</w:t>
      </w:r>
      <w:r>
        <w:rPr>
          <w:rFonts w:ascii="Calibri" w:hAnsi="Calibri"/>
          <w:b w:val="0"/>
          <w:i w:val="0"/>
          <w:color w:val="2B2B28"/>
          <w:sz w:val="22"/>
        </w:rPr>
        <w:t xml:space="preserve"> — permission to record his data, share it with the medical team, and later use the anonymised case for your UKSCA submission and professional portfolio. Asking now is easy; asking in month four, after the fact, is awkward and looks like an afterthought.</w:t>
      </w:r>
    </w:p>
    <w:p>
      <w:pPr>
        <w:pStyle w:val="ListBullet"/>
        <w:spacing w:before="0" w:after="80" w:line="269" w:lineRule="auto"/>
      </w:pPr>
      <w:r>
        <w:rPr>
          <w:rFonts w:ascii="Calibri" w:hAnsi="Calibri"/>
          <w:b/>
          <w:i w:val="0"/>
          <w:color w:val="2B2B28"/>
          <w:sz w:val="22"/>
        </w:rPr>
        <w:t>Your documentation system, open on day zero</w:t>
      </w:r>
      <w:r>
        <w:rPr>
          <w:rFonts w:ascii="Calibri" w:hAnsi="Calibri"/>
          <w:b w:val="0"/>
          <w:i w:val="0"/>
          <w:color w:val="2B2B28"/>
          <w:sz w:val="22"/>
        </w:rPr>
        <w:t xml:space="preserve"> — baseline forms ready, weekly log built, collaboration log started. We document from the first contact because the UKSCA requires completed, evidenced work — and because memory is a liar. A case reconstructed from memory in month four reads exactly like what it is.</w:t>
      </w:r>
    </w:p>
    <w:p>
      <w:pPr>
        <w:pStyle w:val="Heading2"/>
        <w:spacing w:before="220" w:after="60" w:line="240" w:lineRule="auto"/>
      </w:pPr>
      <w:r>
        <w:rPr>
          <w:rFonts w:ascii="Calibri" w:hAnsi="Calibri"/>
          <w:b/>
          <w:i w:val="0"/>
          <w:color w:val="2A5C45"/>
          <w:sz w:val="25"/>
        </w:rPr>
        <w:t>The six questions you ask the physio</w:t>
      </w:r>
    </w:p>
    <w:p>
      <w:pPr>
        <w:spacing w:before="0" w:after="160" w:line="269" w:lineRule="auto"/>
      </w:pPr>
      <w:r>
        <w:rPr>
          <w:rFonts w:ascii="Calibri" w:hAnsi="Calibri"/>
          <w:b w:val="0"/>
          <w:i w:val="0"/>
          <w:color w:val="2B2B28"/>
          <w:sz w:val="22"/>
        </w:rPr>
        <w:t>This first conversation edits your entire programme, so treat it like an assessment. Ask:</w:t>
      </w:r>
    </w:p>
    <w:p>
      <w:pPr>
        <w:pStyle w:val="ListBullet"/>
        <w:spacing w:before="0" w:after="80" w:line="269" w:lineRule="auto"/>
      </w:pPr>
      <w:r>
        <w:rPr>
          <w:rFonts w:ascii="Calibri" w:hAnsi="Calibri"/>
          <w:b/>
          <w:i w:val="0"/>
          <w:color w:val="2B2B28"/>
          <w:sz w:val="22"/>
        </w:rPr>
        <w:t>What exactly is the diagnosis and grade — and is this knee a coper candidate?</w:t>
      </w:r>
      <w:r>
        <w:rPr>
          <w:rFonts w:ascii="Calibri" w:hAnsi="Calibri"/>
          <w:b w:val="0"/>
          <w:i w:val="0"/>
          <w:color w:val="2B2B28"/>
          <w:sz w:val="22"/>
        </w:rPr>
        <w:t xml:space="preserve"> A partial ACL tear that stays stable is a different project from one that gives way; the meniscus tear’s location decides how carefully you treat deep flexion. Ask whether formal coper screening has been done, or whether you can build toward it. This answer is the foundation of the plan.</w:t>
      </w:r>
    </w:p>
    <w:p>
      <w:pPr>
        <w:pStyle w:val="ListBullet"/>
        <w:spacing w:before="0" w:after="80" w:line="269" w:lineRule="auto"/>
      </w:pPr>
      <w:r>
        <w:rPr>
          <w:rFonts w:ascii="Calibri" w:hAnsi="Calibri"/>
          <w:b/>
          <w:i w:val="0"/>
          <w:color w:val="2B2B28"/>
          <w:sz w:val="22"/>
        </w:rPr>
        <w:t>Which positions and loads are off-limits right now, and until when?</w:t>
      </w:r>
      <w:r>
        <w:rPr>
          <w:rFonts w:ascii="Calibri" w:hAnsi="Calibri"/>
          <w:b w:val="0"/>
          <w:i w:val="0"/>
          <w:color w:val="2B2B28"/>
          <w:sz w:val="22"/>
        </w:rPr>
        <w:t xml:space="preserve"> Early on this usually means deep loaded flexion under rotation (where the back of the medial meniscus lives) and any unplanned pivoting. This becomes your exercise exclusion list. You are not guessing; you are transcribing.</w:t>
      </w:r>
    </w:p>
    <w:p>
      <w:pPr>
        <w:pStyle w:val="ListBullet"/>
        <w:spacing w:before="0" w:after="80" w:line="269" w:lineRule="auto"/>
      </w:pPr>
      <w:r>
        <w:rPr>
          <w:rFonts w:ascii="Calibri" w:hAnsi="Calibri"/>
          <w:b/>
          <w:i w:val="0"/>
          <w:color w:val="2B2B28"/>
          <w:sz w:val="22"/>
        </w:rPr>
        <w:t>What are your phase criteria and rough timeline?</w:t>
      </w:r>
      <w:r>
        <w:rPr>
          <w:rFonts w:ascii="Calibri" w:hAnsi="Calibri"/>
          <w:b w:val="0"/>
          <w:i w:val="0"/>
          <w:color w:val="2B2B28"/>
          <w:sz w:val="22"/>
        </w:rPr>
        <w:t xml:space="preserve"> Their rehab phases and your training phases need to interlock, not compete. You are building one athlete, not running two parallel programmes.</w:t>
      </w:r>
    </w:p>
    <w:p>
      <w:pPr>
        <w:pStyle w:val="ListBullet"/>
        <w:spacing w:before="0" w:after="80" w:line="269" w:lineRule="auto"/>
      </w:pPr>
      <w:r>
        <w:rPr>
          <w:rFonts w:ascii="Calibri" w:hAnsi="Calibri"/>
          <w:b/>
          <w:i w:val="0"/>
          <w:color w:val="2B2B28"/>
          <w:sz w:val="22"/>
        </w:rPr>
        <w:t>What symptoms send him straight back to you?</w:t>
      </w:r>
      <w:r>
        <w:rPr>
          <w:rFonts w:ascii="Calibri" w:hAnsi="Calibri"/>
          <w:b w:val="0"/>
          <w:i w:val="0"/>
          <w:color w:val="2B2B28"/>
          <w:sz w:val="22"/>
        </w:rPr>
        <w:t xml:space="preserve"> Three sit at the top of this list — a giving-way episode, a new effusion (swelling), and any locking or blocked extension. These become the stop conditions you watch for in every session.</w:t>
      </w:r>
    </w:p>
    <w:p>
      <w:pPr>
        <w:pStyle w:val="ListBullet"/>
        <w:spacing w:before="0" w:after="80" w:line="269" w:lineRule="auto"/>
      </w:pPr>
      <w:r>
        <w:rPr>
          <w:rFonts w:ascii="Calibri" w:hAnsi="Calibri"/>
          <w:b/>
          <w:i w:val="0"/>
          <w:color w:val="2B2B28"/>
          <w:sz w:val="22"/>
        </w:rPr>
        <w:t>What is he doing with you each week, and on court?</w:t>
      </w:r>
      <w:r>
        <w:rPr>
          <w:rFonts w:ascii="Calibri" w:hAnsi="Calibri"/>
          <w:b w:val="0"/>
          <w:i w:val="0"/>
          <w:color w:val="2B2B28"/>
          <w:sz w:val="22"/>
        </w:rPr>
        <w:t xml:space="preserve"> So your loading, his rehab, and his match exposure sum to a sensible total rather than three inputs quietly overloading one knee.</w:t>
      </w:r>
    </w:p>
    <w:p>
      <w:pPr>
        <w:pStyle w:val="ListBullet"/>
        <w:spacing w:before="0" w:after="80" w:line="269" w:lineRule="auto"/>
      </w:pPr>
      <w:r>
        <w:rPr>
          <w:rFonts w:ascii="Calibri" w:hAnsi="Calibri"/>
          <w:b/>
          <w:i w:val="0"/>
          <w:color w:val="2B2B28"/>
          <w:sz w:val="22"/>
        </w:rPr>
        <w:t>How do you want to communicate, and how often?</w:t>
      </w:r>
      <w:r>
        <w:rPr>
          <w:rFonts w:ascii="Calibri" w:hAnsi="Calibri"/>
          <w:b w:val="0"/>
          <w:i w:val="0"/>
          <w:color w:val="2B2B28"/>
          <w:sz w:val="22"/>
        </w:rPr>
        <w:t xml:space="preserve"> Then log every exchange with a date. That log is the collaboration evidence the UKSCA asks for — and the professional habit that gets you hired into performance teams.</w:t>
      </w:r>
    </w:p>
    <w:p>
      <w:pPr>
        <w:spacing w:before="0" w:after="160" w:line="269" w:lineRule="auto"/>
      </w:pPr>
      <w:r>
        <w:rPr>
          <w:rFonts w:ascii="Calibri" w:hAnsi="Calibri"/>
          <w:b w:val="0"/>
          <w:i w:val="0"/>
          <w:color w:val="2B2B28"/>
          <w:sz w:val="22"/>
        </w:rPr>
        <w:t>And the question specific to this case, asked plainly: at what point do we stop and revisit surgery? Usually the answer is a recurrent giving-way episode, a locking meniscus, or a failure to progress against criteria. You are not being pessimistic. You are agreeing the tripwire in advance, so that if it trips you act on a plan instead of an argument.</w:t>
      </w:r>
    </w:p>
    <w:p>
      <w:pPr>
        <w:pStyle w:val="Heading2"/>
        <w:spacing w:before="220" w:after="60" w:line="240" w:lineRule="auto"/>
      </w:pPr>
      <w:r>
        <w:rPr>
          <w:rFonts w:ascii="Calibri" w:hAnsi="Calibri"/>
          <w:b/>
          <w:i w:val="0"/>
          <w:color w:val="2A5C45"/>
          <w:sz w:val="25"/>
        </w:rPr>
        <w:t>The shared-care agreement — govern the collaboration, don’t just log it</w:t>
      </w:r>
    </w:p>
    <w:p>
      <w:pPr>
        <w:spacing w:before="0" w:after="160" w:line="269" w:lineRule="auto"/>
      </w:pPr>
      <w:r>
        <w:rPr>
          <w:rFonts w:ascii="Calibri" w:hAnsi="Calibri"/>
          <w:b w:val="0"/>
          <w:i w:val="0"/>
          <w:color w:val="2B2B28"/>
          <w:sz w:val="22"/>
        </w:rPr>
        <w:t>A collaboration log proves you talked. It does not prevent the one thing most likely to hurt this athlete: you and the physio loading the same knee, each blind to the other’s dose. So before any programming, the two of you agree — in writing — a shared-care agreement that settles four things. Who owns what: his rehab exposures are the physio’s, his strength and return-to-court loading are yours, the joint is shared. What the combined weekly ceiling is: rehab plus your sessions plus court, summed — because the knee cannot tell which professional’s load it is absorbing. What the shared stop-signal is: one traffic-light both of you read identically, so “amber” means the same thing in the clinic and the gym, and a giving-way or a fresh effusion means the same “stop” to both. And who holds the veto: the physio does, on any progression through a gate — you propose, they can hold. Form 9 is that agreement.</w:t>
      </w:r>
    </w:p>
    <w:p>
      <w:pPr>
        <w:spacing w:before="0" w:after="160" w:line="269" w:lineRule="auto"/>
      </w:pPr>
      <w:r>
        <w:rPr>
          <w:rFonts w:ascii="Calibri" w:hAnsi="Calibri"/>
          <w:b w:val="0"/>
          <w:i w:val="0"/>
          <w:color w:val="2B2B28"/>
          <w:sz w:val="22"/>
        </w:rPr>
        <w:t>Why this matters especially here: a conservatively managed ACL is a bet on the knee’s control, and two professionals each adding “just a little more” in the same week is how you lose the bet without either of you seeing it coming. The agreement makes the total visible — which is exactly the collaboration competency an assessor is scoring, and exactly the safety net the athlete needs.</w:t>
      </w:r>
    </w:p>
    <w:p>
      <w:pPr>
        <w:pStyle w:val="Heading2"/>
        <w:spacing w:before="220" w:after="60" w:line="240" w:lineRule="auto"/>
      </w:pPr>
      <w:r>
        <w:rPr>
          <w:rFonts w:ascii="Calibri" w:hAnsi="Calibri"/>
          <w:b/>
          <w:i w:val="0"/>
          <w:color w:val="2A5C45"/>
          <w:sz w:val="25"/>
        </w:rPr>
        <w:t>The professional-practice pack (the unglamorous half of day zero)</w:t>
      </w:r>
    </w:p>
    <w:p>
      <w:pPr>
        <w:spacing w:before="0" w:after="160" w:line="269" w:lineRule="auto"/>
      </w:pPr>
      <w:r>
        <w:rPr>
          <w:rFonts w:ascii="Calibri" w:hAnsi="Calibri"/>
          <w:b w:val="0"/>
          <w:i w:val="0"/>
          <w:color w:val="2B2B28"/>
          <w:sz w:val="22"/>
        </w:rPr>
        <w:t xml:space="preserve">Coaching competence is assumed; professional practice is what actually gets audited — by the UKSCA, by an employer, and by a lawyer if it ever comes to that. On day zero, alongside the three things above, you put in place: a </w:t>
      </w:r>
      <w:r>
        <w:rPr>
          <w:rFonts w:ascii="Calibri" w:hAnsi="Calibri"/>
          <w:b/>
          <w:i w:val="0"/>
          <w:color w:val="2B2B28"/>
          <w:sz w:val="22"/>
        </w:rPr>
        <w:t>health screen</w:t>
      </w:r>
      <w:r>
        <w:rPr>
          <w:rFonts w:ascii="Calibri" w:hAnsi="Calibri"/>
          <w:b w:val="0"/>
          <w:i w:val="0"/>
          <w:color w:val="2B2B28"/>
          <w:sz w:val="22"/>
        </w:rPr>
        <w:t xml:space="preserve"> (a PAR-Q or equivalent — even a fit athlete can hide a cardiac flag or a medication that matters); a </w:t>
      </w:r>
      <w:r>
        <w:rPr>
          <w:rFonts w:ascii="Calibri" w:hAnsi="Calibri"/>
          <w:b/>
          <w:i w:val="0"/>
          <w:color w:val="2B2B28"/>
          <w:sz w:val="22"/>
        </w:rPr>
        <w:t>risk assessment</w:t>
      </w:r>
      <w:r>
        <w:rPr>
          <w:rFonts w:ascii="Calibri" w:hAnsi="Calibri"/>
          <w:b w:val="0"/>
          <w:i w:val="0"/>
          <w:color w:val="2B2B28"/>
          <w:sz w:val="22"/>
        </w:rPr>
        <w:t xml:space="preserve"> of the training environment and the specific exercises; an </w:t>
      </w:r>
      <w:r>
        <w:rPr>
          <w:rFonts w:ascii="Calibri" w:hAnsi="Calibri"/>
          <w:b/>
          <w:i w:val="0"/>
          <w:color w:val="2B2B28"/>
          <w:sz w:val="22"/>
        </w:rPr>
        <w:t>emergency action plan</w:t>
      </w:r>
      <w:r>
        <w:rPr>
          <w:rFonts w:ascii="Calibri" w:hAnsi="Calibri"/>
          <w:b w:val="0"/>
          <w:i w:val="0"/>
          <w:color w:val="2B2B28"/>
          <w:sz w:val="22"/>
        </w:rPr>
        <w:t xml:space="preserve"> — what you do, and who you call, if something goes wrong mid-session; </w:t>
      </w:r>
      <w:r>
        <w:rPr>
          <w:rFonts w:ascii="Calibri" w:hAnsi="Calibri"/>
          <w:b/>
          <w:i w:val="0"/>
          <w:color w:val="2B2B28"/>
          <w:sz w:val="22"/>
        </w:rPr>
        <w:t>professional insurance</w:t>
      </w:r>
      <w:r>
        <w:rPr>
          <w:rFonts w:ascii="Calibri" w:hAnsi="Calibri"/>
          <w:b w:val="0"/>
          <w:i w:val="0"/>
          <w:color w:val="2B2B28"/>
          <w:sz w:val="22"/>
        </w:rPr>
        <w:t xml:space="preserve"> appropriate to injured-athlete work; a </w:t>
      </w:r>
      <w:r>
        <w:rPr>
          <w:rFonts w:ascii="Calibri" w:hAnsi="Calibri"/>
          <w:b/>
          <w:i w:val="0"/>
          <w:color w:val="2B2B28"/>
          <w:sz w:val="22"/>
        </w:rPr>
        <w:t>data-protection habit</w:t>
      </w:r>
      <w:r>
        <w:rPr>
          <w:rFonts w:ascii="Calibri" w:hAnsi="Calibri"/>
          <w:b w:val="0"/>
          <w:i w:val="0"/>
          <w:color w:val="2B2B28"/>
          <w:sz w:val="22"/>
        </w:rPr>
        <w:t xml:space="preserve">, because his health information is sensitive and must be stored and shared lawfully, with consent; and a </w:t>
      </w:r>
      <w:r>
        <w:rPr>
          <w:rFonts w:ascii="Calibri" w:hAnsi="Calibri"/>
          <w:b/>
          <w:i w:val="0"/>
          <w:color w:val="2B2B28"/>
          <w:sz w:val="22"/>
        </w:rPr>
        <w:t>referral network</w:t>
      </w:r>
      <w:r>
        <w:rPr>
          <w:rFonts w:ascii="Calibri" w:hAnsi="Calibri"/>
          <w:b w:val="0"/>
          <w:i w:val="0"/>
          <w:color w:val="2B2B28"/>
          <w:sz w:val="22"/>
        </w:rPr>
        <w:t xml:space="preserve"> written down before you need it — physio, GP, and the dietitian and sport psychologist you refer to rather than stray out of your lane. Forms 10 and 11 hold these.</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1</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New athlete, first session. He says, “The MRI showed a partial ACL tear but the surgeon thinks I might not need an operation — so let’s just train it.”</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Hear “might not need surgery” as “doesn’t need surgery,” and either load the knee like it’s healthy or, just as wrongly, wrap it in cotton wool and baby it.</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“Might not need surgery” is not a diagnosis, it’s a hypothesis — and the whole job is to test it. You get the surgeon’s threshold in writing, confirm or build toward coper status, then load progressively while watching the two things that decide the bet: giving-way episodes and swelling. Over-protecting wastes a good knee; loading it cavalierly can turn a partial tear into a full one and take the meniscus with it. Neither instinct is coaching — the criteria are.</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A conservatively managed ACL is a bet placed on the athlete’s control, and every session is either evidence the bet is winning or a signal to fold. You coach the evidence, not the hope.</w:t>
            </w:r>
          </w:p>
        </w:tc>
      </w:tr>
    </w:tbl>
    <w:p>
      <w:pPr>
        <w:spacing w:after="40"/>
      </w:pPr>
    </w:p>
    <w:p>
      <w:pPr>
        <w:pStyle w:val="Heading1"/>
        <w:spacing w:before="320" w:after="100" w:line="240" w:lineRule="auto"/>
      </w:pPr>
      <w:r>
        <w:rPr>
          <w:rFonts w:ascii="Calibri" w:hAnsi="Calibri"/>
          <w:b/>
          <w:i w:val="0"/>
          <w:color w:val="C4522A"/>
          <w:sz w:val="30"/>
        </w:rPr>
        <w:t>Step 1 — Understand the Tissue Before You Load It</w:t>
      </w:r>
    </w:p>
    <w:p>
      <w:pPr>
        <w:spacing w:before="0" w:after="160" w:line="269" w:lineRule="auto"/>
      </w:pPr>
      <w:r>
        <w:rPr>
          <w:rFonts w:ascii="Calibri" w:hAnsi="Calibri"/>
          <w:b w:val="0"/>
          <w:i w:val="0"/>
          <w:color w:val="2B2B28"/>
          <w:sz w:val="22"/>
        </w:rPr>
        <w:t>You cannot reason about progressions for a structure you don’t understand, so here is the knee in the sentences that matter. The anterior cruciate ligament is the primary passive brake on the shin sliding forward under the thigh, and a major restraint against the knee twisting inward — the exact combination that happens when an athlete decelerates and cuts. It is also densely populated with nerve endings, so it doesn’t just hold the knee, it tells the brain where the knee is; a torn ACL degrades that sense as much as the mechanical restraint. And here is the fact that makes this whole pathway possible: a knee without a fully competent ACL can still be stable in sport, if the muscles and the nervous system learn to supply the control the ligament used to — the people who manage this are called “copers,” and building one is exactly what this programme does.</w:t>
      </w:r>
    </w:p>
    <w:p>
      <w:pPr>
        <w:spacing w:before="0" w:after="160" w:line="269" w:lineRule="auto"/>
      </w:pPr>
      <w:r>
        <w:rPr>
          <w:rFonts w:ascii="Calibri" w:hAnsi="Calibri"/>
          <w:b w:val="0"/>
          <w:i w:val="0"/>
          <w:color w:val="2B2B28"/>
          <w:sz w:val="22"/>
        </w:rPr>
        <w:t>The meniscus deserves its own three sentences, because it is the ACL’s silent partner. It is a fibrocartilage wedge that spreads load across the joint and — in the case of the medial meniscus — acts as a secondary brake against the shin sliding forward, which means in an ACL-deficient knee it is working overtime, and protecting it is protecting the whole stabilising system. Its outer third has a blood supply and can heal or be safely left alone; its inner two-thirds are avascular and will not. And its back portion (the posterior horn) is loaded hardest in deep flexion under rotation, which is precisely why we treat that position with respect early and reintroduce it by earning it, not by rushing it.</w:t>
      </w:r>
    </w:p>
    <w:p>
      <w:pPr>
        <w:spacing w:before="0" w:after="160" w:line="269" w:lineRule="auto"/>
      </w:pPr>
      <w:r>
        <w:rPr>
          <w:rFonts w:ascii="Calibri" w:hAnsi="Calibri"/>
          <w:b/>
          <w:i w:val="0"/>
          <w:color w:val="2B2B28"/>
          <w:sz w:val="22"/>
        </w:rPr>
        <w:t>Now the sentence that defines this entire case, so read it twice: this knee’s problem is not fragility, it is control. The tear is low-grade, the joint is quiet, there is no swelling — the clinician’s phrase for a knee like this is that it needs progressive loading, not protection. So the goal of conservative management is not to shield the knee until it feels safe; it is to build a knee that is genuinely safe because it controls itself.</w:t>
      </w:r>
    </w:p>
    <w:p>
      <w:pPr>
        <w:spacing w:before="0" w:after="160" w:line="269" w:lineRule="auto"/>
      </w:pPr>
      <w:r>
        <w:rPr>
          <w:rFonts w:ascii="Calibri" w:hAnsi="Calibri"/>
          <w:b w:val="0"/>
          <w:i w:val="0"/>
          <w:color w:val="2B2B28"/>
          <w:sz w:val="22"/>
        </w:rPr>
        <w:t>That means three things we can train: quadriceps strength restored to full symmetry so the knee can absorb landing and deceleration; hamstrings built deliberately as the ACL’s agonist, pulling the shin back exactly where the ligament no longer fully can; and a nervous system trained to fire that machinery reactively — unplanned, under fatigue, in the split-second the sport gives it. Strength you can measure. Reactive control you have to build on purpose, and it is the part that turns a strong knee into a coper’s knee.</w:t>
      </w:r>
    </w:p>
    <w:p>
      <w:pPr>
        <w:pStyle w:val="Heading2"/>
        <w:spacing w:before="220" w:after="60" w:line="240" w:lineRule="auto"/>
      </w:pPr>
      <w:r>
        <w:rPr>
          <w:rFonts w:ascii="Calibri" w:hAnsi="Calibri"/>
          <w:b/>
          <w:i w:val="0"/>
          <w:color w:val="2A5C45"/>
          <w:sz w:val="25"/>
        </w:rPr>
        <w:t>Why racquet sports are the hard case</w:t>
      </w:r>
    </w:p>
    <w:p>
      <w:pPr>
        <w:spacing w:before="0" w:after="160" w:line="269" w:lineRule="auto"/>
      </w:pPr>
      <w:r>
        <w:rPr>
          <w:rFonts w:ascii="Calibri" w:hAnsi="Calibri"/>
          <w:b w:val="0"/>
          <w:i w:val="0"/>
          <w:color w:val="2B2B28"/>
          <w:sz w:val="22"/>
        </w:rPr>
        <w:t>The non-contact ACL injury has a signature, and tennis and padel are built out of it: an athlete decelerates hard, plants, and changes direction with the knee slightly bent, the shin rotating, and the joint drifting inward into valgus — and that is the exact loading the ACL exists to resist. Every split-step into a reactive sprint, every open-stance groundstroke, every scramble and hard brake to reach a drop shot is a small audition of the control we are building. Padel adds its own trap: the court is small and the play is reactive, so the cuts are short, sharp, frequent and unplanned — and unplanned is the dangerous word, because a knee can be trained to survive a cut it saw coming long before it can survive one it didn’t. On top of the ACL demand sits the meniscus demand: the deep, twisting, loaded positions the sport occasionally forces are exactly the posterior-horn positions we protect early.</w:t>
      </w:r>
    </w:p>
    <w:p>
      <w:pPr>
        <w:spacing w:before="0" w:after="160" w:line="269" w:lineRule="auto"/>
      </w:pPr>
      <w:r>
        <w:rPr>
          <w:rFonts w:ascii="Calibri" w:hAnsi="Calibri"/>
          <w:b w:val="0"/>
          <w:i w:val="0"/>
          <w:color w:val="2B2B28"/>
          <w:sz w:val="22"/>
        </w:rPr>
        <w:t>This is why the phase order you’ll see later is not decorative. Strength comes before plyometrics, planned change-of-direction comes before reactive, and the unplanned, open, reactive cut — the injury mechanism itself — is the very last thing we reintroduce. We sequence toward the danger; we never start at it.</w:t>
      </w:r>
    </w:p>
    <w:p>
      <w:pPr>
        <w:pStyle w:val="Heading2"/>
        <w:spacing w:before="220" w:after="60" w:line="240" w:lineRule="auto"/>
      </w:pPr>
      <w:r>
        <w:rPr>
          <w:rFonts w:ascii="Calibri" w:hAnsi="Calibri"/>
          <w:b/>
          <w:i w:val="0"/>
          <w:color w:val="2A5C45"/>
          <w:sz w:val="25"/>
        </w:rPr>
        <w:t>Red flags — when you stop coaching and start dialling</w:t>
      </w:r>
    </w:p>
    <w:p>
      <w:pPr>
        <w:spacing w:before="0" w:after="160" w:line="269" w:lineRule="auto"/>
      </w:pPr>
      <w:r>
        <w:rPr>
          <w:rFonts w:ascii="Calibri" w:hAnsi="Calibri"/>
          <w:b w:val="0"/>
          <w:i w:val="0"/>
          <w:color w:val="2B2B28"/>
          <w:sz w:val="22"/>
        </w:rPr>
        <w:t>Some symptoms are outside your lane the moment they appear. Stop the session and contact the clinician if the athlete reports or you observe: a true giving-way episode — the knee buckling, shifting, or “letting go” on a plant or a cut (in an ACL-deficient knee, each of these can injure the meniscus and cartilage, and one is enough to change the plan); a new effusion — the knee swelling during or after a session, which is the joint’s own report that it was overloaded; mechanical locking, catching, or a block to full straightening (a meniscus flap can physically jam the joint); or new night pain, warmth, or a knee that won’t fully straighten. We hold this rule absolutely because these suggest the situation has changed — and in a knee betting on conservative management, a giving-way episode or a fresh effusion is exactly the evidence the bet may be turning. Reassessing that is the clinician’s job, not ours. Knowing your lane, and proving in your documentation that you stayed in it, is itself a competency the UKSCA is scoring.</w:t>
      </w:r>
    </w:p>
    <w:p>
      <w:pPr>
        <w:pStyle w:val="Heading1"/>
        <w:spacing w:before="320" w:after="100" w:line="240" w:lineRule="auto"/>
      </w:pPr>
      <w:r>
        <w:rPr>
          <w:rFonts w:ascii="Calibri" w:hAnsi="Calibri"/>
          <w:b/>
          <w:i w:val="0"/>
          <w:color w:val="C4522A"/>
          <w:sz w:val="30"/>
        </w:rPr>
        <w:t>Step 2 — The Needs Analysis: Where Every Later Decision Gets Its Authority</w:t>
      </w:r>
    </w:p>
    <w:p>
      <w:pPr>
        <w:spacing w:before="0" w:after="160" w:line="269" w:lineRule="auto"/>
      </w:pPr>
      <w:r>
        <w:rPr>
          <w:rFonts w:ascii="Calibri" w:hAnsi="Calibri"/>
          <w:b w:val="0"/>
          <w:i w:val="0"/>
          <w:color w:val="2B2B28"/>
          <w:sz w:val="22"/>
        </w:rPr>
        <w:t>Everything you prescribe in month three must trace back to something you wrote down in week one. That is what a needs analysis is for — it is not paperwork, it is the source of authority for every decision that follows. When a UKSCA assessor asks “why this exercise?”, the winning answer is never “it’s a good exercise.” It is “because the sport demands X, this athlete presented with Y, and this closes the gap.” You can only give that answer if the analysis exists.</w:t>
      </w:r>
    </w:p>
    <w:p>
      <w:pPr>
        <w:spacing w:before="0" w:after="160" w:line="269" w:lineRule="auto"/>
      </w:pPr>
      <w:r>
        <w:rPr>
          <w:rFonts w:ascii="Calibri" w:hAnsi="Calibri"/>
          <w:b w:val="0"/>
          <w:i w:val="0"/>
          <w:color w:val="2B2B28"/>
          <w:sz w:val="22"/>
        </w:rPr>
        <w:t>It has two halves. The sport analysis: what tennis and padel demand of the knee mechanically (repeated hard deceleration, planned and reactive change of direction, landing, and rotational control under a moving centre of mass), metabolically (repeat-effort control that must survive into the third set, because fatigued control is where knees fail), and epidemiologically (what injures these knees — the non-contact decelerate-and-cut mechanism, re-injury after a premature return, and meniscal load in the deficient knee). The athlete analysis: training age, injury history, current level, weekly schedule, and — critically for return-to-sport work — the competition calendar and the target return event.</w:t>
      </w:r>
    </w:p>
    <w:p>
      <w:pPr>
        <w:spacing w:before="0" w:after="160" w:line="269" w:lineRule="auto"/>
      </w:pPr>
      <w:r>
        <w:rPr>
          <w:rFonts w:ascii="Calibri" w:hAnsi="Calibri"/>
          <w:b w:val="0"/>
          <w:i w:val="0"/>
          <w:color w:val="2B2B28"/>
          <w:sz w:val="22"/>
        </w:rPr>
        <w:t>This is where the individual shows up. A twenty-eight-year-old lifelong lifter carries a real advantage into this project: a decade under the bar means his quadriceps and posterior chain rebuild fast and his tolerance for loading is high — the strength half of coper-building has a running start. His gap is not raw strength; it is the injured-limb symmetry and the reactive, unplanned control that no amount of previous barbell work ever specifically trained.</w:t>
      </w:r>
    </w:p>
    <w:p>
      <w:pPr>
        <w:spacing w:before="0" w:after="160" w:line="269" w:lineRule="auto"/>
      </w:pPr>
      <w:r>
        <w:rPr>
          <w:rFonts w:ascii="Calibri" w:hAnsi="Calibri"/>
          <w:b w:val="0"/>
          <w:i w:val="0"/>
          <w:color w:val="2B2B28"/>
          <w:sz w:val="22"/>
        </w:rPr>
        <w:t>A word on the target event, because it traps coaches constantly, and in an ACL case it traps them expensively: we pick one because reverse-planning from a date forces honest decisions about what is achievable. But the date is a planning tool, never a decision tool. The tests decide when he progresses; the calendar just tells us whether the ambition was realistic. If the tests and the calendar disagree, the calendar loses — and the evidence here is unusually blunt: athletes returned to cutting sport on the calendar rather than on criteria re-injure at strikingly higher rates, and every month of criteria-based delay, up to around nine, lowers that risk further. The date does not get a vote over a knee that hasn’t passed.</w:t>
      </w:r>
    </w:p>
    <w:p>
      <w:pPr>
        <w:spacing w:before="0" w:after="160" w:line="269" w:lineRule="auto"/>
      </w:pPr>
      <w:r>
        <w:rPr>
          <w:rFonts w:ascii="Calibri" w:hAnsi="Calibri"/>
          <w:b w:val="0"/>
          <w:i w:val="0"/>
          <w:color w:val="2B2B28"/>
          <w:sz w:val="22"/>
        </w:rPr>
        <w:t>Finish the analysis with a gap statement — one paragraph that says: here is where the athlete is, here is what his sport will demand of him on return, and here is the gap this programme exists to close. For this athlete it reads something like: a strong but asymmetrical knee with intact straight-line power and an untrained capacity to control unplanned deceleration and cutting — returning to a reactive sport whose signature movement is the exact mechanism that injured him — the programme exists to restore full quadriceps and hamstring symmetry and to build the reactive, fatigue-proof control that lets a partially deficient knee behave like a coper’s.</w:t>
      </w:r>
    </w:p>
    <w:p>
      <w:pPr>
        <w:pStyle w:val="Heading2"/>
        <w:spacing w:before="220" w:after="60" w:line="240" w:lineRule="auto"/>
      </w:pPr>
      <w:r>
        <w:rPr>
          <w:rFonts w:ascii="Calibri" w:hAnsi="Calibri"/>
          <w:b/>
          <w:i w:val="0"/>
          <w:color w:val="2A5C45"/>
          <w:sz w:val="25"/>
        </w:rPr>
        <w:t>Put numbers on it — the demands, quantified</w:t>
      </w:r>
    </w:p>
    <w:p>
      <w:pPr>
        <w:spacing w:before="0" w:after="160" w:line="269" w:lineRule="auto"/>
      </w:pPr>
      <w:r>
        <w:rPr>
          <w:rFonts w:ascii="Calibri" w:hAnsi="Calibri"/>
          <w:b w:val="0"/>
          <w:i w:val="0"/>
          <w:color w:val="2B2B28"/>
          <w:sz w:val="22"/>
        </w:rPr>
        <w:t>A needs analysis an assessor respects has numbers in it, not adjectives. You don’t have to generate them yourself; you have to source and cite them. For a padel or tennis player returning through a knee, quantify at least: the work-to-rest ratio and average point length (short, dense efforts repeated over one to three hours); the energy-system split (largely aerobic-alactic — repeated short efforts on an aerobic base, the very conditioning quality that quietly detrains in rehab); the change-of-direction and deceleration count per match, and how many of those are reactive/unplanned (dozens to hundreds, each one an ACL-loading event, and the unplanned ones are the dangerous ones); and the injury epidemiology (non-contact ACL mechanism, re-injury rates, the reinjury window). Write each with a source. Six honest, referenced numbers turn a qualitative story into a professional demands profile — and they directly justify why reactive-control and conditioning training earn a place in the programme at all.</w:t>
      </w:r>
    </w:p>
    <w:p>
      <w:pPr>
        <w:spacing w:before="0" w:after="140" w:line="269" w:lineRule="auto"/>
      </w:pPr>
      <w:r>
        <w:rPr>
          <w:rFonts w:ascii="Calibri" w:hAnsi="Calibri"/>
          <w:b w:val="0"/>
          <w:i/>
          <w:color w:val="6B6B66"/>
          <w:sz w:val="20"/>
        </w:rPr>
        <w:t>Where padel-specific data is thin, say so and reason from the nearest comparable (tennis, squash, court sports) — naming the substitution honestly is itself a mark of good practice. Log each figure and its source in your evidence sheet (Form 14).</w:t>
      </w:r>
    </w:p>
    <w:p>
      <w:pPr>
        <w:pStyle w:val="Heading1"/>
        <w:spacing w:before="320" w:after="100" w:line="240" w:lineRule="auto"/>
      </w:pPr>
      <w:r>
        <w:rPr>
          <w:rFonts w:ascii="Calibri" w:hAnsi="Calibri"/>
          <w:b/>
          <w:i w:val="0"/>
          <w:color w:val="C4522A"/>
          <w:sz w:val="30"/>
        </w:rPr>
        <w:t>Step 3 — Baseline Testing: Measure Before You Move</w:t>
      </w:r>
    </w:p>
    <w:p>
      <w:pPr>
        <w:spacing w:before="0" w:after="160" w:line="269" w:lineRule="auto"/>
      </w:pPr>
      <w:r>
        <w:rPr>
          <w:rFonts w:ascii="Calibri" w:hAnsi="Calibri"/>
          <w:b w:val="0"/>
          <w:i w:val="0"/>
          <w:color w:val="2B2B28"/>
          <w:sz w:val="22"/>
        </w:rPr>
        <w:t>No baseline, no evidence. Without week-one numbers you cannot show change, cannot justify a phase progression, cannot pass a UKSCA viva, and have no outcome figures for a CV. But the deeper reason we test first is that testing is how we individualise: two athletes with the same words on the MRI can present with completely different deficits, and the baseline tells you which athlete you actually have, as opposed to the one the textbook describes.</w:t>
      </w:r>
    </w:p>
    <w:p>
      <w:pPr>
        <w:spacing w:before="0" w:after="160" w:line="269" w:lineRule="auto"/>
      </w:pPr>
      <w:r>
        <w:rPr>
          <w:rFonts w:ascii="Calibri" w:hAnsi="Calibri"/>
          <w:b w:val="0"/>
          <w:i w:val="0"/>
          <w:color w:val="2B2B28"/>
          <w:sz w:val="22"/>
        </w:rPr>
        <w:t>Every unilateral test is done on both sides, because the uninjured leg is your built-in reference — we express the injured side as a percentage of it (a limb symmetry index), and in ACL work the quadriceps symmetry index and the hop-test battery are the numbers the whole field is built on. Two cautions before you trust them. First, a limb symmetry index flatters: an athlete can “pass” at 90% because the healthy leg detrained during the injury, not because the injured leg got strong — so where you can, compare against his pre-injury capacity or an absolute, body-mass-normalised standard, not only against the other leg. Second, and this is the one coaches miss: a symmetrical hop distance can be produced by an asymmetrical strategy — a knee that lands stiff and quad-avoidant can travel just as far while hiding the exact deficit you’re testing for. Score how the movement was done, not only how far it went.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150"/>
        <w:gridCol w:w="2350"/>
        <w:gridCol w:w="2750"/>
        <w:gridCol w:w="2100"/>
      </w:tblGrid>
      <w:tr>
        <w:tc>
          <w:tcPr>
            <w:tcW w:type="dxa" w:w="2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Test</w:t>
            </w:r>
          </w:p>
        </w:tc>
        <w:tc>
          <w:tcPr>
            <w:tcW w:type="dxa" w:w="23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it tells you</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Why we chose it</w:t>
            </w:r>
          </w:p>
        </w:tc>
        <w:tc>
          <w:tcPr>
            <w:tcW w:type="dxa" w:w="21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good looks like</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Effusion — sweep/stroke test grade; Pain NRS 0–10</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How irritated the joint is right now</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Swelling is the knee’s own traffic light; an effused knee shuts its quadriceps down and changes today’s plan regardless of the programme</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No effusion (trace at most); pain ≤2 at rest, predictable with load</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ROM — full symmetrical extension (a hard requirement) and progressive flexion</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the knee straightens fully and bends without meniscal complaint</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A knee that won’t fully straighten wrecks gait and locks out the quad; flexion is progressed with the posterior meniscus in mind</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Extension symmetrical and terminal; flexion symmetrical, no deep-flexion pain</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Quadriceps strength (dynamometer, machine max, or force gauge)</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single most important strength number in ACL rehab</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Quad symmetry predicts function and re-injury more than almost anything else; it is the first thing lost and the last regained</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Quad index climbing toward ≥90%, on absolute terms too, not just symmetry</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Hamstring strength &amp; H:Q ratio</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Capacity of the ACL’s muscular agonist</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hamstrings pull the shin back — the exact job the torn ligament no longer fully does; their strength is direct dynamic stability</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Symmetrical; H:Q ratio in a protective band, rising on retest</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Hop battery — single, triple, crossover, 6-m timed — landing quality scored</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Dynamic symmetry, and through landing quality the honesty behind the number</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field standard for ACL return; the quality score stops a symmetrical distance hiding an asymmetrical strategy</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≥90% on all four AND clean, controlled landings — both, or it doesn’t count</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Single-leg landing &amp; deceleration control (valgus, trunk, depth)</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Movement quality under the tasks that injure this knee</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Valgus collapse and stiff landings are the visible mechanics of ACL risk; we grade them before we load them at speed</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Knee tracks over the foot, absorbs softly, symmetrical; no valgus collapse</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IKDC or KOOS, plus ACL-RSI (psychological readiness)</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athlete’s own rating of the knee, and his confidence in it</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Self-report catches what devices miss; the ACL-RSI specifically catches fear of re-injury, which changes mechanics and predicts return</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All trending up; ACL-RSI toward the return threshold across phases 3–4</w:t>
            </w:r>
          </w:p>
        </w:tc>
      </w:tr>
      <w:tr>
        <w:tc>
          <w:tcPr>
            <w:tcW w:type="dxa" w:w="2150"/>
            <w:tcMar>
              <w:top w:w="70" w:type="dxa"/>
              <w:left w:w="130" w:type="dxa"/>
              <w:bottom w:w="70" w:type="dxa"/>
              <w:right w:w="130" w:type="dxa"/>
            </w:tcMar>
            <w:vAlign w:val="top"/>
          </w:tcPr>
          <w:p>
            <w:pPr>
              <w:spacing w:before="0" w:after="0" w:line="240" w:lineRule="auto"/>
            </w:pPr>
            <w:r>
              <w:rPr>
                <w:rFonts w:ascii="Calibri" w:hAnsi="Calibri"/>
                <w:b/>
                <w:i w:val="0"/>
                <w:color w:val="2B2B28"/>
                <w:sz w:val="20"/>
              </w:rPr>
              <w:t>Global battery — CMJ, broad jump, non-provocative med-ball</w:t>
            </w:r>
          </w:p>
        </w:tc>
        <w:tc>
          <w:tcPr>
            <w:tcW w:type="dxa" w:w="2350"/>
            <w:tcMar>
              <w:top w:w="70" w:type="dxa"/>
              <w:left w:w="130" w:type="dxa"/>
              <w:bottom w:w="70" w:type="dxa"/>
              <w:right w:w="130" w:type="dxa"/>
            </w:tcMar>
            <w:vAlign w:val="top"/>
          </w:tcPr>
          <w:p>
            <w:pPr>
              <w:spacing w:before="0" w:after="0" w:line="240" w:lineRule="auto"/>
            </w:pPr>
            <w:r>
              <w:rPr>
                <w:rFonts w:ascii="Calibri" w:hAnsi="Calibri"/>
                <w:b/>
                <w:i w:val="0"/>
                <w:color w:val="2B2B28"/>
                <w:sz w:val="20"/>
              </w:rPr>
              <w:t>Whether the rest of the athlete is detraining</w:t>
            </w:r>
          </w:p>
        </w:tc>
        <w:tc>
          <w:tcPr>
            <w:tcW w:type="dxa" w:w="2750"/>
            <w:tcMar>
              <w:top w:w="70" w:type="dxa"/>
              <w:left w:w="130" w:type="dxa"/>
              <w:bottom w:w="70" w:type="dxa"/>
              <w:right w:w="130" w:type="dxa"/>
            </w:tcMar>
            <w:vAlign w:val="top"/>
          </w:tcPr>
          <w:p>
            <w:pPr>
              <w:spacing w:before="0" w:after="0" w:line="240" w:lineRule="auto"/>
            </w:pPr>
            <w:r>
              <w:rPr>
                <w:rFonts w:ascii="Calibri" w:hAnsi="Calibri"/>
                <w:b/>
                <w:i w:val="0"/>
                <w:color w:val="2B2B28"/>
                <w:sz w:val="20"/>
              </w:rPr>
              <w:t>You are rehabilitating a knee but coaching a whole athlete; these prove the engine stayed built</w:t>
            </w:r>
          </w:p>
        </w:tc>
        <w:tc>
          <w:tcPr>
            <w:tcW w:type="dxa" w:w="2100"/>
            <w:tcMar>
              <w:top w:w="70" w:type="dxa"/>
              <w:left w:w="130" w:type="dxa"/>
              <w:bottom w:w="70" w:type="dxa"/>
              <w:right w:w="130" w:type="dxa"/>
            </w:tcMar>
            <w:vAlign w:val="top"/>
          </w:tcPr>
          <w:p>
            <w:pPr>
              <w:spacing w:before="0" w:after="0" w:line="240" w:lineRule="auto"/>
            </w:pPr>
            <w:r>
              <w:rPr>
                <w:rFonts w:ascii="Calibri" w:hAnsi="Calibri"/>
                <w:b/>
                <w:i w:val="0"/>
                <w:color w:val="2B2B28"/>
                <w:sz w:val="20"/>
              </w:rPr>
              <w:t>Maintained or improved throughout the entire process</w:t>
            </w:r>
          </w:p>
        </w:tc>
      </w:tr>
    </w:tbl>
    <w:p>
      <w:pPr>
        <w:spacing w:after="40"/>
      </w:pPr>
    </w:p>
    <w:p>
      <w:pPr>
        <w:spacing w:before="0" w:after="160" w:line="269" w:lineRule="auto"/>
      </w:pPr>
      <w:r>
        <w:rPr>
          <w:rFonts w:ascii="Calibri" w:hAnsi="Calibri"/>
          <w:b w:val="0"/>
          <w:i w:val="0"/>
          <w:color w:val="2B2B28"/>
          <w:sz w:val="22"/>
        </w:rPr>
        <w:t>Retest the knee-specific battery every four weeks, and always at a phase gate. Four weeks because it is long enough for genuine adaptation to show and short enough to steer the programme; at every gate because gates are decisions, and we do not make decisions on stale data.</w:t>
      </w:r>
    </w:p>
    <w:p>
      <w:pPr>
        <w:pStyle w:val="Heading2"/>
        <w:spacing w:before="220" w:after="60" w:line="240" w:lineRule="auto"/>
      </w:pPr>
      <w:r>
        <w:rPr>
          <w:rFonts w:ascii="Calibri" w:hAnsi="Calibri"/>
          <w:b/>
          <w:i w:val="0"/>
          <w:color w:val="2A5C45"/>
          <w:sz w:val="25"/>
        </w:rPr>
        <w:t>How to run each test — plain and simple</w:t>
      </w:r>
    </w:p>
    <w:p>
      <w:pPr>
        <w:spacing w:before="0" w:after="160" w:line="269" w:lineRule="auto"/>
      </w:pPr>
      <w:r>
        <w:rPr>
          <w:rFonts w:ascii="Calibri" w:hAnsi="Calibri"/>
          <w:b w:val="0"/>
          <w:i w:val="0"/>
          <w:color w:val="2B2B28"/>
          <w:sz w:val="22"/>
        </w:rPr>
        <w:t>You do not need a sports-science lab. Here is exactly how to do each test, in order, with the kit you actually have. Do the same thing the same way every time — consistency beats fancy equipment, because you are comparing him to himself.</w:t>
      </w:r>
    </w:p>
    <w:p>
      <w:pPr>
        <w:pStyle w:val="ListBullet"/>
        <w:spacing w:before="0" w:after="80" w:line="269" w:lineRule="auto"/>
      </w:pPr>
      <w:r>
        <w:rPr>
          <w:rFonts w:ascii="Calibri" w:hAnsi="Calibri"/>
          <w:b/>
          <w:i w:val="0"/>
          <w:color w:val="2B2B28"/>
          <w:sz w:val="22"/>
        </w:rPr>
        <w:t>Effusion — the sweep/stroke test —</w:t>
      </w:r>
      <w:r>
        <w:rPr>
          <w:rFonts w:ascii="Calibri" w:hAnsi="Calibri"/>
          <w:b w:val="0"/>
          <w:i w:val="0"/>
          <w:color w:val="2B2B28"/>
          <w:sz w:val="22"/>
        </w:rPr>
        <w:t xml:space="preserve"> this is how you check for swelling inside the knee, and it is the most important thing you do all session. He lies down, leg straight and fully relaxed. Stroke your hand firmly up the inner side of the kneecap toward the thigh to sweep any fluid upward, then stroke down the outer side and watch the inner side: if a small wave or bulge of fluid appears, there’s an effusion. Grade it 0 (none) to 3 (a lot). A knee that swells overrules everything the athlete says it felt like.</w:t>
      </w:r>
    </w:p>
    <w:p>
      <w:pPr>
        <w:pStyle w:val="ListBullet"/>
        <w:spacing w:before="0" w:after="80" w:line="269" w:lineRule="auto"/>
      </w:pPr>
      <w:r>
        <w:rPr>
          <w:rFonts w:ascii="Calibri" w:hAnsi="Calibri"/>
          <w:b/>
          <w:i w:val="0"/>
          <w:color w:val="2B2B28"/>
          <w:sz w:val="22"/>
        </w:rPr>
        <w:t>Range of motion — extension and flexion —</w:t>
      </w:r>
      <w:r>
        <w:rPr>
          <w:rFonts w:ascii="Calibri" w:hAnsi="Calibri"/>
          <w:b w:val="0"/>
          <w:i w:val="0"/>
          <w:color w:val="2B2B28"/>
          <w:sz w:val="22"/>
        </w:rPr>
        <w:t xml:space="preserve"> for extension (straightening), sit him down and prop the heel on a block with the thigh unsupported; the knee should drop fully straight and match the other side (compare the two heel heights — a heel-height difference is a simple field measure of lost straightening). For flexion (bending), he draws the heel toward his backside as far as is comfortable and you compare sides. Full, symmetrical straightening is non-negotiable; bending is progressed carefully with the meniscus in mind.</w:t>
      </w:r>
    </w:p>
    <w:p>
      <w:pPr>
        <w:pStyle w:val="ListBullet"/>
        <w:spacing w:before="0" w:after="80" w:line="269" w:lineRule="auto"/>
      </w:pPr>
      <w:r>
        <w:rPr>
          <w:rFonts w:ascii="Calibri" w:hAnsi="Calibri"/>
          <w:b/>
          <w:i w:val="0"/>
          <w:color w:val="2B2B28"/>
          <w:sz w:val="22"/>
        </w:rPr>
        <w:t>Quadriceps strength —</w:t>
      </w:r>
      <w:r>
        <w:rPr>
          <w:rFonts w:ascii="Calibri" w:hAnsi="Calibri"/>
          <w:b w:val="0"/>
          <w:i w:val="0"/>
          <w:color w:val="2B2B28"/>
          <w:sz w:val="22"/>
        </w:rPr>
        <w:t xml:space="preserve"> the gold standard is a dynamometer, but in the real world: use a hand-held force gauge (seated, he extends the knee into it at max effort for ~5 seconds), or a machine (the most weight he can lift once on a leg-extension or leg-press, or estimated from a hard set), single leg. Whatever you choose, test both legs the same way and express the injured side as a percentage of the good side — the “quad index.” This is the number that matters most in the whole case; chase it relentlessly.</w:t>
      </w:r>
    </w:p>
    <w:p>
      <w:pPr>
        <w:pStyle w:val="ListBullet"/>
        <w:spacing w:before="0" w:after="80" w:line="269" w:lineRule="auto"/>
      </w:pPr>
      <w:r>
        <w:rPr>
          <w:rFonts w:ascii="Calibri" w:hAnsi="Calibri"/>
          <w:b/>
          <w:i w:val="0"/>
          <w:color w:val="2B2B28"/>
          <w:sz w:val="22"/>
        </w:rPr>
        <w:t>Hamstring strength &amp; H:Q ratio —</w:t>
      </w:r>
      <w:r>
        <w:rPr>
          <w:rFonts w:ascii="Calibri" w:hAnsi="Calibri"/>
          <w:b w:val="0"/>
          <w:i w:val="0"/>
          <w:color w:val="2B2B28"/>
          <w:sz w:val="22"/>
        </w:rPr>
        <w:t xml:space="preserve"> test the hamstrings the same way (a force gauge as he pulls the heel down and back, or a hamstring-curl max), both legs. Divide hamstring strength by quadriceps strength to get the H:Q ratio — it tells you whether his “shin-brake” muscles match his “shin-driver” muscles, which matters more than usual in a knee missing full ACL support.</w:t>
      </w:r>
    </w:p>
    <w:p>
      <w:pPr>
        <w:pStyle w:val="ListBullet"/>
        <w:spacing w:before="0" w:after="80" w:line="269" w:lineRule="auto"/>
      </w:pPr>
      <w:r>
        <w:rPr>
          <w:rFonts w:ascii="Calibri" w:hAnsi="Calibri"/>
          <w:b/>
          <w:i w:val="0"/>
          <w:color w:val="2B2B28"/>
          <w:sz w:val="22"/>
        </w:rPr>
        <w:t>Hop test battery —</w:t>
      </w:r>
      <w:r>
        <w:rPr>
          <w:rFonts w:ascii="Calibri" w:hAnsi="Calibri"/>
          <w:b w:val="0"/>
          <w:i w:val="0"/>
          <w:color w:val="2B2B28"/>
          <w:sz w:val="22"/>
        </w:rPr>
        <w:t xml:space="preserve"> four hops, injured leg vs good leg, each scored as a percentage; do the good leg first as the reference and mark a tape line on the floor. Single hop: one maximal hop forward, stick the landing, measure distance. Triple hop: three straight hops, measure the total. Crossover hop: three hops zig-zagging over the line. 6-metre timed hop: time how long he takes to single-leg hop six metres. Then the part coaches skip — watch HOW he lands. A stiff, straight-legged landing that dodges bending the knee can fake a good distance, so score the landing quality right beside the number.</w:t>
      </w:r>
    </w:p>
    <w:p>
      <w:pPr>
        <w:pStyle w:val="ListBullet"/>
        <w:spacing w:before="0" w:after="80" w:line="269" w:lineRule="auto"/>
      </w:pPr>
      <w:r>
        <w:rPr>
          <w:rFonts w:ascii="Calibri" w:hAnsi="Calibri"/>
          <w:b/>
          <w:i w:val="0"/>
          <w:color w:val="2B2B28"/>
          <w:sz w:val="22"/>
        </w:rPr>
        <w:t>Landing / deceleration control —</w:t>
      </w:r>
      <w:r>
        <w:rPr>
          <w:rFonts w:ascii="Calibri" w:hAnsi="Calibri"/>
          <w:b w:val="0"/>
          <w:i w:val="0"/>
          <w:color w:val="2B2B28"/>
          <w:sz w:val="22"/>
        </w:rPr>
        <w:t xml:space="preserve"> have him do a drop-landing (step off a low box, land on two feet, then progress to one) and a deceleration (a few strides then a sharp one-leg stop). Film it from the front on your phone. You are looking for the knee caving inward (valgus), a stiff or crumpling landing, or the trunk lurching. Clean means the knee tracks over the middle of the foot, absorbs softly and quietly, and looks the same on both legs.</w:t>
      </w:r>
    </w:p>
    <w:p>
      <w:pPr>
        <w:pStyle w:val="ListBullet"/>
        <w:spacing w:before="0" w:after="80" w:line="269" w:lineRule="auto"/>
      </w:pPr>
      <w:r>
        <w:rPr>
          <w:rFonts w:ascii="Calibri" w:hAnsi="Calibri"/>
          <w:b/>
          <w:i w:val="0"/>
          <w:color w:val="2B2B28"/>
          <w:sz w:val="22"/>
        </w:rPr>
        <w:t>IKDC / KOOS + ACL-RSI —</w:t>
      </w:r>
      <w:r>
        <w:rPr>
          <w:rFonts w:ascii="Calibri" w:hAnsi="Calibri"/>
          <w:b w:val="0"/>
          <w:i w:val="0"/>
          <w:color w:val="2B2B28"/>
          <w:sz w:val="22"/>
        </w:rPr>
        <w:t xml:space="preserve"> these are free, standard self-report questionnaires he fills in himself. IKDC or KOOS score his knee’s symptoms and function; the ACL-RSI specifically measures psychological readiness — how confident and unafraid he feels about returning. Print the exact same forms each month; rising scores, especially a rising ACL-RSI, are real return-to-sport evidence. (Search “KOOS pdf” and “ACL-RSI pdf.”)</w:t>
      </w:r>
    </w:p>
    <w:p>
      <w:pPr>
        <w:pStyle w:val="ListBullet"/>
        <w:spacing w:before="0" w:after="80" w:line="269" w:lineRule="auto"/>
      </w:pPr>
      <w:r>
        <w:rPr>
          <w:rFonts w:ascii="Calibri" w:hAnsi="Calibri"/>
          <w:b/>
          <w:i w:val="0"/>
          <w:color w:val="2B2B28"/>
          <w:sz w:val="22"/>
        </w:rPr>
        <w:t>Coper screening — what it is —</w:t>
      </w:r>
      <w:r>
        <w:rPr>
          <w:rFonts w:ascii="Calibri" w:hAnsi="Calibri"/>
          <w:b w:val="0"/>
          <w:i w:val="0"/>
          <w:color w:val="2B2B28"/>
          <w:sz w:val="22"/>
        </w:rPr>
        <w:t xml:space="preserve"> before betting on the non-surgical route, this is the standard check that he’s a “coper”: a knee that stays stable in sport without a full ACL. It combines a timed single-leg hop (commonly ≥88% of the other side), his own knee-function rating, how well he manages daily life, and how few times the knee has given way. Your physio usually runs it; your job is to know he passed it — or to build him toward passing it — before you progress him to reactive work.</w:t>
      </w:r>
    </w:p>
    <w:p>
      <w:pPr>
        <w:pStyle w:val="ListBullet"/>
        <w:spacing w:before="0" w:after="80" w:line="269" w:lineRule="auto"/>
      </w:pPr>
      <w:r>
        <w:rPr>
          <w:rFonts w:ascii="Calibri" w:hAnsi="Calibri"/>
          <w:b/>
          <w:i w:val="0"/>
          <w:color w:val="2B2B28"/>
          <w:sz w:val="22"/>
        </w:rPr>
        <w:t>Global battery (CMJ, broad jump, med-ball) —</w:t>
      </w:r>
      <w:r>
        <w:rPr>
          <w:rFonts w:ascii="Calibri" w:hAnsi="Calibri"/>
          <w:b w:val="0"/>
          <w:i w:val="0"/>
          <w:color w:val="2B2B28"/>
          <w:sz w:val="22"/>
        </w:rPr>
        <w:t xml:space="preserve"> a countermovement jump (dip, then jump straight up for max height — jump mat, phone app, or a chalk mark on a wall) and a standing broad jump (jump forward, measure to the heels) prove the rest of the athlete isn’t detraining. Add an easy med-ball chest pass for distance. Same tests, same way, every retest.</w:t>
      </w:r>
    </w:p>
    <w:p>
      <w:pPr>
        <w:pStyle w:val="Heading2"/>
        <w:spacing w:before="220" w:after="60" w:line="240" w:lineRule="auto"/>
      </w:pPr>
      <w:r>
        <w:rPr>
          <w:rFonts w:ascii="Calibri" w:hAnsi="Calibri"/>
          <w:b/>
          <w:i w:val="0"/>
          <w:color w:val="2A5C45"/>
          <w:sz w:val="25"/>
        </w:rPr>
        <w:t>Running the tests remotely</w:t>
      </w:r>
    </w:p>
    <w:p>
      <w:pPr>
        <w:spacing w:before="0" w:after="160" w:line="269" w:lineRule="auto"/>
      </w:pPr>
      <w:r>
        <w:rPr>
          <w:rFonts w:ascii="Calibri" w:hAnsi="Calibri"/>
          <w:b w:val="0"/>
          <w:i w:val="0"/>
          <w:color w:val="2B2B28"/>
          <w:sz w:val="22"/>
        </w:rPr>
        <w:t>If you coach this athlete through an app rather than a facility — as many of us now do — you don’t abandon objectivity, you substitute for it, and you say so openly. Almost every test above has an honest remote version. Pain, KOOS/IKDC and the ACL-RSI are self-report already. Effusion becomes a taught self-check plus a repeatable proxy: a photo of both knees to a fixed setup, or a tape-measure girth around the mid-kneecap logged each morning — a rising number is a rising effusion. Range of motion becomes filmed heel-height (for straightening) and a filmed heel-to-buttock (for bending) to a fixed camera. Quadriceps and hamstring strength move to loadable at-home proxies: a single-leg sit-to-stand count, a rep-max on whatever load he owns, an isometric push into a fixed strap with a luggage scale inline. The hop battery is done to a marked floor and filmed from the front — you score the distance AND, crucially, the landing quality off the video, which is the part that actually matters. The one rule that makes a home test a measurement instead of a guess: fix the camera angle, the distance, the footwear and the surface, and never change them. Two things stay the clinician’s and you simply arrange them — the hands-on ligament and meniscus assessment, and the periodic in-person check most return-to-sport pathways still want at the big gates.</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2</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Baseline day, hop tests. His single-leg hop symmetry comes out at 92% and he’s delighted — that’s a passing number and he knows it.</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Record 92%, tick the box, and use it to justify progressing him — the number cleared the bar.</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You watched the reps, and on the injured side he hopped nearly as far by landing stiff-legged and barely bending the knee — borrowing distance from his hip and ankle to spare the quad you’re actually testing. A symmetrical distance built on an asymmetrical strategy is a false pass, and progressing on it loads a knee that only looks ready. You record the 92% and, right beside it, “injured-side landing stiff, quad-avoidant — LSI not accepted as a pass,” and you keep building the quad until the number and the strategy agree.</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Hop distance is a proxy; the strategy that produced it is the truth. Assessors, and knees, respect the coach who reads the second one.</w:t>
            </w:r>
          </w:p>
        </w:tc>
      </w:tr>
    </w:tbl>
    <w:p>
      <w:pPr>
        <w:spacing w:after="40"/>
      </w:pPr>
    </w:p>
    <w:p>
      <w:pPr>
        <w:pStyle w:val="Heading1"/>
        <w:spacing w:before="320" w:after="100" w:line="240" w:lineRule="auto"/>
      </w:pPr>
      <w:r>
        <w:rPr>
          <w:rFonts w:ascii="Calibri" w:hAnsi="Calibri"/>
          <w:b/>
          <w:i w:val="0"/>
          <w:color w:val="C4522A"/>
          <w:sz w:val="30"/>
        </w:rPr>
        <w:t>Step 4 — The Phase-Gate System: Criteria, Not Calendar</w:t>
      </w:r>
    </w:p>
    <w:p>
      <w:pPr>
        <w:spacing w:before="0" w:after="160" w:line="269" w:lineRule="auto"/>
      </w:pPr>
      <w:r>
        <w:rPr>
          <w:rFonts w:ascii="Calibri" w:hAnsi="Calibri"/>
          <w:b w:val="0"/>
          <w:i w:val="0"/>
          <w:color w:val="2B2B28"/>
          <w:sz w:val="22"/>
        </w:rPr>
        <w:t>Here is the organising idea of the whole programme, and the sentence I’d want you to remember in ten years: phases end when tests are passed, not when weeks are survived. A surgical case at least has a protocol clock ticking from the operation date. A conservative case has no clock at all — only tissue and a nervous system that adapt at their own rate. So the calendar is our planning estimate, and the test battery is our decision-maker. This is also precisely what the UKSCA wants to see demonstrated: not that you can copy a protocol, but that you can make and justify loading decisions from evidence.</w:t>
      </w:r>
    </w:p>
    <w:p>
      <w:pPr>
        <w:spacing w:before="0" w:after="160" w:line="269" w:lineRule="auto"/>
      </w:pPr>
      <w:r>
        <w:rPr>
          <w:rFonts w:ascii="Calibri" w:hAnsi="Calibri"/>
          <w:b w:val="0"/>
          <w:i w:val="0"/>
          <w:color w:val="2B2B28"/>
          <w:sz w:val="22"/>
        </w:rPr>
        <w:t>The typical durations below are honest estimates for planning — expect roughly six to nine months to a confident return to reactive cutting sport for a conservatively managed ACL, and expect the athlete to ask why it can’t be faster. The answer: because the evidence says a knee returned to cutting on the calendar rather than on criteria re-injures far more often, and he is a biological system, not a Gantt chart.</w:t>
      </w:r>
    </w:p>
    <w:p>
      <w:pPr>
        <w:spacing w:before="0" w:after="160" w:line="269" w:lineRule="auto"/>
      </w:pPr>
      <w:r>
        <w:rPr>
          <w:rFonts w:ascii="Calibri" w:hAnsi="Calibri"/>
          <w:b w:val="0"/>
          <w:i w:val="0"/>
          <w:color w:val="2B2B28"/>
          <w:sz w:val="22"/>
        </w:rPr>
        <w:t>Pain and swelling rules for every session in every phase — the traffic light we teach the athlete on day one, and here swelling matters as much as pain. Discomfort up to about 3/10 that settles by the next morning, with no new swelling, is green — carry on. Pain in the 3–5 range, or a knee that feels “full” or warm after a session, is amber — modify the load, and note it. Anything above 5, any new effusion the next morning, and — non-negotiable — any giving-way episode is red: regress the exposure and message the physio. Swelling is the star signal here because it is the most honest one: a knee that swells after a session was overloaded, whatever the athlete says it felt like. Teach him to check for it and to report the morning-after answer, because the joint’s late reply is the true one.</w:t>
      </w:r>
    </w:p>
    <w:p>
      <w:pPr>
        <w:spacing w:before="0" w:after="160" w:line="269" w:lineRule="auto"/>
      </w:pPr>
      <w:r>
        <w:rPr>
          <w:rFonts w:ascii="Calibri" w:hAnsi="Calibri"/>
          <w:b w:val="0"/>
          <w:i w:val="0"/>
          <w:color w:val="2B2B28"/>
          <w:sz w:val="22"/>
        </w:rPr>
        <w:t xml:space="preserve">One concept sits above the traffic-light and governs how you read it: </w:t>
      </w:r>
      <w:r>
        <w:rPr>
          <w:rFonts w:ascii="Calibri" w:hAnsi="Calibri"/>
          <w:b/>
          <w:i w:val="0"/>
          <w:color w:val="2B2B28"/>
          <w:sz w:val="22"/>
        </w:rPr>
        <w:t>irritability</w:t>
      </w:r>
      <w:r>
        <w:rPr>
          <w:rFonts w:ascii="Calibri" w:hAnsi="Calibri"/>
          <w:b w:val="0"/>
          <w:i w:val="0"/>
          <w:color w:val="2B2B28"/>
          <w:sz w:val="22"/>
        </w:rPr>
        <w:t>. Borrow it from the physiotherapist. A highly irritable knee swells or complains from a small load and takes a long time to settle; a low-irritability knee absorbs a big load and is dry and quiet by morning. In this joint effusion is your clearest irritability read — the swelling response tells you how much the knee tolerated more honestly than any number he gives you. High irritability means small doses, long rests, patience; low irritability is your permission to progress. Most flares come from dosing off a single good session while ignoring that the knee was still a little full underneath it.</w:t>
      </w:r>
    </w:p>
    <w:p>
      <w:pPr>
        <w:pStyle w:val="Heading2"/>
        <w:spacing w:before="220" w:after="60" w:line="240" w:lineRule="auto"/>
      </w:pPr>
      <w:r>
        <w:rPr>
          <w:rFonts w:ascii="Calibri" w:hAnsi="Calibri"/>
          <w:b/>
          <w:i w:val="0"/>
          <w:color w:val="2A5C45"/>
          <w:sz w:val="25"/>
        </w:rPr>
        <w:t>Phase 0 — The co-treatment window (the phase before you own the programme)</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almost nothing that looks like strength coaching. This is the overlap — the athlete is still physio-led, and your job is to integrate, not to load. You learn his rehab exposures so yours won’t collide with them, you build the trust and the movement vocabulary you’ll need later, you keep the healthy parts of him training, and you wait for the handover criteria the physio set. It feels like doing little. It is preventing the most common early mistake in the whole pathway: an S&amp;C coach loading a knee the clinician hasn’t finished settling.</w:t>
      </w:r>
    </w:p>
    <w:p>
      <w:pPr>
        <w:spacing w:before="0" w:after="160" w:line="269" w:lineRule="auto"/>
      </w:pPr>
      <w:r>
        <w:rPr>
          <w:rFonts w:ascii="Calibri" w:hAnsi="Calibri"/>
          <w:b/>
          <w:i w:val="0"/>
          <w:color w:val="2B2B28"/>
          <w:sz w:val="22"/>
        </w:rPr>
        <w:t>Why it’s a real phase and not a formality:</w:t>
      </w:r>
      <w:r>
        <w:rPr>
          <w:rFonts w:ascii="Calibri" w:hAnsi="Calibri"/>
          <w:b w:val="0"/>
          <w:i w:val="0"/>
          <w:color w:val="2B2B28"/>
          <w:sz w:val="22"/>
        </w:rPr>
        <w:t xml:space="preserve"> because “cleared to train” almost never means “cleared for everything on day one,” and the gap between those two sentences is exactly where a keen coach does damage — and in an ACL-deficient knee, damage means a giving-way that costs the meniscus. Naming this window, and documenting the criteria that end it, is also precisely the collaboration competency an assessor is hunting for.</w:t>
      </w:r>
    </w:p>
    <w:p>
      <w:pPr>
        <w:spacing w:before="0" w:after="160" w:line="269" w:lineRule="auto"/>
      </w:pPr>
      <w:r>
        <w:rPr>
          <w:rFonts w:ascii="Calibri" w:hAnsi="Calibri"/>
          <w:b/>
          <w:i w:val="0"/>
          <w:color w:val="2B2B28"/>
          <w:sz w:val="22"/>
        </w:rPr>
        <w:t>Gate out of Phase 0:</w:t>
      </w:r>
      <w:r>
        <w:rPr>
          <w:rFonts w:ascii="Calibri" w:hAnsi="Calibri"/>
          <w:b w:val="0"/>
          <w:i w:val="0"/>
          <w:color w:val="2B2B28"/>
          <w:sz w:val="22"/>
        </w:rPr>
        <w:t xml:space="preserve"> the physio’s discharge-to-load criteria met (their call, in writing); knee quiet and dry in daily life; the shared-care agreement signed and the combined load ceiling agreed. Now you own the programme.</w:t>
      </w:r>
    </w:p>
    <w:p>
      <w:pPr>
        <w:pStyle w:val="Heading2"/>
        <w:spacing w:before="220" w:after="60" w:line="240" w:lineRule="auto"/>
      </w:pPr>
      <w:r>
        <w:rPr>
          <w:rFonts w:ascii="Calibri" w:hAnsi="Calibri"/>
          <w:b/>
          <w:i w:val="0"/>
          <w:color w:val="2A5C45"/>
          <w:sz w:val="25"/>
        </w:rPr>
        <w:t>Phase 1 — Calm it down, reclaim the quiet knee (typically weeks 1–4)</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settle any residual irritation and win back full symmetrical straightening; wake the quadriceps up against the swelling-driven shut-down that switches it off (quad sets, straight-leg raises with no lag, early closed-chain work in safe, controlled ranges); hamstring and hip work the knee tolerates easily; and — this matters more than anything knee-specific in this phase — the rest of the athlete keeps training hard, essentially unmodified.</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full straightening comes first because a knee that won’t extend changes gait and keeps the quad switched off. The quad comes first among the muscles because “arthrogenic inhibition” — the reflex shut-down a swollen or injured knee imposes on its own quadriceps — makes it the first casualty and the hardest to get back, and everything downstream depends on it. And the rest of the athlete keeps training because deconditioning turns one knee problem into a whole-athlete problem, and an athlete who still trains hard stays psychologically in the game while an athlete told to rest goes home and Googles surgeons.</w:t>
      </w:r>
    </w:p>
    <w:p>
      <w:pPr>
        <w:spacing w:before="0" w:after="160" w:line="269" w:lineRule="auto"/>
      </w:pPr>
      <w:r>
        <w:rPr>
          <w:rFonts w:ascii="Calibri" w:hAnsi="Calibri"/>
          <w:b/>
          <w:i w:val="0"/>
          <w:color w:val="2B2B28"/>
          <w:sz w:val="22"/>
        </w:rPr>
        <w:t>Gate to Phase 2:</w:t>
      </w:r>
      <w:r>
        <w:rPr>
          <w:rFonts w:ascii="Calibri" w:hAnsi="Calibri"/>
          <w:b w:val="0"/>
          <w:i w:val="0"/>
          <w:color w:val="2B2B28"/>
          <w:sz w:val="22"/>
        </w:rPr>
        <w:t xml:space="preserve"> no effusion beyond a trace; full, symmetrical, terminal straightening; quadriceps firing with no lag on a straight-leg raise; pain ≤2 in daily life.</w:t>
      </w:r>
    </w:p>
    <w:p>
      <w:pPr>
        <w:pStyle w:val="Heading2"/>
        <w:spacing w:before="220" w:after="60" w:line="240" w:lineRule="auto"/>
      </w:pPr>
      <w:r>
        <w:rPr>
          <w:rFonts w:ascii="Calibri" w:hAnsi="Calibri"/>
          <w:b/>
          <w:i w:val="0"/>
          <w:color w:val="2A5C45"/>
          <w:sz w:val="25"/>
        </w:rPr>
        <w:t>Phase 2 — Rebuild strength and symmetry (typically weeks 4–12)</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progressive strength, bilateral then increasingly single-leg — leg press and squat patterns to a tolerated depth that respects the posterior meniscus, hip-hinge and deliberate hamstring work (progressing toward Nordic hamstring loading as the phase matures), and quadriceps loading driven toward full symmetry, including carefully introduced open-chain knee extension through pain-free ranges. Deep, loaded, rotated positions are added last and slowly, with the meniscus in mind.</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we chase quadriceps symmetry relentlessly because it is the strongest modifiable predictor of both function and re-injury, and this athlete’s training age means it will come if we load it honestly. We build the hamstrings deliberately, not incidentally, because in a knee missing full ACL competence the hamstrings are the dynamic restraint that pulls the shin back where the ligament no longer does. We reintroduce open-chain knee work — long treated as taboo after ACL injury — because in a conservatively managed knee, through controlled ranges, it is one of the most effective ways to close the quad gap, and the old blanket ban costs more symmetry than it ever saved. And deep flexion under rotation comes last because that is the posterior meniscus’s hardest position.</w:t>
      </w:r>
    </w:p>
    <w:p>
      <w:pPr>
        <w:spacing w:before="0" w:after="160" w:line="269" w:lineRule="auto"/>
      </w:pPr>
      <w:r>
        <w:rPr>
          <w:rFonts w:ascii="Calibri" w:hAnsi="Calibri"/>
          <w:b/>
          <w:i w:val="0"/>
          <w:color w:val="2B2B28"/>
          <w:sz w:val="22"/>
        </w:rPr>
        <w:t>Gate to Phase 3:</w:t>
      </w:r>
      <w:r>
        <w:rPr>
          <w:rFonts w:ascii="Calibri" w:hAnsi="Calibri"/>
          <w:b w:val="0"/>
          <w:i w:val="0"/>
          <w:color w:val="2B2B28"/>
          <w:sz w:val="22"/>
        </w:rPr>
        <w:t xml:space="preserve"> quadriceps index into a solid band and still climbing (heading for ≥90%); hamstring symmetry restored; full pain-free ROM; single-leg strength controlled with no valgus; no effusion in response to the week’s loading.</w:t>
      </w:r>
    </w:p>
    <w:p>
      <w:pPr>
        <w:pStyle w:val="Heading2"/>
        <w:spacing w:before="220" w:after="60" w:line="240" w:lineRule="auto"/>
      </w:pPr>
      <w:r>
        <w:rPr>
          <w:rFonts w:ascii="Calibri" w:hAnsi="Calibri"/>
          <w:b/>
          <w:i w:val="0"/>
          <w:color w:val="2A5C45"/>
          <w:sz w:val="25"/>
        </w:rPr>
        <w:t>Phase 3 — Make it reactive: build the coper (typically weeks 12–20)</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a plyometric progression from two legs to one and from planned to reactive landings; perturbation and reactive-control training — deliberate destabilising work (wobble boards, tilt platforms, partner nudges, unstable-surface catches) that teaches the knee to fire its stabilisers unplanned; deceleration mechanics drilled from sub-maximal to maximal; and change of direction built from pre-planned angles toward reactive, cued agility.</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this is the phase that actually builds the coper, and it is the one inexperienced coaches rush past or skimp on. Strength at slow, planned speeds does not survive at reactive speeds — and the sport is a reactive-speed event — so the nervous system has to be trained to protect the knee in the unplanned moment, not just the rehearsed one. Perturbation training earns its place because it is the specific, evidence-backed method that teaches an ACL-deficient knee to stabilise reflexively; deceleration before change of direction because braking is the protective skill; planned before reactive because we control the danger before we hand it over. Watch his confidence return through this phase and log it — psychological readiness is a return criterion, and this is where its evidence appears.</w:t>
      </w:r>
    </w:p>
    <w:p>
      <w:pPr>
        <w:spacing w:before="0" w:after="160" w:line="269" w:lineRule="auto"/>
      </w:pPr>
      <w:r>
        <w:rPr>
          <w:rFonts w:ascii="Calibri" w:hAnsi="Calibri"/>
          <w:b/>
          <w:i w:val="0"/>
          <w:color w:val="2B2B28"/>
          <w:sz w:val="22"/>
        </w:rPr>
        <w:t>Gate to Phase 4:</w:t>
      </w:r>
      <w:r>
        <w:rPr>
          <w:rFonts w:ascii="Calibri" w:hAnsi="Calibri"/>
          <w:b w:val="0"/>
          <w:i w:val="0"/>
          <w:color w:val="2B2B28"/>
          <w:sz w:val="22"/>
        </w:rPr>
        <w:t xml:space="preserve"> hop battery ≥90% with clean landing quality on every test; deceleration and planned change-of-direction controlled at speed with no valgus and no symptom cost; zero giving-way episodes; no effusion; ACL-RSI clearly trending up.</w:t>
      </w:r>
    </w:p>
    <w:p>
      <w:pPr>
        <w:pStyle w:val="Heading2"/>
        <w:spacing w:before="220" w:after="60" w:line="240" w:lineRule="auto"/>
      </w:pPr>
      <w:r>
        <w:rPr>
          <w:rFonts w:ascii="Calibri" w:hAnsi="Calibri"/>
          <w:b/>
          <w:i w:val="0"/>
          <w:color w:val="2A5C45"/>
          <w:sz w:val="25"/>
        </w:rPr>
        <w:t>Phase 4 — Return the skill (typically weeks 20–28+)</w:t>
      </w:r>
    </w:p>
    <w:p>
      <w:pPr>
        <w:spacing w:before="0" w:after="160" w:line="269" w:lineRule="auto"/>
      </w:pPr>
      <w:r>
        <w:rPr>
          <w:rFonts w:ascii="Calibri" w:hAnsi="Calibri"/>
          <w:b/>
          <w:i w:val="0"/>
          <w:color w:val="2B2B28"/>
          <w:sz w:val="22"/>
        </w:rPr>
        <w:t>What we do:</w:t>
      </w:r>
      <w:r>
        <w:rPr>
          <w:rFonts w:ascii="Calibri" w:hAnsi="Calibri"/>
          <w:b w:val="0"/>
          <w:i w:val="0"/>
          <w:color w:val="2B2B28"/>
          <w:sz w:val="22"/>
        </w:rPr>
        <w:t xml:space="preserve"> a graded return to court, built with the athlete and physio — movement patterns first, then pre-planned drills, then reactive and open drills, and finally full-intent, unplanned, competitive cutting and match play. Volume increases before intensity. Hitting and movement days alternate with recovery days at first, and you check the knee for swelling after every new exposure before you write the next one.</w:t>
      </w:r>
    </w:p>
    <w:p>
      <w:pPr>
        <w:spacing w:before="0" w:after="160" w:line="269" w:lineRule="auto"/>
      </w:pPr>
      <w:r>
        <w:rPr>
          <w:rFonts w:ascii="Calibri" w:hAnsi="Calibri"/>
          <w:b/>
          <w:i w:val="0"/>
          <w:color w:val="2B2B28"/>
          <w:sz w:val="22"/>
        </w:rPr>
        <w:t>Why:</w:t>
      </w:r>
      <w:r>
        <w:rPr>
          <w:rFonts w:ascii="Calibri" w:hAnsi="Calibri"/>
          <w:b w:val="0"/>
          <w:i w:val="0"/>
          <w:color w:val="2B2B28"/>
          <w:sz w:val="22"/>
        </w:rPr>
        <w:t xml:space="preserve"> the unplanned, reactive, competitive cut comes dead last because it is the injury mechanism itself, and we sequence from cheapest to most expensive without exception. Volume before intensity because tissue tolerance is dose-dependent and volume is the easier dose to titrate and to walk back. Alternate days with a swelling check because the knee’s honest answer to a new load is the next-morning effusion, and early on we want to read every one of those reports before writing the next exposure. And we co-write this phase with the physio and, where there is one, the technical coach — integration is scored by the UKSCA, and it is how real performance teams actually function.</w:t>
      </w:r>
    </w:p>
    <w:p>
      <w:pPr>
        <w:spacing w:before="0" w:after="160" w:line="269" w:lineRule="auto"/>
      </w:pPr>
      <w:r>
        <w:rPr>
          <w:rFonts w:ascii="Calibri" w:hAnsi="Calibri"/>
          <w:b w:val="0"/>
          <w:i w:val="0"/>
          <w:color w:val="2B2B28"/>
          <w:sz w:val="22"/>
        </w:rPr>
        <w:t>When any gate is failed — and across a hundred cases, plenty are — you do not go back to zero. You step back one exposure level, hold until the response settles, and re-approach. A failed gate is not a failed programme; it is the system doing its job. Better the test fails in week eighteen than the knee gives way in the third game of his comeback match — because in this knee a giving-way isn’t just a setback, it is the event that can tear the meniscus, lose the coper bet, and put him on the surgeon’s list after all. Write the failure and your response in the log — those entries, not the smooth weeks, are what make a case study credible.</w:t>
      </w:r>
    </w:p>
    <w:p>
      <w:pPr>
        <w:pStyle w:val="Heading2"/>
        <w:spacing w:before="220" w:after="60" w:line="240" w:lineRule="auto"/>
      </w:pPr>
      <w:r>
        <w:rPr>
          <w:rFonts w:ascii="Calibri" w:hAnsi="Calibri"/>
          <w:b/>
          <w:i w:val="0"/>
          <w:color w:val="2A5C45"/>
          <w:sz w:val="25"/>
        </w:rPr>
        <w:t>Training the rest of the athlete — the half of the programme that isn’t the knee</w:t>
      </w:r>
    </w:p>
    <w:p>
      <w:pPr>
        <w:spacing w:before="0" w:after="160" w:line="269" w:lineRule="auto"/>
      </w:pPr>
      <w:r>
        <w:rPr>
          <w:rFonts w:ascii="Calibri" w:hAnsi="Calibri"/>
          <w:b w:val="0"/>
          <w:i w:val="0"/>
          <w:color w:val="2B2B28"/>
          <w:sz w:val="22"/>
        </w:rPr>
        <w:t>You are rehabilitating a knee but coaching an athlete, and if the only thing that improves in six to nine months is his knee, you have served him badly. Three threads run in parallel with the knee work, every phase.</w:t>
      </w:r>
    </w:p>
    <w:p>
      <w:pPr>
        <w:spacing w:before="0" w:after="160" w:line="269" w:lineRule="auto"/>
      </w:pPr>
      <w:r>
        <w:rPr>
          <w:rFonts w:ascii="Calibri" w:hAnsi="Calibri"/>
          <w:b/>
          <w:i w:val="0"/>
          <w:color w:val="2B2B28"/>
          <w:sz w:val="22"/>
        </w:rPr>
        <w:t>The whole body kept strong.</w:t>
      </w:r>
      <w:r>
        <w:rPr>
          <w:rFonts w:ascii="Calibri" w:hAnsi="Calibri"/>
          <w:b w:val="0"/>
          <w:i w:val="0"/>
          <w:color w:val="2B2B28"/>
          <w:sz w:val="22"/>
        </w:rPr>
        <w:t xml:space="preserve"> The uninjured leg, the upper body and the trunk train hard and largely normally throughout — this protects his training identity, banks strength you’ll want at return, and prevents the detraining spiral. Train the </w:t>
      </w:r>
      <w:r>
        <w:rPr>
          <w:rFonts w:ascii="Calibri" w:hAnsi="Calibri"/>
          <w:b/>
          <w:i w:val="0"/>
          <w:color w:val="2B2B28"/>
          <w:sz w:val="22"/>
        </w:rPr>
        <w:t>other knee</w:t>
      </w:r>
      <w:r>
        <w:rPr>
          <w:rFonts w:ascii="Calibri" w:hAnsi="Calibri"/>
          <w:b w:val="0"/>
          <w:i w:val="0"/>
          <w:color w:val="2B2B28"/>
          <w:sz w:val="22"/>
        </w:rPr>
        <w:t xml:space="preserve"> deliberately too: after an ACL injury the contralateral knee carries a real, elevated re-injury risk, so its landing mechanics and strength are a prevention target, not an afterthought.</w:t>
      </w:r>
    </w:p>
    <w:p>
      <w:pPr>
        <w:spacing w:before="0" w:after="160" w:line="269" w:lineRule="auto"/>
      </w:pPr>
      <w:r>
        <w:rPr>
          <w:rFonts w:ascii="Calibri" w:hAnsi="Calibri"/>
          <w:b/>
          <w:i w:val="0"/>
          <w:color w:val="2B2B28"/>
          <w:sz w:val="22"/>
        </w:rPr>
        <w:t>The kinetic chain around the joint.</w:t>
      </w:r>
      <w:r>
        <w:rPr>
          <w:rFonts w:ascii="Calibri" w:hAnsi="Calibri"/>
          <w:b w:val="0"/>
          <w:i w:val="0"/>
          <w:color w:val="2B2B28"/>
          <w:sz w:val="22"/>
        </w:rPr>
        <w:t xml:space="preserve"> A knee is protected from above and below. The single biggest thing that reduces the valgus collapse that tears ACLs is </w:t>
      </w:r>
      <w:r>
        <w:rPr>
          <w:rFonts w:ascii="Calibri" w:hAnsi="Calibri"/>
          <w:b/>
          <w:i w:val="0"/>
          <w:color w:val="2B2B28"/>
          <w:sz w:val="22"/>
        </w:rPr>
        <w:t>hip strength and control</w:t>
      </w:r>
      <w:r>
        <w:rPr>
          <w:rFonts w:ascii="Calibri" w:hAnsi="Calibri"/>
          <w:b w:val="0"/>
          <w:i w:val="0"/>
          <w:color w:val="2B2B28"/>
          <w:sz w:val="22"/>
        </w:rPr>
        <w:t xml:space="preserve"> — glutes and abductors — so it is trained as knee insurance, not optional extra. And </w:t>
      </w:r>
      <w:r>
        <w:rPr>
          <w:rFonts w:ascii="Calibri" w:hAnsi="Calibri"/>
          <w:b/>
          <w:i w:val="0"/>
          <w:color w:val="2B2B28"/>
          <w:sz w:val="22"/>
        </w:rPr>
        <w:t>ankle dorsiflexion range</w:t>
      </w:r>
      <w:r>
        <w:rPr>
          <w:rFonts w:ascii="Calibri" w:hAnsi="Calibri"/>
          <w:b w:val="0"/>
          <w:i w:val="0"/>
          <w:color w:val="2B2B28"/>
          <w:sz w:val="22"/>
        </w:rPr>
        <w:t xml:space="preserve"> dictates whether he can absorb a landing at the knee or is forced into valgus; screen it and train it. The knee is often where a hip or ankle problem gets paid for.</w:t>
      </w:r>
    </w:p>
    <w:p>
      <w:pPr>
        <w:spacing w:before="0" w:after="160" w:line="269" w:lineRule="auto"/>
      </w:pPr>
      <w:r>
        <w:rPr>
          <w:rFonts w:ascii="Calibri" w:hAnsi="Calibri"/>
          <w:b/>
          <w:i w:val="0"/>
          <w:color w:val="2B2B28"/>
          <w:sz w:val="22"/>
        </w:rPr>
        <w:t>Conditioning — the quality that quietly disappears.</w:t>
      </w:r>
      <w:r>
        <w:rPr>
          <w:rFonts w:ascii="Calibri" w:hAnsi="Calibri"/>
          <w:b w:val="0"/>
          <w:i w:val="0"/>
          <w:color w:val="2B2B28"/>
          <w:sz w:val="22"/>
        </w:rPr>
        <w:t xml:space="preserve"> This is the thread most rehab forgets, and it is the one most likely to get him re-hurt. Padel is a repeat-effort sport on an aerobic base; six to nine months of joint-focused training with no conditioning returns a strong knee bolted to an unfit athlete — and fatigue is exactly where cutting mechanics fall apart and ACLs go. So conditioning runs across the phases on knee-safe modes: early on, non-provocative aerobic work (upper-body ergometer, bike, pool) to hold the base; later, progressive repeat-effort and reactive change-of-direction conditioning that rebuilds match fitness before the match demands it of him. Return him fit, not just strong.</w:t>
      </w:r>
    </w:p>
    <w:p>
      <w:pPr>
        <w:pStyle w:val="Heading2"/>
        <w:spacing w:before="220" w:after="60" w:line="240" w:lineRule="auto"/>
      </w:pPr>
      <w:r>
        <w:rPr>
          <w:rFonts w:ascii="Calibri" w:hAnsi="Calibri"/>
          <w:b/>
          <w:i w:val="0"/>
          <w:color w:val="2A5C45"/>
          <w:sz w:val="25"/>
        </w:rPr>
        <w:t>How the loading actually progresses — autoregulation, ladders, and a sample week</w:t>
      </w:r>
    </w:p>
    <w:p>
      <w:pPr>
        <w:spacing w:before="0" w:after="160" w:line="269" w:lineRule="auto"/>
      </w:pPr>
      <w:r>
        <w:rPr>
          <w:rFonts w:ascii="Calibri" w:hAnsi="Calibri"/>
          <w:b w:val="0"/>
          <w:i w:val="0"/>
          <w:color w:val="2B2B28"/>
          <w:sz w:val="22"/>
        </w:rPr>
        <w:t xml:space="preserve">Phases give you the shape; these three tools tell you what to write on Monday. First, </w:t>
      </w:r>
      <w:r>
        <w:rPr>
          <w:rFonts w:ascii="Calibri" w:hAnsi="Calibri"/>
          <w:b/>
          <w:i w:val="0"/>
          <w:color w:val="2B2B28"/>
          <w:sz w:val="22"/>
        </w:rPr>
        <w:t>autoregulate.</w:t>
      </w:r>
      <w:r>
        <w:rPr>
          <w:rFonts w:ascii="Calibri" w:hAnsi="Calibri"/>
          <w:b w:val="0"/>
          <w:i w:val="0"/>
          <w:color w:val="2B2B28"/>
          <w:sz w:val="22"/>
        </w:rPr>
        <w:t xml:space="preserve"> For a post-injury athlete whose readiness swings day to day, prescribe by effort and reps-in-reserve, not fixed percentages. Week one deliberately leaves three to four reps in the tank on everything — both to protect an unknown tolerance and to let the honest logs of those weeks become his true working weights. Readiness up, you take the top of the range; readiness or swelling up, you take the bottom, and you don’t apologise for it.</w:t>
      </w:r>
    </w:p>
    <w:p>
      <w:pPr>
        <w:spacing w:before="0" w:after="160" w:line="269" w:lineRule="auto"/>
      </w:pPr>
      <w:r>
        <w:rPr>
          <w:rFonts w:ascii="Calibri" w:hAnsi="Calibri"/>
          <w:b w:val="0"/>
          <w:i w:val="0"/>
          <w:color w:val="2B2B28"/>
          <w:sz w:val="22"/>
        </w:rPr>
        <w:t xml:space="preserve">Second, climb a </w:t>
      </w:r>
      <w:r>
        <w:rPr>
          <w:rFonts w:ascii="Calibri" w:hAnsi="Calibri"/>
          <w:b/>
          <w:i w:val="0"/>
          <w:color w:val="2B2B28"/>
          <w:sz w:val="22"/>
        </w:rPr>
        <w:t>progression ladder</w:t>
      </w:r>
      <w:r>
        <w:rPr>
          <w:rFonts w:ascii="Calibri" w:hAnsi="Calibri"/>
          <w:b w:val="0"/>
          <w:i w:val="0"/>
          <w:color w:val="2B2B28"/>
          <w:sz w:val="22"/>
        </w:rPr>
        <w:t xml:space="preserve"> for every quality, so you always have the next rung ready when he passes and the rung below ready when he doesn’t: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450"/>
        <w:gridCol w:w="6900"/>
      </w:tblGrid>
      <w:tr>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Quality</w:t>
            </w:r>
          </w:p>
        </w:tc>
        <w:tc>
          <w:tcPr>
            <w:tcW w:type="dxa" w:w="6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Regression → progression ladder (climb only when the rung below is clean, dry and pain-free)</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Quadriceps (the priority)</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Quad sets / SLR → leg press &amp; squat to safe depth → split squat → open-chain knee extension (pain-free range) → heavy / single-leg</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Hamstrings (the ACL’s agonist)</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Bridges &amp; hip-hinge → Romanian deadlift → razor / eccentric curls → Nordic hamstring progressions</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Plyometric / landing</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Two-leg drop-and-stick → single-leg stick landings → planned hops → reactive / unplanned landings</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Change of direction</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Deceleration drills → pre-planned cuts → cued reactive cuts → open, competitive cutting</w:t>
            </w:r>
          </w:p>
        </w:tc>
      </w:tr>
      <w:tr>
        <w:tc>
          <w:tcPr>
            <w:tcW w:type="dxa" w:w="2450"/>
            <w:tcMar>
              <w:top w:w="70" w:type="dxa"/>
              <w:left w:w="130" w:type="dxa"/>
              <w:bottom w:w="70" w:type="dxa"/>
              <w:right w:w="130" w:type="dxa"/>
            </w:tcMar>
            <w:vAlign w:val="top"/>
          </w:tcPr>
          <w:p>
            <w:pPr>
              <w:spacing w:before="0" w:after="0" w:line="240" w:lineRule="auto"/>
            </w:pPr>
            <w:r>
              <w:rPr>
                <w:rFonts w:ascii="Calibri" w:hAnsi="Calibri"/>
                <w:b/>
                <w:i w:val="0"/>
                <w:color w:val="2B2B28"/>
                <w:sz w:val="20"/>
              </w:rPr>
              <w:t>Conditioning</w:t>
            </w:r>
          </w:p>
        </w:tc>
        <w:tc>
          <w:tcPr>
            <w:tcW w:type="dxa" w:w="6900"/>
            <w:tcMar>
              <w:top w:w="70" w:type="dxa"/>
              <w:left w:w="130" w:type="dxa"/>
              <w:bottom w:w="70" w:type="dxa"/>
              <w:right w:w="130" w:type="dxa"/>
            </w:tcMar>
            <w:vAlign w:val="top"/>
          </w:tcPr>
          <w:p>
            <w:pPr>
              <w:spacing w:before="0" w:after="0" w:line="240" w:lineRule="auto"/>
            </w:pPr>
            <w:r>
              <w:rPr>
                <w:rFonts w:ascii="Calibri" w:hAnsi="Calibri"/>
                <w:b/>
                <w:i w:val="0"/>
                <w:color w:val="2B2B28"/>
                <w:sz w:val="20"/>
              </w:rPr>
              <w:t>Aerobic base (knee-safe mode) → tempo intervals → repeat-effort → reactive COD conditioning at match density</w:t>
            </w:r>
          </w:p>
        </w:tc>
      </w:tr>
    </w:tbl>
    <w:p>
      <w:pPr>
        <w:spacing w:after="40"/>
      </w:pPr>
    </w:p>
    <w:p>
      <w:pPr>
        <w:spacing w:before="0" w:after="160" w:line="269" w:lineRule="auto"/>
      </w:pPr>
      <w:r>
        <w:rPr>
          <w:rFonts w:ascii="Calibri" w:hAnsi="Calibri"/>
          <w:b w:val="0"/>
          <w:i w:val="0"/>
          <w:color w:val="2B2B28"/>
          <w:sz w:val="22"/>
        </w:rPr>
        <w:t xml:space="preserve">Third, </w:t>
      </w:r>
      <w:r>
        <w:rPr>
          <w:rFonts w:ascii="Calibri" w:hAnsi="Calibri"/>
          <w:b/>
          <w:i w:val="0"/>
          <w:color w:val="2B2B28"/>
          <w:sz w:val="22"/>
        </w:rPr>
        <w:t>deload before he needs it.</w:t>
      </w:r>
      <w:r>
        <w:rPr>
          <w:rFonts w:ascii="Calibri" w:hAnsi="Calibri"/>
          <w:b w:val="0"/>
          <w:i w:val="0"/>
          <w:color w:val="2B2B28"/>
          <w:sz w:val="22"/>
        </w:rPr>
        <w:t xml:space="preserve"> There is no fixed deload week; you pull load off from readiness, the swelling trend, and the combined-load trend (court included). If two weeks stack high, or readiness sags, or the knee gets a little full, the next week backs off — a planned step down, not a stumble.</w:t>
      </w:r>
    </w:p>
    <w:p>
      <w:pPr>
        <w:spacing w:before="0" w:after="160" w:line="269" w:lineRule="auto"/>
      </w:pPr>
      <w:r>
        <w:rPr>
          <w:rFonts w:ascii="Calibri" w:hAnsi="Calibri"/>
          <w:b w:val="0"/>
          <w:i w:val="0"/>
          <w:color w:val="2B2B28"/>
          <w:sz w:val="22"/>
        </w:rPr>
        <w:t xml:space="preserve">And a </w:t>
      </w:r>
      <w:r>
        <w:rPr>
          <w:rFonts w:ascii="Calibri" w:hAnsi="Calibri"/>
          <w:b/>
          <w:i w:val="0"/>
          <w:color w:val="2B2B28"/>
          <w:sz w:val="22"/>
        </w:rPr>
        <w:t>sample microcycle</w:t>
      </w:r>
      <w:r>
        <w:rPr>
          <w:rFonts w:ascii="Calibri" w:hAnsi="Calibri"/>
          <w:b w:val="0"/>
          <w:i w:val="0"/>
          <w:color w:val="2B2B28"/>
          <w:sz w:val="22"/>
        </w:rPr>
        <w:t>, built so the hardest lower-body work and the reactive/court work are never stacked, and every new exposure gets a next-morning swelling check:</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250"/>
        <w:gridCol w:w="3050"/>
        <w:gridCol w:w="3150"/>
        <w:gridCol w:w="1900"/>
      </w:tblGrid>
      <w:tr>
        <w:tc>
          <w:tcPr>
            <w:tcW w:type="dxa" w:w="12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Day</w:t>
            </w:r>
          </w:p>
        </w:tc>
        <w:tc>
          <w:tcPr>
            <w:tcW w:type="dxa" w:w="3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Focus</w:t>
            </w:r>
          </w:p>
        </w:tc>
        <w:tc>
          <w:tcPr>
            <w:tcW w:type="dxa" w:w="3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Load</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Mon</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Lower — strength (quad priority)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Heaviest lower day</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Peak</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Tue</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Upper + trunk + easy aerobic</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Keeps the athlete built</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Moderate</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Wed</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Plyometric / reactive control</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Not the day after heavy lower</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Moderate</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Thu</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Court (flexible) / movement</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Counts as load; swelling check after</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Fri</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Lower — single-leg + hamstring</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Spaced from Monday</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Moderate</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Sat</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Court (flexible) / match</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If competitive, next day is easy</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w:t>
            </w:r>
          </w:p>
        </w:tc>
      </w:tr>
      <w:tr>
        <w:tc>
          <w:tcPr>
            <w:tcW w:type="dxa" w:w="1250"/>
            <w:tcMar>
              <w:top w:w="70" w:type="dxa"/>
              <w:left w:w="130" w:type="dxa"/>
              <w:bottom w:w="70" w:type="dxa"/>
              <w:right w:w="130" w:type="dxa"/>
            </w:tcMar>
            <w:vAlign w:val="top"/>
          </w:tcPr>
          <w:p>
            <w:pPr>
              <w:spacing w:before="0" w:after="0" w:line="240" w:lineRule="auto"/>
            </w:pPr>
            <w:r>
              <w:rPr>
                <w:rFonts w:ascii="Calibri" w:hAnsi="Calibri"/>
                <w:b/>
                <w:i w:val="0"/>
                <w:color w:val="2B2B28"/>
                <w:sz w:val="20"/>
              </w:rPr>
              <w:t>Sun</w:t>
            </w:r>
          </w:p>
        </w:tc>
        <w:tc>
          <w:tcPr>
            <w:tcW w:type="dxa" w:w="3050"/>
            <w:tcMar>
              <w:top w:w="70" w:type="dxa"/>
              <w:left w:w="130" w:type="dxa"/>
              <w:bottom w:w="70" w:type="dxa"/>
              <w:right w:w="130" w:type="dxa"/>
            </w:tcMar>
            <w:vAlign w:val="top"/>
          </w:tcPr>
          <w:p>
            <w:pPr>
              <w:spacing w:before="0" w:after="0" w:line="240" w:lineRule="auto"/>
            </w:pPr>
            <w:r>
              <w:rPr>
                <w:rFonts w:ascii="Calibri" w:hAnsi="Calibri"/>
                <w:b/>
                <w:i w:val="0"/>
                <w:color w:val="2B2B28"/>
                <w:sz w:val="20"/>
              </w:rPr>
              <w:t>Off / mobility</w:t>
            </w:r>
          </w:p>
        </w:tc>
        <w:tc>
          <w:tcPr>
            <w:tcW w:type="dxa" w:w="3150"/>
            <w:tcMar>
              <w:top w:w="70" w:type="dxa"/>
              <w:left w:w="130" w:type="dxa"/>
              <w:bottom w:w="70" w:type="dxa"/>
              <w:right w:w="130" w:type="dxa"/>
            </w:tcMar>
            <w:vAlign w:val="top"/>
          </w:tcPr>
          <w:p>
            <w:pPr>
              <w:spacing w:before="0" w:after="0" w:line="240" w:lineRule="auto"/>
            </w:pPr>
            <w:r>
              <w:rPr>
                <w:rFonts w:ascii="Calibri" w:hAnsi="Calibri"/>
                <w:b/>
                <w:i w:val="0"/>
                <w:color w:val="2B2B28"/>
                <w:sz w:val="20"/>
              </w:rPr>
              <w:t>Recovery; morning swelling check</w:t>
            </w:r>
          </w:p>
        </w:tc>
        <w:tc>
          <w:tcPr>
            <w:tcW w:type="dxa" w:w="1900"/>
            <w:tcMar>
              <w:top w:w="70" w:type="dxa"/>
              <w:left w:w="130" w:type="dxa"/>
              <w:bottom w:w="70" w:type="dxa"/>
              <w:right w:w="130" w:type="dxa"/>
            </w:tcMar>
            <w:vAlign w:val="top"/>
          </w:tcPr>
          <w:p>
            <w:pPr>
              <w:spacing w:before="0" w:after="0" w:line="240" w:lineRule="auto"/>
            </w:pPr>
            <w:r>
              <w:rPr>
                <w:rFonts w:ascii="Calibri" w:hAnsi="Calibri"/>
                <w:b/>
                <w:i w:val="0"/>
                <w:color w:val="2B2B28"/>
                <w:sz w:val="20"/>
              </w:rPr>
              <w:t>Low</w:t>
            </w:r>
          </w:p>
        </w:tc>
      </w:tr>
    </w:tbl>
    <w:p>
      <w:pPr>
        <w:spacing w:after="40"/>
      </w:pPr>
    </w:p>
    <w:p>
      <w:pPr>
        <w:spacing w:before="0" w:after="140" w:line="269" w:lineRule="auto"/>
      </w:pPr>
      <w:r>
        <w:rPr>
          <w:rFonts w:ascii="Calibri" w:hAnsi="Calibri"/>
          <w:b w:val="0"/>
          <w:i/>
          <w:color w:val="6B6B66"/>
          <w:sz w:val="20"/>
        </w:rPr>
        <w:t>A template, not a prescription — the point is the logic (undulating load, court counted as load, hard lower and reactive days spaced, swelling checked after new exposures), not these exact days. His real week bends around his court schedule and his readiness.</w:t>
      </w:r>
    </w:p>
    <w:p>
      <w:pPr>
        <w:pStyle w:val="Heading2"/>
        <w:spacing w:before="220" w:after="60" w:line="240" w:lineRule="auto"/>
      </w:pPr>
      <w:r>
        <w:rPr>
          <w:rFonts w:ascii="Calibri" w:hAnsi="Calibri"/>
          <w:b/>
          <w:i w:val="0"/>
          <w:color w:val="2A5C45"/>
          <w:sz w:val="25"/>
        </w:rPr>
        <w:t>Coaching it, not just prescribing it — technical models &amp; cues</w:t>
      </w:r>
    </w:p>
    <w:p>
      <w:pPr>
        <w:spacing w:before="0" w:after="160" w:line="269" w:lineRule="auto"/>
      </w:pPr>
      <w:r>
        <w:rPr>
          <w:rFonts w:ascii="Calibri" w:hAnsi="Calibri"/>
          <w:b w:val="0"/>
          <w:i w:val="0"/>
          <w:color w:val="2B2B28"/>
          <w:sz w:val="22"/>
        </w:rPr>
        <w:t>Selecting the right exercise is half the job; the other half — the half an assessor actually watches — is coaching it well. For every key task, hold a technical model in your head, two or three cues that get him there, and the common fault you’re watching for. The ones that matter most for this knee: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300"/>
        <w:gridCol w:w="3550"/>
        <w:gridCol w:w="3500"/>
      </w:tblGrid>
      <w:tr>
        <w:tc>
          <w:tcPr>
            <w:tcW w:type="dxa" w:w="23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Task</w:t>
            </w:r>
          </w:p>
        </w:tc>
        <w:tc>
          <w:tcPr>
            <w:tcW w:type="dxa" w:w="35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Cue that works</w:t>
            </w:r>
          </w:p>
        </w:tc>
        <w:tc>
          <w:tcPr>
            <w:tcW w:type="dxa" w:w="3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Fault you’re watching for</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Squat / leg press</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“Knees track over the middle toes, drive the floor away”</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Knee caving in (valgus); dodging depth to spare the quad</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Nordic / hamstring</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“Long through the hips, lower as slow as you can”</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Bending at the hips; dropping fast (missing the eccentric)</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Landing</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“Land soft and quiet, hips back, knee over foot”</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Stiff, straight-legged landing; knee collapsing inward</w:t>
            </w:r>
          </w:p>
        </w:tc>
      </w:tr>
      <w:tr>
        <w:tc>
          <w:tcPr>
            <w:tcW w:type="dxa" w:w="2300"/>
            <w:tcMar>
              <w:top w:w="70" w:type="dxa"/>
              <w:left w:w="130" w:type="dxa"/>
              <w:bottom w:w="70" w:type="dxa"/>
              <w:right w:w="130" w:type="dxa"/>
            </w:tcMar>
            <w:vAlign w:val="top"/>
          </w:tcPr>
          <w:p>
            <w:pPr>
              <w:spacing w:before="0" w:after="0" w:line="240" w:lineRule="auto"/>
            </w:pPr>
            <w:r>
              <w:rPr>
                <w:rFonts w:ascii="Calibri" w:hAnsi="Calibri"/>
                <w:b/>
                <w:i w:val="0"/>
                <w:color w:val="2B2B28"/>
                <w:sz w:val="20"/>
              </w:rPr>
              <w:t>Deceleration / cut</w:t>
            </w:r>
          </w:p>
        </w:tc>
        <w:tc>
          <w:tcPr>
            <w:tcW w:type="dxa" w:w="3550"/>
            <w:tcMar>
              <w:top w:w="70" w:type="dxa"/>
              <w:left w:w="130" w:type="dxa"/>
              <w:bottom w:w="70" w:type="dxa"/>
              <w:right w:w="130" w:type="dxa"/>
            </w:tcMar>
            <w:vAlign w:val="top"/>
          </w:tcPr>
          <w:p>
            <w:pPr>
              <w:spacing w:before="0" w:after="0" w:line="240" w:lineRule="auto"/>
            </w:pPr>
            <w:r>
              <w:rPr>
                <w:rFonts w:ascii="Calibri" w:hAnsi="Calibri"/>
                <w:b/>
                <w:i w:val="0"/>
                <w:color w:val="2B2B28"/>
                <w:sz w:val="20"/>
              </w:rPr>
              <w:t>“Sink and brake, chest up, push off the outside foot”</w:t>
            </w:r>
          </w:p>
        </w:tc>
        <w:tc>
          <w:tcPr>
            <w:tcW w:type="dxa" w:w="3500"/>
            <w:tcMar>
              <w:top w:w="70" w:type="dxa"/>
              <w:left w:w="130" w:type="dxa"/>
              <w:bottom w:w="70" w:type="dxa"/>
              <w:right w:w="130" w:type="dxa"/>
            </w:tcMar>
            <w:vAlign w:val="top"/>
          </w:tcPr>
          <w:p>
            <w:pPr>
              <w:spacing w:before="0" w:after="0" w:line="240" w:lineRule="auto"/>
            </w:pPr>
            <w:r>
              <w:rPr>
                <w:rFonts w:ascii="Calibri" w:hAnsi="Calibri"/>
                <w:b/>
                <w:i w:val="0"/>
                <w:color w:val="2B2B28"/>
                <w:sz w:val="20"/>
              </w:rPr>
              <w:t>Upright braking; knee caving; landing then thinking</w:t>
            </w:r>
          </w:p>
        </w:tc>
      </w:tr>
    </w:tbl>
    <w:p>
      <w:pPr>
        <w:spacing w:after="40"/>
      </w:pPr>
    </w:p>
    <w:p>
      <w:pPr>
        <w:spacing w:before="0" w:after="160" w:line="269" w:lineRule="auto"/>
      </w:pPr>
      <w:r>
        <w:rPr>
          <w:rFonts w:ascii="Calibri" w:hAnsi="Calibri"/>
          <w:b w:val="0"/>
          <w:i w:val="0"/>
          <w:color w:val="2B2B28"/>
          <w:sz w:val="22"/>
        </w:rPr>
        <w:t>Write your cues before the session and log which ones landed — that record is coaching evidence, and it’s the difference between “I prescribed some plyometrics” and “I coached this athlete to land and cut with a knee that tracks over the foot.”</w:t>
      </w:r>
    </w:p>
    <w:tbl>
      <w:tblPr>
        <w:tblW w:type="auto" w:w="0"/>
        <w:tblLook w:firstColumn="1" w:firstRow="1" w:lastColumn="0" w:lastRow="0" w:noHBand="0" w:noVBand="1" w:val="04A0"/>
        <w:tblW w:w="9350" w:type="dxa"/>
        <w:tblLayout w:type="fixed"/>
        <w:tblBorders>
          <w:top w:val="single" w:sz="12" w:space="0" w:color="2A5C45"/>
          <w:left w:val="single" w:sz="24" w:space="0" w:color="C4522A"/>
          <w:bottom w:val="single" w:sz="12" w:space="0" w:color="2A5C45"/>
          <w:right w:val="none" w:sz="0" w:space="0" w:color="FFFFFF"/>
          <w:insideH w:val="none" w:sz="0" w:space="0" w:color="FFFFFF"/>
          <w:insideV w:val="none" w:sz="0" w:space="0" w:color="FFFFFF"/>
        </w:tblBorders>
      </w:tblPr>
      <w:tblGrid>
        <w:gridCol w:w="9350"/>
      </w:tblGrid>
      <w:tr>
        <w:tc>
          <w:tcPr>
            <w:tcW w:type="dxa" w:w="9350"/>
            <w:shd w:val="clear" w:color="auto" w:fill="EDEAE4"/>
            <w:tcMar>
              <w:top w:w="150" w:type="dxa"/>
              <w:left w:w="230" w:type="dxa"/>
              <w:bottom w:w="150" w:type="dxa"/>
              <w:right w:w="180" w:type="dxa"/>
            </w:tcMar>
          </w:tcPr>
          <w:p>
            <w:pPr>
              <w:spacing w:before="0" w:after="80" w:line="240" w:lineRule="auto"/>
            </w:pPr>
            <w:r>
              <w:rPr>
                <w:rFonts w:ascii="Calibri" w:hAnsi="Calibri"/>
                <w:b/>
                <w:i w:val="0"/>
                <w:color w:val="C4522A"/>
                <w:sz w:val="22"/>
              </w:rPr>
              <w:t>MENTOR MOMENT 3</w:t>
            </w:r>
          </w:p>
          <w:p>
            <w:pPr>
              <w:spacing w:before="0" w:after="80" w:line="269" w:lineRule="auto"/>
            </w:pPr>
            <w:r>
              <w:rPr>
                <w:rFonts w:ascii="Calibri" w:hAnsi="Calibri"/>
                <w:b/>
                <w:color w:val="2A5C45"/>
                <w:sz w:val="22"/>
              </w:rPr>
              <w:t xml:space="preserve">The situation: </w:t>
            </w:r>
            <w:r>
              <w:rPr>
                <w:rFonts w:ascii="Calibri" w:hAnsi="Calibri"/>
                <w:b w:val="0"/>
                <w:i w:val="0"/>
                <w:color w:val="2B2B28"/>
                <w:sz w:val="22"/>
              </w:rPr>
              <w:t>Week 18. Everything trends well, he feels fantastic, and — with a tournament three weeks out — he pushes to return to full competitive, cutting play now. “I feel 100%.”</w:t>
            </w:r>
          </w:p>
          <w:p>
            <w:pPr>
              <w:spacing w:before="0" w:after="80" w:line="269" w:lineRule="auto"/>
            </w:pPr>
            <w:r>
              <w:rPr>
                <w:rFonts w:ascii="Calibri" w:hAnsi="Calibri"/>
                <w:b/>
                <w:color w:val="2A5C45"/>
                <w:sz w:val="22"/>
              </w:rPr>
              <w:t xml:space="preserve">What most coaches do: </w:t>
            </w:r>
            <w:r>
              <w:rPr>
                <w:rFonts w:ascii="Calibri" w:hAnsi="Calibri"/>
                <w:b w:val="0"/>
                <w:i w:val="0"/>
                <w:color w:val="2B2B28"/>
                <w:sz w:val="22"/>
              </w:rPr>
              <w:t>Reward the good feeling and let him back to full play. He’s the client, he’s confident, and the knee tests well.</w:t>
            </w:r>
          </w:p>
          <w:p>
            <w:pPr>
              <w:spacing w:before="0" w:after="80" w:line="269" w:lineRule="auto"/>
            </w:pPr>
            <w:r>
              <w:rPr>
                <w:rFonts w:ascii="Calibri" w:hAnsi="Calibri"/>
                <w:b/>
                <w:color w:val="2A5C45"/>
                <w:sz w:val="22"/>
              </w:rPr>
              <w:t xml:space="preserve">The elite thinking: </w:t>
            </w:r>
            <w:r>
              <w:rPr>
                <w:rFonts w:ascii="Calibri" w:hAnsi="Calibri"/>
                <w:b w:val="0"/>
                <w:i w:val="0"/>
                <w:color w:val="2B2B28"/>
                <w:sz w:val="22"/>
              </w:rPr>
              <w:t>You don’t argue with how he feels; you put the re-injury data on the table. A conservatively managed knee that returns on feeling rather than on passed criteria re-injures at a rate that should stop the conversation, and the reactive cut he wants to do is the precise movement that hurt it. Then you give him a yes inside the no: he can play now in a controlled format — doubles, pre-planned patterns, no full-intent reactive cutting — and open, competitive cutting the week his criteria clear, with the physio’s agreement. Athletes rarely want to skip steps; they want to feel the plan is moving. Give them legitimate movement.</w:t>
            </w:r>
          </w:p>
          <w:p>
            <w:pPr>
              <w:spacing w:before="0" w:after="80" w:line="269" w:lineRule="auto"/>
            </w:pPr>
            <w:r>
              <w:rPr>
                <w:rFonts w:ascii="Calibri" w:hAnsi="Calibri"/>
                <w:b/>
                <w:color w:val="2A5C45"/>
                <w:sz w:val="22"/>
              </w:rPr>
              <w:t xml:space="preserve">The shift: </w:t>
            </w:r>
            <w:r>
              <w:rPr>
                <w:rFonts w:ascii="Calibri" w:hAnsi="Calibri"/>
                <w:b w:val="0"/>
                <w:i w:val="0"/>
                <w:color w:val="2B2B28"/>
                <w:sz w:val="22"/>
              </w:rPr>
              <w:t>With a conservatively managed ACL, “I feel 100%” is the single most dangerous sentence in the room — the knee doesn’t know how he feels, and the meniscus pays for a giving-way. Hold the gate, but always hand him something real he can do.</w:t>
            </w:r>
          </w:p>
        </w:tc>
      </w:tr>
    </w:tbl>
    <w:p>
      <w:pPr>
        <w:spacing w:after="40"/>
      </w:pPr>
    </w:p>
    <w:p>
      <w:pPr>
        <w:pStyle w:val="Heading1"/>
        <w:spacing w:before="320" w:after="100" w:line="240" w:lineRule="auto"/>
      </w:pPr>
      <w:r>
        <w:rPr>
          <w:rFonts w:ascii="Calibri" w:hAnsi="Calibri"/>
          <w:b/>
          <w:i w:val="0"/>
          <w:color w:val="C4522A"/>
          <w:sz w:val="30"/>
        </w:rPr>
        <w:t>Step 5 — Monitor the Week, Not Just the Phase</w:t>
      </w:r>
    </w:p>
    <w:p>
      <w:pPr>
        <w:spacing w:before="0" w:after="160" w:line="269" w:lineRule="auto"/>
      </w:pPr>
      <w:r>
        <w:rPr>
          <w:rFonts w:ascii="Calibri" w:hAnsi="Calibri"/>
          <w:b w:val="0"/>
          <w:i w:val="0"/>
          <w:color w:val="2B2B28"/>
          <w:sz w:val="22"/>
        </w:rPr>
        <w:t>Phase gates are the big decisions; weekly monitoring is how you avoid needing emergency ones. Every week, the same short set gets logged: sessions completed versus planned, average session RPE, the worst daily pain and its trend, any effusion (the metric that matters most here — a single “yes” is a message to the physio), any giving-way episode (the count you want to keep at zero), sleep, general readiness, and the one coaching focus you gave him that week. Multiply session RPE by duration and add the court, and you have a crude but honest internal load number — its job is not precision, it is catching spikes, because load spikes are how well-managed knees quietly become swollen ones.</w:t>
      </w:r>
    </w:p>
    <w:p>
      <w:pPr>
        <w:spacing w:before="0" w:after="160" w:line="269" w:lineRule="auto"/>
      </w:pPr>
      <w:r>
        <w:rPr>
          <w:rFonts w:ascii="Calibri" w:hAnsi="Calibri"/>
          <w:b w:val="0"/>
          <w:i w:val="0"/>
          <w:color w:val="2B2B28"/>
          <w:sz w:val="22"/>
        </w:rPr>
        <w:t>Why so light-touch? Because monitoring only works if it actually happens, and athletes abandon heavy daily questionnaires by week three. A weekly rhythm he can sustain beats a daily one he ignores. If you already run a coaching system with weekly logs and check-ins — as you do — this slots straight into it: the pain, effusion and giving-way notes live in the athlete-specific monitoring section, and the status flags catch anything that needs action.</w:t>
      </w:r>
    </w:p>
    <w:p>
      <w:pPr>
        <w:spacing w:before="0" w:after="160" w:line="269" w:lineRule="auto"/>
      </w:pPr>
      <w:r>
        <w:rPr>
          <w:rFonts w:ascii="Calibri" w:hAnsi="Calibri"/>
          <w:b w:val="0"/>
          <w:i w:val="0"/>
          <w:color w:val="2B2B28"/>
          <w:sz w:val="22"/>
        </w:rPr>
        <w:t>And here is the case-study secret hiding inside the boring weekly log: assessors distrust smooth stories. The weeks where the knee swelled a little, readiness dipped, and you pulled the next session back — those entries are the visible evidence of coaching judgement, which is the actual thing being assessed. Log the mess. The mess is the portfolio.</w:t>
      </w:r>
    </w:p>
    <w:p>
      <w:pPr>
        <w:pStyle w:val="Heading2"/>
        <w:spacing w:before="220" w:after="60" w:line="240" w:lineRule="auto"/>
      </w:pPr>
      <w:r>
        <w:rPr>
          <w:rFonts w:ascii="Calibri" w:hAnsi="Calibri"/>
          <w:b/>
          <w:i w:val="0"/>
          <w:color w:val="2A5C45"/>
          <w:sz w:val="25"/>
        </w:rPr>
        <w:t>When it flares — the setback protocol (write it before you need it)</w:t>
      </w:r>
    </w:p>
    <w:p>
      <w:pPr>
        <w:spacing w:before="0" w:after="160" w:line="269" w:lineRule="auto"/>
      </w:pPr>
      <w:r>
        <w:rPr>
          <w:rFonts w:ascii="Calibri" w:hAnsi="Calibri"/>
          <w:b w:val="0"/>
          <w:i w:val="0"/>
          <w:color w:val="2B2B28"/>
          <w:sz w:val="22"/>
        </w:rPr>
        <w:t>Flares happen; a programme that never has one was too timid to have worked. What separates a professional from an amateur is having the response written down before the flare, so the athlete acts on a plan instead of panicking or pushing through. Give him this, on a card (Form 13): if the knee flares — new swelling, pain clearly worse the next morning, or (the non-negotiable one) any giving-way episode — he drops to relative rest for 24–48 hours (keep moving, offload the provoker), not complete rest, and messages you the same day. You regress the offending exposure by one rung on the ladder, hold there until the knee is dry and quiet by the morning-after rule for two to three sessions, then re-approach at that lower rung. A single giving-way, or a second effusion at the same rung, goes to the physio — not back into the programme — because in this knee those are the exact events that decide the coper bet. The rule underneath all of it: a flare is information, not failure. It tells you the dose beat the tissue’s current capacity — and because the ligament and meniscus adapt more slowly than the muscle around them, patience is the strategy, not the consolation prize.</w:t>
      </w:r>
    </w:p>
    <w:p>
      <w:pPr>
        <w:pStyle w:val="Heading1"/>
        <w:spacing w:before="320" w:after="100" w:line="240" w:lineRule="auto"/>
      </w:pPr>
      <w:r>
        <w:rPr>
          <w:rFonts w:ascii="Calibri" w:hAnsi="Calibri"/>
          <w:b/>
          <w:i w:val="0"/>
          <w:color w:val="C4522A"/>
          <w:sz w:val="30"/>
        </w:rPr>
        <w:t>Step 6 — The Return Decision: A Continuum, Shared</w:t>
      </w:r>
    </w:p>
    <w:p>
      <w:pPr>
        <w:spacing w:before="0" w:after="160" w:line="269" w:lineRule="auto"/>
      </w:pPr>
      <w:r>
        <w:rPr>
          <w:rFonts w:ascii="Calibri" w:hAnsi="Calibri"/>
          <w:b w:val="0"/>
          <w:i w:val="0"/>
          <w:color w:val="2B2B28"/>
          <w:sz w:val="22"/>
        </w:rPr>
        <w:t>“Return to sport” is not a door he walks through; it is a corridor with three stages, and naming them prevents the most common late-stage mistake. Return to participation: full training, modified match exposure. Return to sport: competing again at some level. Return to performance: competing at or beyond his pre-injury level. An athlete who has hit for two weeks of practice has not “returned” — he has entered the corridor. Plan match exposure like you planned everything else: doubles before singles, pre-planned before reactive, one match before back-to-back match days, club level before his real level.</w:t>
      </w:r>
    </w:p>
    <w:p>
      <w:pPr>
        <w:spacing w:before="0" w:after="160" w:line="269" w:lineRule="auto"/>
      </w:pPr>
      <w:r>
        <w:rPr>
          <w:rFonts w:ascii="Calibri" w:hAnsi="Calibri"/>
          <w:b w:val="0"/>
          <w:i w:val="0"/>
          <w:color w:val="2B2B28"/>
          <w:sz w:val="22"/>
        </w:rPr>
        <w:t>The decision itself is shared, and deliberately so. The clinician confirms the medical side — that the knee has stayed stable, quiet and dry under the loading you built. You bring the criteria sheet — every gate passed, with dates and numbers. And the athlete brings the piece no dynamometer measures: whether he trusts the knee to cut at full intent without thinking about it. Ask him directly every court week, zero to ten, and track it with the ACL-RSI, because fear of re-injury is not softness — it measurably changes landing and cutting mechanics, and a knee protected by a hesitant nervous system is a knee cutting with the wrong strategy. A knee that tests strong but is not trusted is not ready, and the reverse is equally true.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600"/>
        <w:gridCol w:w="5750"/>
      </w:tblGrid>
      <w:tr>
        <w:tc>
          <w:tcPr>
            <w:tcW w:type="dxa" w:w="36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Final return-to-competition criteria</w:t>
            </w:r>
          </w:p>
        </w:tc>
        <w:tc>
          <w:tcPr>
            <w:tcW w:type="dxa" w:w="5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Why it earns its place</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No effusion across full training and match weeks, including next-day checks</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joint tolerates the sport’s real weekly dose; a dry knee is the honest sign it’s coping</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Quadriceps index ≥90%, confirmed on absolute terms</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strongest modifiable predictor of function and re-injury, and not faked by a detrained other leg</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Hop battery ≥90% on all tests with clean, symmetrical landing quality</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Dynamic symmetry earned by strategy, not borrowed by stiffness</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Deceleration and reactive change-of-direction controlled at full intent, no valgus</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injury mechanism itself has been rehearsed and passed</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Zero giving-way episodes across the full return phase</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The coper bet is evidenced, not assumed — the knee controls what the ligament no longer restrains</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confidence ≥8/10 and ACL-RSI at the return threshold</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He trusts the knee to cut unplanned — mechanics stay honest under pressure</w:t>
            </w:r>
          </w:p>
        </w:tc>
      </w:tr>
      <w:tr>
        <w:tc>
          <w:tcPr>
            <w:tcW w:type="dxa" w:w="3600"/>
            <w:tcMar>
              <w:top w:w="70" w:type="dxa"/>
              <w:left w:w="130" w:type="dxa"/>
              <w:bottom w:w="70" w:type="dxa"/>
              <w:right w:w="130" w:type="dxa"/>
            </w:tcMar>
            <w:vAlign w:val="top"/>
          </w:tcPr>
          <w:p>
            <w:pPr>
              <w:spacing w:before="0" w:after="0" w:line="240" w:lineRule="auto"/>
            </w:pPr>
            <w:r>
              <w:rPr>
                <w:rFonts w:ascii="Calibri" w:hAnsi="Calibri"/>
                <w:b/>
                <w:i w:val="0"/>
                <w:color w:val="2B2B28"/>
                <w:sz w:val="20"/>
              </w:rPr>
              <w:t>Written clinician sign-off, filed in the collaboration log</w:t>
            </w:r>
          </w:p>
        </w:tc>
        <w:tc>
          <w:tcPr>
            <w:tcW w:type="dxa" w:w="5750"/>
            <w:tcMar>
              <w:top w:w="70" w:type="dxa"/>
              <w:left w:w="130" w:type="dxa"/>
              <w:bottom w:w="70" w:type="dxa"/>
              <w:right w:w="130" w:type="dxa"/>
            </w:tcMar>
            <w:vAlign w:val="top"/>
          </w:tcPr>
          <w:p>
            <w:pPr>
              <w:spacing w:before="0" w:after="0" w:line="240" w:lineRule="auto"/>
            </w:pPr>
            <w:r>
              <w:rPr>
                <w:rFonts w:ascii="Calibri" w:hAnsi="Calibri"/>
                <w:b/>
                <w:i w:val="0"/>
                <w:color w:val="2B2B28"/>
                <w:sz w:val="20"/>
              </w:rPr>
              <w:t>Shared decision, documented; your scope stayed clean to the last day</w:t>
            </w:r>
          </w:p>
        </w:tc>
      </w:tr>
    </w:tbl>
    <w:p>
      <w:pPr>
        <w:spacing w:after="40"/>
      </w:pPr>
    </w:p>
    <w:p>
      <w:pPr>
        <w:pStyle w:val="Heading2"/>
        <w:spacing w:before="220" w:after="60" w:line="240" w:lineRule="auto"/>
      </w:pPr>
      <w:r>
        <w:rPr>
          <w:rFonts w:ascii="Calibri" w:hAnsi="Calibri"/>
          <w:b/>
          <w:i w:val="0"/>
          <w:color w:val="2A5C45"/>
          <w:sz w:val="25"/>
        </w:rPr>
        <w:t>Beyond return: return to performance, and the programme that never ends</w:t>
      </w:r>
    </w:p>
    <w:p>
      <w:pPr>
        <w:spacing w:before="0" w:after="160" w:line="269" w:lineRule="auto"/>
      </w:pPr>
      <w:r>
        <w:rPr>
          <w:rFonts w:ascii="Calibri" w:hAnsi="Calibri"/>
          <w:b w:val="0"/>
          <w:i w:val="0"/>
          <w:color w:val="2B2B28"/>
          <w:sz w:val="22"/>
        </w:rPr>
        <w:t xml:space="preserve">Crossing the return-to-competition line is not the end of your job; it is the handover from rehab to development. Two things follow it. First, </w:t>
      </w:r>
      <w:r>
        <w:rPr>
          <w:rFonts w:ascii="Calibri" w:hAnsi="Calibri"/>
          <w:b/>
          <w:i w:val="0"/>
          <w:color w:val="2B2B28"/>
          <w:sz w:val="22"/>
        </w:rPr>
        <w:t>return to performance</w:t>
      </w:r>
      <w:r>
        <w:rPr>
          <w:rFonts w:ascii="Calibri" w:hAnsi="Calibri"/>
          <w:b w:val="0"/>
          <w:i w:val="0"/>
          <w:color w:val="2B2B28"/>
          <w:sz w:val="22"/>
        </w:rPr>
        <w:t xml:space="preserve"> — you don’t stop at “back to where he was,” you build him past it: the injury bought the better part of a year of focused physical preparation, and a well-served athlete comes back more robust, stronger and better-controlled than the version that got hurt. Fold the gains into a normal periodised programme with real performance goals. Second — and this is specific to a knee managed without a full ACL — </w:t>
      </w:r>
      <w:r>
        <w:rPr>
          <w:rFonts w:ascii="Calibri" w:hAnsi="Calibri"/>
          <w:b/>
          <w:i w:val="0"/>
          <w:color w:val="2B2B28"/>
          <w:sz w:val="22"/>
        </w:rPr>
        <w:t>the maintenance programme that never ends.</w:t>
      </w:r>
      <w:r>
        <w:rPr>
          <w:rFonts w:ascii="Calibri" w:hAnsi="Calibri"/>
          <w:b w:val="0"/>
          <w:i w:val="0"/>
          <w:color w:val="2B2B28"/>
          <w:sz w:val="22"/>
        </w:rPr>
        <w:t xml:space="preserve"> The neuromuscular control that made him a coper decays if it isn’t trained, and the contralateral knee stays at elevated risk. So a distilled version of the work — quadriceps and hamstring strength kept symmetrical, reactive landing and cutting drills, a periodic quad-index and hop check — becomes permanent prehab, woven into normal training for as long as he plays. Frame it as ownership, not a life sentence: he now knows exactly what keeps the knee coping, and it is a handful of things he can run himself.</w:t>
      </w:r>
    </w:p>
    <w:p>
      <w:pPr>
        <w:pStyle w:val="Heading1"/>
        <w:spacing w:before="320" w:after="100" w:line="240" w:lineRule="auto"/>
      </w:pPr>
      <w:r>
        <w:rPr>
          <w:rFonts w:ascii="Calibri" w:hAnsi="Calibri"/>
          <w:b/>
          <w:i w:val="0"/>
          <w:color w:val="C4522A"/>
          <w:sz w:val="30"/>
        </w:rPr>
        <w:t>Step 7 — Writing It Up: For the UKSCA, and for the Job Market</w:t>
      </w:r>
    </w:p>
    <w:p>
      <w:pPr>
        <w:spacing w:before="0" w:after="160" w:line="269" w:lineRule="auto"/>
      </w:pPr>
      <w:r>
        <w:rPr>
          <w:rFonts w:ascii="Calibri" w:hAnsi="Calibri"/>
          <w:b w:val="0"/>
          <w:i w:val="0"/>
          <w:color w:val="2B2B28"/>
          <w:sz w:val="22"/>
        </w:rPr>
        <w:t>If you documented as you went, the write-up is assembly, not archaeology. The UKSCA case study wants, in order: evidence you understood the sport and analysed its demands; an objective assessment of the athlete interpreted against those demands; a programme rationale that connects the two; an overview of the full macrocycle with detailed evidence from at least a three-month block of completed work; proof the programme integrated with the medical (and where relevant technical) team; your monitoring approach; and outcomes. Notice something? Those are exactly the steps you just ran, in exactly that order. The method is the write-up. And this case has a rationale assessors respect, because it hangs on judgement rather than protocol — reading the difference between protecting a fragile knee and building a coper’s, and then proving with criteria that the bet came in.</w:t>
      </w:r>
    </w:p>
    <w:p>
      <w:pPr>
        <w:spacing w:before="0" w:after="160" w:line="269" w:lineRule="auto"/>
      </w:pPr>
      <w:r>
        <w:rPr>
          <w:rFonts w:ascii="Calibri" w:hAnsi="Calibri"/>
          <w:b w:val="0"/>
          <w:i w:val="0"/>
          <w:color w:val="2B2B28"/>
          <w:sz w:val="22"/>
        </w:rPr>
        <w:t>The known failure patterns, so you can steer around them: presenting planned rather than completed work; presenting a programme someone else wrote; results too clean to believe; a team instead of an individual; and no visible collaboration with medical staff. Every one of those is prevented in week zero, not fixed in the final week — which is why Step 0 of this document exists.</w:t>
      </w:r>
    </w:p>
    <w:p>
      <w:pPr>
        <w:pStyle w:val="Heading2"/>
        <w:spacing w:before="220" w:after="60" w:line="240" w:lineRule="auto"/>
      </w:pPr>
      <w:r>
        <w:rPr>
          <w:rFonts w:ascii="Calibri" w:hAnsi="Calibri"/>
          <w:b/>
          <w:i w:val="0"/>
          <w:color w:val="2A5C45"/>
          <w:sz w:val="25"/>
        </w:rPr>
        <w:t>Three things assessors look for that coaches skip</w:t>
      </w:r>
    </w:p>
    <w:p>
      <w:pPr>
        <w:spacing w:before="0" w:after="160" w:line="269" w:lineRule="auto"/>
      </w:pPr>
      <w:r>
        <w:rPr>
          <w:rFonts w:ascii="Calibri" w:hAnsi="Calibri"/>
          <w:b/>
          <w:i w:val="0"/>
          <w:color w:val="2B2B28"/>
          <w:sz w:val="22"/>
        </w:rPr>
        <w:t>Reflect, in writing.</w:t>
      </w:r>
      <w:r>
        <w:rPr>
          <w:rFonts w:ascii="Calibri" w:hAnsi="Calibri"/>
          <w:b w:val="0"/>
          <w:i w:val="0"/>
          <w:color w:val="2B2B28"/>
          <w:sz w:val="22"/>
        </w:rPr>
        <w:t xml:space="preserve"> The UKSCA is assessing judgement, and judgement is most visible in honest reflection: what you planned, what actually happened, what you changed and why, and what you would do differently next time. Keep a short reflective note at every phase gate (Form 15) — the week the knee swelled and what it taught you is worth more than any smooth month.</w:t>
      </w:r>
    </w:p>
    <w:p>
      <w:pPr>
        <w:spacing w:before="0" w:after="160" w:line="269" w:lineRule="auto"/>
      </w:pPr>
      <w:r>
        <w:rPr>
          <w:rFonts w:ascii="Calibri" w:hAnsi="Calibri"/>
          <w:b/>
          <w:i w:val="0"/>
          <w:color w:val="2B2B28"/>
          <w:sz w:val="22"/>
        </w:rPr>
        <w:t>Evaluate, don’t just monitor.</w:t>
      </w:r>
      <w:r>
        <w:rPr>
          <w:rFonts w:ascii="Calibri" w:hAnsi="Calibri"/>
          <w:b w:val="0"/>
          <w:i w:val="0"/>
          <w:color w:val="2B2B28"/>
          <w:sz w:val="22"/>
        </w:rPr>
        <w:t xml:space="preserve"> Logging data is not the same as interpreting it. Close the loop: did the programme achieve its aims? Put the before-and-after numbers side by side — quad index, hop battery, ACL-RSI — show the trend, and write the “so what.” A case that presents data without evaluating it reads as unfinished.</w:t>
      </w:r>
    </w:p>
    <w:p>
      <w:pPr>
        <w:spacing w:before="0" w:after="160" w:line="269" w:lineRule="auto"/>
      </w:pPr>
      <w:r>
        <w:rPr>
          <w:rFonts w:ascii="Calibri" w:hAnsi="Calibri"/>
          <w:b/>
          <w:i w:val="0"/>
          <w:color w:val="2B2B28"/>
          <w:sz w:val="22"/>
        </w:rPr>
        <w:t>Reference as you reason.</w:t>
      </w:r>
      <w:r>
        <w:rPr>
          <w:rFonts w:ascii="Calibri" w:hAnsi="Calibri"/>
          <w:b w:val="0"/>
          <w:i w:val="0"/>
          <w:color w:val="2B2B28"/>
          <w:sz w:val="22"/>
        </w:rPr>
        <w:t xml:space="preserve"> Move the evidence from a reading list into the argument itself: when you justify a choice — open-chain quads, perturbation training, the criteria-based timeline — cite the work behind it, and log each source as you go (Form 14). A rationale underpinned by named evidence is the difference between opinion and professional practice.</w:t>
      </w:r>
    </w:p>
    <w:p>
      <w:pPr>
        <w:spacing w:before="0" w:after="160" w:line="269" w:lineRule="auto"/>
      </w:pPr>
      <w:r>
        <w:rPr>
          <w:rFonts w:ascii="Calibri" w:hAnsi="Calibri"/>
          <w:b w:val="0"/>
          <w:i w:val="0"/>
          <w:color w:val="2B2B28"/>
          <w:sz w:val="22"/>
        </w:rPr>
        <w:t xml:space="preserve">And one last thing a mentor owes you: the case study is not the whole accreditation. The UKSCA also runs a </w:t>
      </w:r>
      <w:r>
        <w:rPr>
          <w:rFonts w:ascii="Calibri" w:hAnsi="Calibri"/>
          <w:b/>
          <w:i w:val="0"/>
          <w:color w:val="2B2B28"/>
          <w:sz w:val="22"/>
        </w:rPr>
        <w:t>practical assessment</w:t>
      </w:r>
      <w:r>
        <w:rPr>
          <w:rFonts w:ascii="Calibri" w:hAnsi="Calibri"/>
          <w:b w:val="0"/>
          <w:i w:val="0"/>
          <w:color w:val="2B2B28"/>
          <w:sz w:val="22"/>
        </w:rPr>
        <w:t xml:space="preserve"> of your coaching across exercise categories — lifting and its derivatives, plyometrics, speed and more — delivered live in front of an assessor. This document builds the case-study half; the practical half is earned in the room, coaching real lifts under a real assessor’s eye. Prepare for both.</w:t>
      </w:r>
    </w:p>
    <w:p>
      <w:pPr>
        <w:pStyle w:val="Heading2"/>
        <w:spacing w:before="220" w:after="60" w:line="240" w:lineRule="auto"/>
      </w:pPr>
      <w:r>
        <w:rPr>
          <w:rFonts w:ascii="Calibri" w:hAnsi="Calibri"/>
          <w:b/>
          <w:i w:val="0"/>
          <w:color w:val="2A5C45"/>
          <w:sz w:val="25"/>
        </w:rPr>
        <w:t>Translating the case for a CV or interview</w:t>
      </w:r>
    </w:p>
    <w:p>
      <w:pPr>
        <w:spacing w:before="0" w:after="160" w:line="269" w:lineRule="auto"/>
      </w:pPr>
      <w:r>
        <w:rPr>
          <w:rFonts w:ascii="Calibri" w:hAnsi="Calibri"/>
          <w:b w:val="0"/>
          <w:i w:val="0"/>
          <w:color w:val="2B2B28"/>
          <w:sz w:val="22"/>
        </w:rPr>
        <w:t>The employer version is the same story compressed to one breath: context, action, measured result. A template to adapt once the real numbers exist:</w:t>
      </w:r>
    </w:p>
    <w:p>
      <w:pPr>
        <w:spacing w:before="40" w:after="160" w:line="269" w:lineRule="auto"/>
        <w:ind w:left="432" w:right="288"/>
        <w:pBdr>
          <w:bottom w:val="single" w:sz="4" w:space="4" w:color="2A5C45"/>
        </w:pBdr>
      </w:pPr>
      <w:r>
        <w:rPr>
          <w:rFonts w:ascii="Calibri" w:hAnsi="Calibri"/>
          <w:b w:val="0"/>
          <w:i/>
          <w:color w:val="2B2B28"/>
          <w:sz w:val="22"/>
        </w:rPr>
        <w:t>“Designed and delivered a criteria-based, non-surgical return-to-sport programme for a [level] padel player with a partial ACL tear and stable meniscus injury, in collaboration with the treating clinician; restored quadriceps symmetry from [a]% to [b]% and completed a full reactive return-to-sport battery, returning the athlete to competition in [X] months with no giving-way episodes or effusion at [Y]-month follow-up.”</w:t>
      </w:r>
    </w:p>
    <w:p>
      <w:pPr>
        <w:spacing w:before="0" w:after="160" w:line="269" w:lineRule="auto"/>
      </w:pPr>
      <w:r>
        <w:rPr>
          <w:rFonts w:ascii="Calibri" w:hAnsi="Calibri"/>
          <w:b w:val="0"/>
          <w:i w:val="0"/>
          <w:color w:val="2B2B28"/>
          <w:sz w:val="22"/>
        </w:rPr>
        <w:t>Every bracket in that sentence is filled by a number your documentation system captured — which is the final argument for building the system before the athlete, not after. And to close where we opened: that sentence may only ever be written about a real athlete you actually took through this. The method in this document is yours to keep; the case has to be earned on the floor. When it is, it will be worth more than any template — including this one.</w:t>
      </w:r>
    </w:p>
    <w:p>
      <w:pPr>
        <w:pStyle w:val="Heading1"/>
        <w:spacing w:before="320" w:after="100" w:line="240" w:lineRule="auto"/>
      </w:pPr>
      <w:r>
        <w:rPr>
          <w:rFonts w:ascii="Calibri" w:hAnsi="Calibri"/>
          <w:b/>
          <w:i w:val="0"/>
          <w:color w:val="C4522A"/>
          <w:sz w:val="30"/>
        </w:rPr>
        <w:t>Where to Go Deeper</w:t>
      </w:r>
    </w:p>
    <w:p>
      <w:pPr>
        <w:spacing w:before="0" w:after="160" w:line="269" w:lineRule="auto"/>
      </w:pPr>
      <w:r>
        <w:rPr>
          <w:rFonts w:ascii="Calibri" w:hAnsi="Calibri"/>
          <w:b w:val="0"/>
          <w:i w:val="0"/>
          <w:color w:val="2B2B28"/>
          <w:sz w:val="22"/>
        </w:rPr>
        <w:t>Search these names and frameworks when you want the primary sources behind the decisions above:</w:t>
      </w:r>
    </w:p>
    <w:p>
      <w:pPr>
        <w:pStyle w:val="ListBullet"/>
        <w:spacing w:before="0" w:after="80" w:line="269" w:lineRule="auto"/>
      </w:pPr>
      <w:r>
        <w:rPr>
          <w:rFonts w:ascii="Calibri" w:hAnsi="Calibri"/>
          <w:b w:val="0"/>
          <w:i w:val="0"/>
          <w:color w:val="2B2B28"/>
          <w:sz w:val="22"/>
        </w:rPr>
        <w:t>The Delaware–Oslo work on ACL “copers” — screening for who can manage non-surgically, and how (Fitzgerald, Snyder-Mackler, Hurd, Risberg).</w:t>
      </w:r>
    </w:p>
    <w:p>
      <w:pPr>
        <w:pStyle w:val="ListBullet"/>
        <w:spacing w:before="0" w:after="80" w:line="269" w:lineRule="auto"/>
      </w:pPr>
      <w:r>
        <w:rPr>
          <w:rFonts w:ascii="Calibri" w:hAnsi="Calibri"/>
          <w:b w:val="0"/>
          <w:i w:val="0"/>
          <w:color w:val="2B2B28"/>
          <w:sz w:val="22"/>
        </w:rPr>
        <w:t>Grindem and colleagues (BJSM, 2016) — criteria-based return to sport, and the finding that delaying reactive return and passing return criteria sharply lower re-injury.</w:t>
      </w:r>
    </w:p>
    <w:p>
      <w:pPr>
        <w:pStyle w:val="ListBullet"/>
        <w:spacing w:before="0" w:after="80" w:line="269" w:lineRule="auto"/>
      </w:pPr>
      <w:r>
        <w:rPr>
          <w:rFonts w:ascii="Calibri" w:hAnsi="Calibri"/>
          <w:b w:val="0"/>
          <w:i w:val="0"/>
          <w:color w:val="2B2B28"/>
          <w:sz w:val="22"/>
        </w:rPr>
        <w:t>Perturbation and neuromuscular training for the ACL-deficient knee — the specific method behind Phase 3 (Fitzgerald, Hurd).</w:t>
      </w:r>
    </w:p>
    <w:p>
      <w:pPr>
        <w:pStyle w:val="ListBullet"/>
        <w:spacing w:before="0" w:after="80" w:line="269" w:lineRule="auto"/>
      </w:pPr>
      <w:r>
        <w:rPr>
          <w:rFonts w:ascii="Calibri" w:hAnsi="Calibri"/>
          <w:b w:val="0"/>
          <w:i w:val="0"/>
          <w:color w:val="2B2B28"/>
          <w:sz w:val="22"/>
        </w:rPr>
        <w:t>Quadriceps strength symmetry and arthrogenic muscle inhibition — why the quad is the number that matters (Palmieri-Smith, Snyder-Mackler).</w:t>
      </w:r>
    </w:p>
    <w:p>
      <w:pPr>
        <w:pStyle w:val="ListBullet"/>
        <w:spacing w:before="0" w:after="80" w:line="269" w:lineRule="auto"/>
      </w:pPr>
      <w:r>
        <w:rPr>
          <w:rFonts w:ascii="Calibri" w:hAnsi="Calibri"/>
          <w:b w:val="0"/>
          <w:i w:val="0"/>
          <w:color w:val="2B2B28"/>
          <w:sz w:val="22"/>
        </w:rPr>
        <w:t>The hop-test battery and its limits — why symmetry can flatter, and the case for pre-injury and absolute standards (Noyes; Wellsandt on estimated pre-injury capacity).</w:t>
      </w:r>
    </w:p>
    <w:p>
      <w:pPr>
        <w:pStyle w:val="ListBullet"/>
        <w:spacing w:before="0" w:after="80" w:line="269" w:lineRule="auto"/>
      </w:pPr>
      <w:r>
        <w:rPr>
          <w:rFonts w:ascii="Calibri" w:hAnsi="Calibri"/>
          <w:b w:val="0"/>
          <w:i w:val="0"/>
          <w:color w:val="2B2B28"/>
          <w:sz w:val="22"/>
        </w:rPr>
        <w:t>Meniscus function and the case for conservative management of stable peripheral tears — load-sharing, the vascular zones, and current consensus.</w:t>
      </w:r>
    </w:p>
    <w:p>
      <w:pPr>
        <w:pStyle w:val="ListBullet"/>
        <w:spacing w:before="0" w:after="80" w:line="269" w:lineRule="auto"/>
      </w:pPr>
      <w:r>
        <w:rPr>
          <w:rFonts w:ascii="Calibri" w:hAnsi="Calibri"/>
          <w:b w:val="0"/>
          <w:i w:val="0"/>
          <w:color w:val="2B2B28"/>
          <w:sz w:val="22"/>
        </w:rPr>
        <w:t>The ACL–Return to Sport after Injury scale (ACL-RSI) — psychological readiness (Webster &amp; Feller).</w:t>
      </w:r>
    </w:p>
    <w:p>
      <w:pPr>
        <w:pStyle w:val="ListBullet"/>
        <w:spacing w:before="0" w:after="80" w:line="269" w:lineRule="auto"/>
      </w:pPr>
      <w:r>
        <w:rPr>
          <w:rFonts w:ascii="Calibri" w:hAnsi="Calibri"/>
          <w:b w:val="0"/>
          <w:i w:val="0"/>
          <w:color w:val="2B2B28"/>
          <w:sz w:val="22"/>
        </w:rPr>
        <w:t>The 2016 Bern consensus on return to sport — the return-to-participation / sport / performance continuum and shared decision-making.</w:t>
      </w:r>
    </w:p>
    <w:p>
      <w:pPr>
        <w:pStyle w:val="Heading1"/>
        <w:spacing w:before="320" w:after="100" w:line="240" w:lineRule="auto"/>
      </w:pPr>
      <w:r>
        <w:rPr>
          <w:rFonts w:ascii="Calibri" w:hAnsi="Calibri"/>
          <w:b/>
          <w:i w:val="0"/>
          <w:color w:val="C4522A"/>
          <w:sz w:val="30"/>
        </w:rPr>
        <w:t>Appendix A — One-Page Working Checklist</w:t>
      </w:r>
    </w:p>
    <w:p>
      <w:pPr>
        <w:pStyle w:val="Heading2"/>
        <w:spacing w:before="220" w:after="60" w:line="240" w:lineRule="auto"/>
      </w:pPr>
      <w:r>
        <w:rPr>
          <w:rFonts w:ascii="Calibri" w:hAnsi="Calibri"/>
          <w:b/>
          <w:i w:val="0"/>
          <w:color w:val="2A5C45"/>
          <w:sz w:val="25"/>
        </w:rPr>
        <w:t>Day zero</w:t>
      </w:r>
    </w:p>
    <w:p>
      <w:pPr>
        <w:pStyle w:val="ListBullet"/>
        <w:spacing w:before="0" w:after="80" w:line="269" w:lineRule="auto"/>
      </w:pPr>
      <w:r>
        <w:rPr>
          <w:rFonts w:ascii="Calibri" w:hAnsi="Calibri"/>
          <w:b w:val="0"/>
          <w:i w:val="0"/>
          <w:color w:val="2B2B28"/>
          <w:sz w:val="22"/>
        </w:rPr>
        <w:t>Written diagnosis (ACL grade; meniscus location and zone), coper-candidacy view, contraindications, and red-flag list from the clinician</w:t>
      </w:r>
    </w:p>
    <w:p>
      <w:pPr>
        <w:pStyle w:val="ListBullet"/>
        <w:spacing w:before="0" w:after="80" w:line="269" w:lineRule="auto"/>
      </w:pPr>
      <w:r>
        <w:rPr>
          <w:rFonts w:ascii="Calibri" w:hAnsi="Calibri"/>
          <w:b w:val="0"/>
          <w:i w:val="0"/>
          <w:color w:val="2B2B28"/>
          <w:sz w:val="22"/>
        </w:rPr>
        <w:t>Athlete written consent — data recording, sharing with medical team, anonymised portfolio use</w:t>
      </w:r>
    </w:p>
    <w:p>
      <w:pPr>
        <w:pStyle w:val="ListBullet"/>
        <w:spacing w:before="0" w:after="80" w:line="269" w:lineRule="auto"/>
      </w:pPr>
      <w:r>
        <w:rPr>
          <w:rFonts w:ascii="Calibri" w:hAnsi="Calibri"/>
          <w:b w:val="0"/>
          <w:i w:val="0"/>
          <w:color w:val="2B2B28"/>
          <w:sz w:val="22"/>
        </w:rPr>
        <w:t>Baseline battery booked; documentation system open; collaboration log started (entry #1: the clinician call)</w:t>
      </w:r>
    </w:p>
    <w:p>
      <w:pPr>
        <w:pStyle w:val="Heading2"/>
        <w:spacing w:before="220" w:after="60" w:line="240" w:lineRule="auto"/>
      </w:pPr>
      <w:r>
        <w:rPr>
          <w:rFonts w:ascii="Calibri" w:hAnsi="Calibri"/>
          <w:b/>
          <w:i w:val="0"/>
          <w:color w:val="2A5C45"/>
          <w:sz w:val="25"/>
        </w:rPr>
        <w:t>Every phase gate</w:t>
      </w:r>
    </w:p>
    <w:p>
      <w:pPr>
        <w:pStyle w:val="ListBullet"/>
        <w:spacing w:before="0" w:after="80" w:line="269" w:lineRule="auto"/>
      </w:pPr>
      <w:r>
        <w:rPr>
          <w:rFonts w:ascii="Calibri" w:hAnsi="Calibri"/>
          <w:b w:val="0"/>
          <w:i w:val="0"/>
          <w:color w:val="2B2B28"/>
          <w:sz w:val="22"/>
        </w:rPr>
        <w:t>Full retest of the knee battery, same conditions as baseline, results side-by-side, read on absolute terms and by landing quality — not symmetry alone</w:t>
      </w:r>
    </w:p>
    <w:p>
      <w:pPr>
        <w:pStyle w:val="ListBullet"/>
        <w:spacing w:before="0" w:after="80" w:line="269" w:lineRule="auto"/>
      </w:pPr>
      <w:r>
        <w:rPr>
          <w:rFonts w:ascii="Calibri" w:hAnsi="Calibri"/>
          <w:b w:val="0"/>
          <w:i w:val="0"/>
          <w:color w:val="2B2B28"/>
          <w:sz w:val="22"/>
        </w:rPr>
        <w:t>Every exit criterion met — if not, step back one exposure level and note the response</w:t>
      </w:r>
    </w:p>
    <w:p>
      <w:pPr>
        <w:pStyle w:val="ListBullet"/>
        <w:spacing w:before="0" w:after="80" w:line="269" w:lineRule="auto"/>
      </w:pPr>
      <w:r>
        <w:rPr>
          <w:rFonts w:ascii="Calibri" w:hAnsi="Calibri"/>
          <w:b w:val="0"/>
          <w:i w:val="0"/>
          <w:color w:val="2B2B28"/>
          <w:sz w:val="22"/>
        </w:rPr>
        <w:t>Clinician informed of the progression; entry added to the collaboration log</w:t>
      </w:r>
    </w:p>
    <w:p>
      <w:pPr>
        <w:pStyle w:val="ListBullet"/>
        <w:spacing w:before="0" w:after="80" w:line="269" w:lineRule="auto"/>
      </w:pPr>
      <w:r>
        <w:rPr>
          <w:rFonts w:ascii="Calibri" w:hAnsi="Calibri"/>
          <w:b w:val="0"/>
          <w:i w:val="0"/>
          <w:color w:val="2B2B28"/>
          <w:sz w:val="22"/>
        </w:rPr>
        <w:t>Global battery (CMJ, jumps, med-ball) checked — the rest of the athlete is holding or improving</w:t>
      </w:r>
    </w:p>
    <w:p>
      <w:pPr>
        <w:pStyle w:val="Heading2"/>
        <w:spacing w:before="220" w:after="60" w:line="240" w:lineRule="auto"/>
      </w:pPr>
      <w:r>
        <w:rPr>
          <w:rFonts w:ascii="Calibri" w:hAnsi="Calibri"/>
          <w:b/>
          <w:i w:val="0"/>
          <w:color w:val="2A5C45"/>
          <w:sz w:val="25"/>
        </w:rPr>
        <w:t>Weekly, without exception</w:t>
      </w:r>
    </w:p>
    <w:p>
      <w:pPr>
        <w:pStyle w:val="ListBullet"/>
        <w:spacing w:before="0" w:after="80" w:line="269" w:lineRule="auto"/>
      </w:pPr>
      <w:r>
        <w:rPr>
          <w:rFonts w:ascii="Calibri" w:hAnsi="Calibri"/>
          <w:b w:val="0"/>
          <w:i w:val="0"/>
          <w:color w:val="2B2B28"/>
          <w:sz w:val="22"/>
        </w:rPr>
        <w:t>Sessions completed, sRPE (court load included), worst daily pain and trend, effusion check, giving-way count, sleep, readiness, one focus given</w:t>
      </w:r>
    </w:p>
    <w:p>
      <w:pPr>
        <w:pStyle w:val="ListBullet"/>
        <w:spacing w:before="0" w:after="80" w:line="269" w:lineRule="auto"/>
      </w:pPr>
      <w:r>
        <w:rPr>
          <w:rFonts w:ascii="Calibri" w:hAnsi="Calibri"/>
          <w:b w:val="0"/>
          <w:i w:val="0"/>
          <w:color w:val="2B2B28"/>
          <w:sz w:val="22"/>
        </w:rPr>
        <w:t>Traffic-light check on every next-morning report; regress on red, note on amber; any effusion or giving-way goes straight to the physio</w:t>
      </w:r>
    </w:p>
    <w:p>
      <w:pPr>
        <w:pStyle w:val="ListBullet"/>
        <w:spacing w:before="0" w:after="80" w:line="269" w:lineRule="auto"/>
      </w:pPr>
      <w:r>
        <w:rPr>
          <w:rFonts w:ascii="Calibri" w:hAnsi="Calibri"/>
          <w:b w:val="0"/>
          <w:i w:val="0"/>
          <w:color w:val="2B2B28"/>
          <w:sz w:val="22"/>
        </w:rPr>
        <w:t>New court exposures added one at a time, with a swelling check before the next</w:t>
      </w:r>
    </w:p>
    <w:p>
      <w:pPr>
        <w:pStyle w:val="Heading2"/>
        <w:spacing w:before="220" w:after="60" w:line="240" w:lineRule="auto"/>
      </w:pPr>
      <w:r>
        <w:rPr>
          <w:rFonts w:ascii="Calibri" w:hAnsi="Calibri"/>
          <w:b/>
          <w:i w:val="0"/>
          <w:color w:val="2A5C45"/>
          <w:sz w:val="25"/>
        </w:rPr>
        <w:t>Final return</w:t>
      </w:r>
    </w:p>
    <w:p>
      <w:pPr>
        <w:pStyle w:val="ListBullet"/>
        <w:spacing w:before="0" w:after="80" w:line="269" w:lineRule="auto"/>
      </w:pPr>
      <w:r>
        <w:rPr>
          <w:rFonts w:ascii="Calibri" w:hAnsi="Calibri"/>
          <w:b w:val="0"/>
          <w:i w:val="0"/>
          <w:color w:val="2B2B28"/>
          <w:sz w:val="22"/>
        </w:rPr>
        <w:t>All return-to-competition criteria met, with dates and numbers on one sheet</w:t>
      </w:r>
    </w:p>
    <w:p>
      <w:pPr>
        <w:pStyle w:val="ListBullet"/>
        <w:spacing w:before="0" w:after="80" w:line="269" w:lineRule="auto"/>
      </w:pPr>
      <w:r>
        <w:rPr>
          <w:rFonts w:ascii="Calibri" w:hAnsi="Calibri"/>
          <w:b w:val="0"/>
          <w:i w:val="0"/>
          <w:color w:val="2B2B28"/>
          <w:sz w:val="22"/>
        </w:rPr>
        <w:t>Clinician sign-off in writing; athlete confidence ≥8/10 and ACL-RSI at threshold; staged match plan agreed</w:t>
      </w:r>
    </w:p>
    <w:p>
      <w:pPr>
        <w:pStyle w:val="ListBullet"/>
        <w:spacing w:before="0" w:after="80" w:line="269" w:lineRule="auto"/>
      </w:pPr>
      <w:r>
        <w:rPr>
          <w:rFonts w:ascii="Calibri" w:hAnsi="Calibri"/>
          <w:b w:val="0"/>
          <w:i w:val="0"/>
          <w:color w:val="2B2B28"/>
          <w:sz w:val="22"/>
        </w:rPr>
        <w:t>Case file assembled: needs analysis, baseline, rationale, phase records, logs, outcomes, reflection</w:t>
      </w:r>
    </w:p>
    <w:p>
      <w:pPr>
        <w:pStyle w:val="Heading1"/>
        <w:spacing w:before="320" w:after="100" w:line="240" w:lineRule="auto"/>
      </w:pPr>
      <w:r>
        <w:rPr>
          <w:rFonts w:ascii="Calibri" w:hAnsi="Calibri"/>
          <w:b/>
          <w:i w:val="0"/>
          <w:color w:val="C4522A"/>
          <w:sz w:val="30"/>
        </w:rPr>
        <w:t>Appendix B — The Forms, Ready to Use</w:t>
      </w:r>
    </w:p>
    <w:p>
      <w:pPr>
        <w:spacing w:before="0" w:after="160" w:line="269" w:lineRule="auto"/>
      </w:pPr>
      <w:r>
        <w:rPr>
          <w:rFonts w:ascii="Calibri" w:hAnsi="Calibri"/>
          <w:b w:val="0"/>
          <w:i w:val="0"/>
          <w:color w:val="2B2B28"/>
          <w:sz w:val="22"/>
        </w:rPr>
        <w:t>Everything the document asked you to “document” is here as a form you can copy straight onto paper or into a spreadsheet. Fill the blanks; keep every version. The example rows (marked “ex.”) show what a real, honest, slightly-bumpy record looks like — copy the format, not the numbers.</w:t>
      </w:r>
    </w:p>
    <w:p>
      <w:pPr>
        <w:pStyle w:val="Heading2"/>
        <w:spacing w:before="220" w:after="60" w:line="240" w:lineRule="auto"/>
      </w:pPr>
      <w:r>
        <w:rPr>
          <w:rFonts w:ascii="Calibri" w:hAnsi="Calibri"/>
          <w:b/>
          <w:i w:val="0"/>
          <w:color w:val="2A5C45"/>
          <w:sz w:val="25"/>
        </w:rPr>
        <w:t>Form 1 — Medical clearance &amp; contraindications (fill this from the clinician call)</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Clinician name &amp; contact</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Exact diagnosis &amp; grade</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low-grade partial ACL tear, right knee</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Meniscus — which, where, which zone</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peripheral posterior horn, medial, vascular zone; no effusion</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Coper candidate? Screening done / to build toward</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yes — build toward and confirm before reactive work</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Positions / loads off-limits — and until when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no deep loaded flexion under rotation, no unplanned pivoting</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Red-flag symptoms → send back to clinician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any giving-way, new swelling, locking / blocked straightening</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Rehab phase criteria &amp; rough timeline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What he does in rehab each week</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Preferred contact method &amp; frequency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 what point do we revisit surgery?</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recurrent giving-way, locking meniscus, failure to progress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Clinician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2 — Athlete consent (sample wording — adapt and sign)</w:t>
      </w:r>
    </w:p>
    <w:p>
      <w:pPr>
        <w:spacing w:before="0" w:after="160" w:line="269" w:lineRule="auto"/>
      </w:pPr>
      <w:r>
        <w:rPr>
          <w:rFonts w:ascii="Calibri" w:hAnsi="Calibri"/>
          <w:b w:val="0"/>
          <w:i w:val="0"/>
          <w:color w:val="2B2B28"/>
          <w:sz w:val="22"/>
        </w:rPr>
        <w:t>“I, [athlete name], agree that [coach name] may record my training, testing and health information for the purpose of designing and monitoring my programme; may share relevant information with my treating medical team; and may use my information, in an anonymised form, for professional development, accreditation (including UKSCA) and portfolio purposes. I understand I can withdraw this consent at any time.”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signature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3 — Baseline testing record sheet (repeat identically every 4 weeks)</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050"/>
        <w:gridCol w:w="1500"/>
        <w:gridCol w:w="1500"/>
        <w:gridCol w:w="1400"/>
        <w:gridCol w:w="1900"/>
      </w:tblGrid>
      <w:tr>
        <w:tc>
          <w:tcPr>
            <w:tcW w:type="dxa" w:w="3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Test</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Injured (R)</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Other (L)</w:t>
            </w:r>
          </w:p>
        </w:tc>
        <w:tc>
          <w:tcPr>
            <w:tcW w:type="dxa" w:w="14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Symmetry %</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 / notes</w:t>
            </w: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Effusion (0–3) · pain NRS rest/loaded</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Extension (heel-height diff) / flexion</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Quadriceps strength (kg or 1-RM)</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Hamstring strength · H:Q ratio</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Single hop (cm)</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Triple / crossover / 6-m timed hop</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Landing quality (valgus? stiff? — note)</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IKDC or KOOS /100</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ACL-RSI /100 (readiness)</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3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CMJ height / broad jump (global)</w:t>
            </w:r>
          </w:p>
        </w:tc>
        <w:tc>
          <w:tcPr>
            <w:tcW w:type="dxa" w:w="150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0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Worked example (right knee, week 1): quad strength 28 kg vs left 40 kg = 70% — the whole first block’s job is that gap. Single hop 92% but the landing was stiff and quad-avoidant — not accepted as a pass. Effusion 0, full extension. Honest, unflattering, exactly what you want on day one.</w:t>
      </w:r>
    </w:p>
    <w:p>
      <w:pPr>
        <w:pStyle w:val="Heading2"/>
        <w:spacing w:before="220" w:after="60" w:line="240" w:lineRule="auto"/>
      </w:pPr>
      <w:r>
        <w:rPr>
          <w:rFonts w:ascii="Calibri" w:hAnsi="Calibri"/>
          <w:b/>
          <w:i w:val="0"/>
          <w:color w:val="2A5C45"/>
          <w:sz w:val="25"/>
        </w:rPr>
        <w:t>Form 4 — Weekly monitoring log</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820"/>
        <w:gridCol w:w="1500"/>
        <w:gridCol w:w="1450"/>
        <w:gridCol w:w="900"/>
        <w:gridCol w:w="900"/>
        <w:gridCol w:w="1330"/>
        <w:gridCol w:w="2450"/>
      </w:tblGrid>
      <w:tr>
        <w:tc>
          <w:tcPr>
            <w:tcW w:type="dxa" w:w="82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Week</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Sessions done/plan · sRPE</w:t>
            </w:r>
          </w:p>
        </w:tc>
        <w:tc>
          <w:tcPr>
            <w:tcW w:type="dxa" w:w="1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Worst pain (0–10) &amp; trend</w:t>
            </w:r>
          </w:p>
        </w:tc>
        <w:tc>
          <w:tcPr>
            <w:tcW w:type="dxa" w:w="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Effusion?</w:t>
            </w:r>
          </w:p>
        </w:tc>
        <w:tc>
          <w:tcPr>
            <w:tcW w:type="dxa" w:w="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Gave way?</w:t>
            </w:r>
          </w:p>
        </w:tc>
        <w:tc>
          <w:tcPr>
            <w:tcW w:type="dxa" w:w="133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Sleep / ready (1–10)</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Coaching focus + flags / action</w:t>
            </w:r>
          </w:p>
        </w:tc>
      </w:tr>
      <w:tr>
        <w:trPr>
          <w:trHeight w:val="300" w:hRule="atLeast"/>
        </w:trPr>
        <w:tc>
          <w:tcPr>
            <w:tcW w:type="dxa" w:w="82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1 (ex.)</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4/4 · RPE 6</w:t>
            </w:r>
          </w:p>
        </w:tc>
        <w:tc>
          <w:tcPr>
            <w:tcW w:type="dxa" w:w="1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2, steady</w:t>
            </w:r>
          </w:p>
        </w:tc>
        <w:tc>
          <w:tcPr>
            <w:tcW w:type="dxa" w:w="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w:t>
            </w:r>
          </w:p>
        </w:tc>
        <w:tc>
          <w:tcPr>
            <w:tcW w:type="dxa" w:w="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w:t>
            </w:r>
          </w:p>
        </w:tc>
        <w:tc>
          <w:tcPr>
            <w:tcW w:type="dxa" w:w="133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7 / 7</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Own full extension + quad firing. Green.</w:t>
            </w:r>
          </w:p>
        </w:tc>
      </w:tr>
      <w:tr>
        <w:trPr>
          <w:trHeight w:val="300" w:hRule="atLeast"/>
        </w:trPr>
        <w:tc>
          <w:tcPr>
            <w:tcW w:type="dxa" w:w="82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6 (ex.)</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3/4 · RPE 7</w:t>
            </w:r>
          </w:p>
        </w:tc>
        <w:tc>
          <w:tcPr>
            <w:tcW w:type="dxa" w:w="1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 up</w:t>
            </w:r>
          </w:p>
        </w:tc>
        <w:tc>
          <w:tcPr>
            <w:tcW w:type="dxa" w:w="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Trace, next AM</w:t>
            </w:r>
          </w:p>
        </w:tc>
        <w:tc>
          <w:tcPr>
            <w:tcW w:type="dxa" w:w="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No</w:t>
            </w:r>
          </w:p>
        </w:tc>
        <w:tc>
          <w:tcPr>
            <w:tcW w:type="dxa" w:w="133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6 / 5</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Trace swelling after first reactive drills — dropped volume, held the gate. Amber, watched.</w:t>
            </w:r>
          </w:p>
        </w:tc>
      </w:tr>
      <w:tr>
        <w:trPr>
          <w:trHeight w:val="300" w:hRule="atLeast"/>
        </w:trPr>
        <w:tc>
          <w:tcPr>
            <w:tcW w:type="dxa" w:w="82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900"/>
            <w:tcMar>
              <w:top w:w="70" w:type="dxa"/>
              <w:left w:w="130" w:type="dxa"/>
              <w:bottom w:w="70" w:type="dxa"/>
              <w:right w:w="130" w:type="dxa"/>
            </w:tcMar>
            <w:vAlign w:val="top"/>
          </w:tcPr>
          <w:p>
            <w:pPr>
              <w:spacing w:before="0" w:after="0" w:line="240" w:lineRule="auto"/>
            </w:pPr>
          </w:p>
        </w:tc>
        <w:tc>
          <w:tcPr>
            <w:tcW w:type="dxa" w:w="900"/>
            <w:tcMar>
              <w:top w:w="70" w:type="dxa"/>
              <w:left w:w="130" w:type="dxa"/>
              <w:bottom w:w="70" w:type="dxa"/>
              <w:right w:w="130" w:type="dxa"/>
            </w:tcMar>
            <w:vAlign w:val="top"/>
          </w:tcPr>
          <w:p>
            <w:pPr>
              <w:spacing w:before="0" w:after="0" w:line="240" w:lineRule="auto"/>
            </w:pPr>
          </w:p>
        </w:tc>
        <w:tc>
          <w:tcPr>
            <w:tcW w:type="dxa" w:w="133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r>
      <w:tr>
        <w:trPr>
          <w:trHeight w:val="300" w:hRule="atLeast"/>
        </w:trPr>
        <w:tc>
          <w:tcPr>
            <w:tcW w:type="dxa" w:w="82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900"/>
            <w:tcMar>
              <w:top w:w="70" w:type="dxa"/>
              <w:left w:w="130" w:type="dxa"/>
              <w:bottom w:w="70" w:type="dxa"/>
              <w:right w:w="130" w:type="dxa"/>
            </w:tcMar>
            <w:vAlign w:val="top"/>
          </w:tcPr>
          <w:p>
            <w:pPr>
              <w:spacing w:before="0" w:after="0" w:line="240" w:lineRule="auto"/>
            </w:pPr>
          </w:p>
        </w:tc>
        <w:tc>
          <w:tcPr>
            <w:tcW w:type="dxa" w:w="900"/>
            <w:tcMar>
              <w:top w:w="70" w:type="dxa"/>
              <w:left w:w="130" w:type="dxa"/>
              <w:bottom w:w="70" w:type="dxa"/>
              <w:right w:w="130" w:type="dxa"/>
            </w:tcMar>
            <w:vAlign w:val="top"/>
          </w:tcPr>
          <w:p>
            <w:pPr>
              <w:spacing w:before="0" w:after="0" w:line="240" w:lineRule="auto"/>
            </w:pPr>
          </w:p>
        </w:tc>
        <w:tc>
          <w:tcPr>
            <w:tcW w:type="dxa" w:w="133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r>
      <w:tr>
        <w:trPr>
          <w:trHeight w:val="300" w:hRule="atLeast"/>
        </w:trPr>
        <w:tc>
          <w:tcPr>
            <w:tcW w:type="dxa" w:w="820"/>
            <w:tcMar>
              <w:top w:w="70" w:type="dxa"/>
              <w:left w:w="130" w:type="dxa"/>
              <w:bottom w:w="70" w:type="dxa"/>
              <w:right w:w="130" w:type="dxa"/>
            </w:tcMar>
            <w:vAlign w:val="top"/>
          </w:tcPr>
          <w:p>
            <w:pPr>
              <w:spacing w:before="0" w:after="0" w:line="240" w:lineRule="auto"/>
            </w:pPr>
          </w:p>
        </w:tc>
        <w:tc>
          <w:tcPr>
            <w:tcW w:type="dxa" w:w="1500"/>
            <w:tcMar>
              <w:top w:w="70" w:type="dxa"/>
              <w:left w:w="130" w:type="dxa"/>
              <w:bottom w:w="70" w:type="dxa"/>
              <w:right w:w="130" w:type="dxa"/>
            </w:tcMar>
            <w:vAlign w:val="top"/>
          </w:tcPr>
          <w:p>
            <w:pPr>
              <w:spacing w:before="0" w:after="0" w:line="240" w:lineRule="auto"/>
            </w:pPr>
          </w:p>
        </w:tc>
        <w:tc>
          <w:tcPr>
            <w:tcW w:type="dxa" w:w="1450"/>
            <w:tcMar>
              <w:top w:w="70" w:type="dxa"/>
              <w:left w:w="130" w:type="dxa"/>
              <w:bottom w:w="70" w:type="dxa"/>
              <w:right w:w="130" w:type="dxa"/>
            </w:tcMar>
            <w:vAlign w:val="top"/>
          </w:tcPr>
          <w:p>
            <w:pPr>
              <w:spacing w:before="0" w:after="0" w:line="240" w:lineRule="auto"/>
            </w:pPr>
          </w:p>
        </w:tc>
        <w:tc>
          <w:tcPr>
            <w:tcW w:type="dxa" w:w="900"/>
            <w:tcMar>
              <w:top w:w="70" w:type="dxa"/>
              <w:left w:w="130" w:type="dxa"/>
              <w:bottom w:w="70" w:type="dxa"/>
              <w:right w:w="130" w:type="dxa"/>
            </w:tcMar>
            <w:vAlign w:val="top"/>
          </w:tcPr>
          <w:p>
            <w:pPr>
              <w:spacing w:before="0" w:after="0" w:line="240" w:lineRule="auto"/>
            </w:pPr>
          </w:p>
        </w:tc>
        <w:tc>
          <w:tcPr>
            <w:tcW w:type="dxa" w:w="900"/>
            <w:tcMar>
              <w:top w:w="70" w:type="dxa"/>
              <w:left w:w="130" w:type="dxa"/>
              <w:bottom w:w="70" w:type="dxa"/>
              <w:right w:w="130" w:type="dxa"/>
            </w:tcMar>
            <w:vAlign w:val="top"/>
          </w:tcPr>
          <w:p>
            <w:pPr>
              <w:spacing w:before="0" w:after="0" w:line="240" w:lineRule="auto"/>
            </w:pPr>
          </w:p>
        </w:tc>
        <w:tc>
          <w:tcPr>
            <w:tcW w:type="dxa" w:w="133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Note the week 6 row: that is “the mess.” A trace effusion, honestly logged, with a sensible pull-back is the single most credible thing in a case file — and here it is also a safety signal. Log it, never hide it.</w:t>
      </w:r>
    </w:p>
    <w:p>
      <w:pPr>
        <w:pStyle w:val="Heading2"/>
        <w:spacing w:before="220" w:after="60" w:line="240" w:lineRule="auto"/>
      </w:pPr>
      <w:r>
        <w:rPr>
          <w:rFonts w:ascii="Calibri" w:hAnsi="Calibri"/>
          <w:b/>
          <w:i w:val="0"/>
          <w:color w:val="2A5C45"/>
          <w:sz w:val="25"/>
        </w:rPr>
        <w:t>Form 5 — Collaboration log (every exchange with the medical team)</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150"/>
        <w:gridCol w:w="1700"/>
        <w:gridCol w:w="1050"/>
        <w:gridCol w:w="3550"/>
        <w:gridCol w:w="1900"/>
      </w:tblGrid>
      <w:tr>
        <w:tc>
          <w:tcPr>
            <w:tcW w:type="dxa" w:w="1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w:t>
            </w:r>
          </w:p>
        </w:tc>
        <w:tc>
          <w:tcPr>
            <w:tcW w:type="dxa" w:w="17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With whom</w:t>
            </w:r>
          </w:p>
        </w:tc>
        <w:tc>
          <w:tcPr>
            <w:tcW w:type="dxa" w:w="10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How</w:t>
            </w:r>
          </w:p>
        </w:tc>
        <w:tc>
          <w:tcPr>
            <w:tcW w:type="dxa" w:w="35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Summary of exchange</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Action / next</w:t>
            </w:r>
          </w:p>
        </w:tc>
      </w:tr>
      <w:tr>
        <w:trPr>
          <w:trHeight w:val="300" w:hRule="atLeast"/>
        </w:trPr>
        <w:tc>
          <w:tcPr>
            <w:tcW w:type="dxa" w:w="11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w:t>
            </w:r>
          </w:p>
        </w:tc>
        <w:tc>
          <w:tcPr>
            <w:tcW w:type="dxa" w:w="1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Physio, R. Karimi</w:t>
            </w:r>
          </w:p>
        </w:tc>
        <w:tc>
          <w:tcPr>
            <w:tcW w:type="dxa" w:w="10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Call</w:t>
            </w:r>
          </w:p>
        </w:tc>
        <w:tc>
          <w:tcPr>
            <w:tcW w:type="dxa" w:w="35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Confirmed coper candidate; giving-way or new effusion = stop and call</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Built exclusion list; retest in 4 wks</w:t>
            </w: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1700"/>
            <w:tcMar>
              <w:top w:w="70" w:type="dxa"/>
              <w:left w:w="130" w:type="dxa"/>
              <w:bottom w:w="70" w:type="dxa"/>
              <w:right w:w="130" w:type="dxa"/>
            </w:tcMar>
            <w:vAlign w:val="top"/>
          </w:tcPr>
          <w:p>
            <w:pPr>
              <w:spacing w:before="0" w:after="0" w:line="240" w:lineRule="auto"/>
            </w:pPr>
          </w:p>
        </w:tc>
        <w:tc>
          <w:tcPr>
            <w:tcW w:type="dxa" w:w="1050"/>
            <w:tcMar>
              <w:top w:w="70" w:type="dxa"/>
              <w:left w:w="130" w:type="dxa"/>
              <w:bottom w:w="70" w:type="dxa"/>
              <w:right w:w="130" w:type="dxa"/>
            </w:tcMar>
            <w:vAlign w:val="top"/>
          </w:tcPr>
          <w:p>
            <w:pPr>
              <w:spacing w:before="0" w:after="0" w:line="240" w:lineRule="auto"/>
            </w:pPr>
          </w:p>
        </w:tc>
        <w:tc>
          <w:tcPr>
            <w:tcW w:type="dxa" w:w="355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1700"/>
            <w:tcMar>
              <w:top w:w="70" w:type="dxa"/>
              <w:left w:w="130" w:type="dxa"/>
              <w:bottom w:w="70" w:type="dxa"/>
              <w:right w:w="130" w:type="dxa"/>
            </w:tcMar>
            <w:vAlign w:val="top"/>
          </w:tcPr>
          <w:p>
            <w:pPr>
              <w:spacing w:before="0" w:after="0" w:line="240" w:lineRule="auto"/>
            </w:pPr>
          </w:p>
        </w:tc>
        <w:tc>
          <w:tcPr>
            <w:tcW w:type="dxa" w:w="1050"/>
            <w:tcMar>
              <w:top w:w="70" w:type="dxa"/>
              <w:left w:w="130" w:type="dxa"/>
              <w:bottom w:w="70" w:type="dxa"/>
              <w:right w:w="130" w:type="dxa"/>
            </w:tcMar>
            <w:vAlign w:val="top"/>
          </w:tcPr>
          <w:p>
            <w:pPr>
              <w:spacing w:before="0" w:after="0" w:line="240" w:lineRule="auto"/>
            </w:pPr>
          </w:p>
        </w:tc>
        <w:tc>
          <w:tcPr>
            <w:tcW w:type="dxa" w:w="355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1700"/>
            <w:tcMar>
              <w:top w:w="70" w:type="dxa"/>
              <w:left w:w="130" w:type="dxa"/>
              <w:bottom w:w="70" w:type="dxa"/>
              <w:right w:w="130" w:type="dxa"/>
            </w:tcMar>
            <w:vAlign w:val="top"/>
          </w:tcPr>
          <w:p>
            <w:pPr>
              <w:spacing w:before="0" w:after="0" w:line="240" w:lineRule="auto"/>
            </w:pPr>
          </w:p>
        </w:tc>
        <w:tc>
          <w:tcPr>
            <w:tcW w:type="dxa" w:w="1050"/>
            <w:tcMar>
              <w:top w:w="70" w:type="dxa"/>
              <w:left w:w="130" w:type="dxa"/>
              <w:bottom w:w="70" w:type="dxa"/>
              <w:right w:w="130" w:type="dxa"/>
            </w:tcMar>
            <w:vAlign w:val="top"/>
          </w:tcPr>
          <w:p>
            <w:pPr>
              <w:spacing w:before="0" w:after="0" w:line="240" w:lineRule="auto"/>
            </w:pPr>
          </w:p>
        </w:tc>
        <w:tc>
          <w:tcPr>
            <w:tcW w:type="dxa" w:w="3550"/>
            <w:tcMar>
              <w:top w:w="70" w:type="dxa"/>
              <w:left w:w="130" w:type="dxa"/>
              <w:bottom w:w="70" w:type="dxa"/>
              <w:right w:w="130" w:type="dxa"/>
            </w:tcMar>
            <w:vAlign w:val="top"/>
          </w:tcPr>
          <w:p>
            <w:pPr>
              <w:spacing w:before="0" w:after="0" w:line="240" w:lineRule="auto"/>
            </w:pPr>
          </w:p>
        </w:tc>
        <w:tc>
          <w:tcPr>
            <w:tcW w:type="dxa" w:w="19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6 — Phase-gate sign-off (one per gate)</w:t>
      </w:r>
    </w:p>
    <w:p>
      <w:pPr>
        <w:spacing w:before="0" w:after="160" w:line="269" w:lineRule="auto"/>
      </w:pPr>
      <w:r>
        <w:rPr>
          <w:rFonts w:ascii="Calibri" w:hAnsi="Calibri"/>
          <w:b w:val="0"/>
          <w:i w:val="0"/>
          <w:color w:val="2B2B28"/>
          <w:sz w:val="22"/>
        </w:rPr>
        <w:t>Phase passed: ______   → moving to Phase: ______   Date: ____________</w:t>
      </w:r>
    </w:p>
    <w:p>
      <w:pPr>
        <w:spacing w:before="0" w:after="60" w:line="269" w:lineRule="auto"/>
        <w:ind w:left="432" w:hanging="432"/>
      </w:pPr>
      <w:r>
        <w:rPr>
          <w:rFonts w:ascii="Calibri" w:hAnsi="Calibri"/>
          <w:b w:val="0"/>
          <w:i w:val="0"/>
          <w:color w:val="2B2B28"/>
          <w:sz w:val="22"/>
        </w:rPr>
        <w:t>☐   Full battery retested, same conditions as baseline, results side-by-side</w:t>
      </w:r>
    </w:p>
    <w:p>
      <w:pPr>
        <w:spacing w:before="0" w:after="60" w:line="269" w:lineRule="auto"/>
        <w:ind w:left="432" w:hanging="432"/>
      </w:pPr>
      <w:r>
        <w:rPr>
          <w:rFonts w:ascii="Calibri" w:hAnsi="Calibri"/>
          <w:b w:val="0"/>
          <w:i w:val="0"/>
          <w:color w:val="2B2B28"/>
          <w:sz w:val="22"/>
        </w:rPr>
        <w:t>☐   Every exit criterion for this phase met (list them from Step 4 and tick each)</w:t>
      </w:r>
    </w:p>
    <w:p>
      <w:pPr>
        <w:spacing w:before="0" w:after="60" w:line="269" w:lineRule="auto"/>
        <w:ind w:left="432" w:hanging="432"/>
      </w:pPr>
      <w:r>
        <w:rPr>
          <w:rFonts w:ascii="Calibri" w:hAnsi="Calibri"/>
          <w:b w:val="0"/>
          <w:i w:val="0"/>
          <w:color w:val="2B2B28"/>
          <w:sz w:val="22"/>
        </w:rPr>
        <w:t>☐   Read on absolute terms and by landing quality — not symmetry alone</w:t>
      </w:r>
    </w:p>
    <w:p>
      <w:pPr>
        <w:spacing w:before="0" w:after="60" w:line="269" w:lineRule="auto"/>
        <w:ind w:left="432" w:hanging="432"/>
      </w:pPr>
      <w:r>
        <w:rPr>
          <w:rFonts w:ascii="Calibri" w:hAnsi="Calibri"/>
          <w:b w:val="0"/>
          <w:i w:val="0"/>
          <w:color w:val="2B2B28"/>
          <w:sz w:val="22"/>
        </w:rPr>
        <w:t>☐   No effusion in response to the phase’s loading; zero giving-way</w:t>
      </w:r>
    </w:p>
    <w:p>
      <w:pPr>
        <w:spacing w:before="0" w:after="60" w:line="269" w:lineRule="auto"/>
        <w:ind w:left="432" w:hanging="432"/>
      </w:pPr>
      <w:r>
        <w:rPr>
          <w:rFonts w:ascii="Calibri" w:hAnsi="Calibri"/>
          <w:b w:val="0"/>
          <w:i w:val="0"/>
          <w:color w:val="2B2B28"/>
          <w:sz w:val="22"/>
        </w:rPr>
        <w:t>☐   Global battery (CMJ / jumps) holding or improving; clinician informed, log updated</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If a criterion FAILED: which, and the response</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quad index 84% → held Phase 2, added open-chain quad volume, re-test 2 wks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7 — Return-to-competition sign-off</w:t>
      </w:r>
    </w:p>
    <w:p>
      <w:pPr>
        <w:spacing w:before="0" w:after="60" w:line="269" w:lineRule="auto"/>
        <w:ind w:left="432" w:hanging="432"/>
      </w:pPr>
      <w:r>
        <w:rPr>
          <w:rFonts w:ascii="Calibri" w:hAnsi="Calibri"/>
          <w:b w:val="0"/>
          <w:i w:val="0"/>
          <w:color w:val="2B2B28"/>
          <w:sz w:val="22"/>
        </w:rPr>
        <w:t>☐   No effusion across full training AND match weeks, next-day checks included</w:t>
      </w:r>
    </w:p>
    <w:p>
      <w:pPr>
        <w:spacing w:before="0" w:after="60" w:line="269" w:lineRule="auto"/>
        <w:ind w:left="432" w:hanging="432"/>
      </w:pPr>
      <w:r>
        <w:rPr>
          <w:rFonts w:ascii="Calibri" w:hAnsi="Calibri"/>
          <w:b w:val="0"/>
          <w:i w:val="0"/>
          <w:color w:val="2B2B28"/>
          <w:sz w:val="22"/>
        </w:rPr>
        <w:t>☐   Quadriceps index ≥90%, confirmed on absolute terms</w:t>
      </w:r>
    </w:p>
    <w:p>
      <w:pPr>
        <w:spacing w:before="0" w:after="60" w:line="269" w:lineRule="auto"/>
        <w:ind w:left="432" w:hanging="432"/>
      </w:pPr>
      <w:r>
        <w:rPr>
          <w:rFonts w:ascii="Calibri" w:hAnsi="Calibri"/>
          <w:b w:val="0"/>
          <w:i w:val="0"/>
          <w:color w:val="2B2B28"/>
          <w:sz w:val="22"/>
        </w:rPr>
        <w:t>☐   Hop battery ≥90% on all tests WITH clean, symmetrical landing quality</w:t>
      </w:r>
    </w:p>
    <w:p>
      <w:pPr>
        <w:spacing w:before="0" w:after="60" w:line="269" w:lineRule="auto"/>
        <w:ind w:left="432" w:hanging="432"/>
      </w:pPr>
      <w:r>
        <w:rPr>
          <w:rFonts w:ascii="Calibri" w:hAnsi="Calibri"/>
          <w:b w:val="0"/>
          <w:i w:val="0"/>
          <w:color w:val="2B2B28"/>
          <w:sz w:val="22"/>
        </w:rPr>
        <w:t>☐   Deceleration &amp; reactive change-of-direction controlled at full intent, no valgus</w:t>
      </w:r>
    </w:p>
    <w:p>
      <w:pPr>
        <w:spacing w:before="0" w:after="60" w:line="269" w:lineRule="auto"/>
        <w:ind w:left="432" w:hanging="432"/>
      </w:pPr>
      <w:r>
        <w:rPr>
          <w:rFonts w:ascii="Calibri" w:hAnsi="Calibri"/>
          <w:b w:val="0"/>
          <w:i w:val="0"/>
          <w:color w:val="2B2B28"/>
          <w:sz w:val="22"/>
        </w:rPr>
        <w:t>☐   Zero giving-way episodes across the entire return phase</w:t>
      </w:r>
    </w:p>
    <w:p>
      <w:pPr>
        <w:spacing w:before="0" w:after="60" w:line="269" w:lineRule="auto"/>
        <w:ind w:left="432" w:hanging="432"/>
      </w:pPr>
      <w:r>
        <w:rPr>
          <w:rFonts w:ascii="Calibri" w:hAnsi="Calibri"/>
          <w:b w:val="0"/>
          <w:i w:val="0"/>
          <w:color w:val="2B2B28"/>
          <w:sz w:val="22"/>
        </w:rPr>
        <w:t>☐   Athlete confidence ≥8/10; ACL-RSI at the return threshold</w:t>
      </w:r>
    </w:p>
    <w:p>
      <w:pPr>
        <w:spacing w:before="0" w:after="60" w:line="269" w:lineRule="auto"/>
        <w:ind w:left="432" w:hanging="432"/>
      </w:pPr>
      <w:r>
        <w:rPr>
          <w:rFonts w:ascii="Calibri" w:hAnsi="Calibri"/>
          <w:b w:val="0"/>
          <w:i w:val="0"/>
          <w:color w:val="2B2B28"/>
          <w:sz w:val="22"/>
        </w:rPr>
        <w:t>☐   Written clinician sign-off filed; staged match plan agreed</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Quad index % / hop battery %</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ACL-RSI /100 · confidence (0–10)</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Staged match plan (first exposure → build-up)</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doubles, pre-planned patterns wk1 → reactive cutting by wk4</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Clinician sign-off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sign-off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8 — Session log (the quick daily one)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150"/>
        <w:gridCol w:w="3100"/>
        <w:gridCol w:w="850"/>
        <w:gridCol w:w="2350"/>
        <w:gridCol w:w="1900"/>
      </w:tblGrid>
      <w:tr>
        <w:tc>
          <w:tcPr>
            <w:tcW w:type="dxa" w:w="11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w:t>
            </w:r>
          </w:p>
        </w:tc>
        <w:tc>
          <w:tcPr>
            <w:tcW w:type="dxa" w:w="31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Main work &amp; loads</w:t>
            </w:r>
          </w:p>
        </w:tc>
        <w:tc>
          <w:tcPr>
            <w:tcW w:type="dxa" w:w="8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sRPE</w:t>
            </w:r>
          </w:p>
        </w:tc>
        <w:tc>
          <w:tcPr>
            <w:tcW w:type="dxa" w:w="23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Pain — during / next morning</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Effusion next AM?</w:t>
            </w: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3100"/>
            <w:tcMar>
              <w:top w:w="70" w:type="dxa"/>
              <w:left w:w="130" w:type="dxa"/>
              <w:bottom w:w="70" w:type="dxa"/>
              <w:right w:w="130" w:type="dxa"/>
            </w:tcMar>
            <w:vAlign w:val="top"/>
          </w:tcPr>
          <w:p>
            <w:pPr>
              <w:spacing w:before="0" w:after="0" w:line="240" w:lineRule="auto"/>
            </w:pPr>
          </w:p>
        </w:tc>
        <w:tc>
          <w:tcPr>
            <w:tcW w:type="dxa" w:w="850"/>
            <w:tcMar>
              <w:top w:w="70" w:type="dxa"/>
              <w:left w:w="130" w:type="dxa"/>
              <w:bottom w:w="70" w:type="dxa"/>
              <w:right w:w="130" w:type="dxa"/>
            </w:tcMar>
            <w:vAlign w:val="top"/>
          </w:tcPr>
          <w:p>
            <w:pPr>
              <w:spacing w:before="0" w:after="0" w:line="240" w:lineRule="auto"/>
            </w:pPr>
          </w:p>
        </w:tc>
        <w:tc>
          <w:tcPr>
            <w:tcW w:type="dxa" w:w="23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3100"/>
            <w:tcMar>
              <w:top w:w="70" w:type="dxa"/>
              <w:left w:w="130" w:type="dxa"/>
              <w:bottom w:w="70" w:type="dxa"/>
              <w:right w:w="130" w:type="dxa"/>
            </w:tcMar>
            <w:vAlign w:val="top"/>
          </w:tcPr>
          <w:p>
            <w:pPr>
              <w:spacing w:before="0" w:after="0" w:line="240" w:lineRule="auto"/>
            </w:pPr>
          </w:p>
        </w:tc>
        <w:tc>
          <w:tcPr>
            <w:tcW w:type="dxa" w:w="850"/>
            <w:tcMar>
              <w:top w:w="70" w:type="dxa"/>
              <w:left w:w="130" w:type="dxa"/>
              <w:bottom w:w="70" w:type="dxa"/>
              <w:right w:w="130" w:type="dxa"/>
            </w:tcMar>
            <w:vAlign w:val="top"/>
          </w:tcPr>
          <w:p>
            <w:pPr>
              <w:spacing w:before="0" w:after="0" w:line="240" w:lineRule="auto"/>
            </w:pPr>
          </w:p>
        </w:tc>
        <w:tc>
          <w:tcPr>
            <w:tcW w:type="dxa" w:w="23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r>
        <w:trPr>
          <w:trHeight w:val="300" w:hRule="atLeast"/>
        </w:trPr>
        <w:tc>
          <w:tcPr>
            <w:tcW w:type="dxa" w:w="1150"/>
            <w:tcMar>
              <w:top w:w="70" w:type="dxa"/>
              <w:left w:w="130" w:type="dxa"/>
              <w:bottom w:w="70" w:type="dxa"/>
              <w:right w:w="130" w:type="dxa"/>
            </w:tcMar>
            <w:vAlign w:val="top"/>
          </w:tcPr>
          <w:p>
            <w:pPr>
              <w:spacing w:before="0" w:after="0" w:line="240" w:lineRule="auto"/>
            </w:pPr>
          </w:p>
        </w:tc>
        <w:tc>
          <w:tcPr>
            <w:tcW w:type="dxa" w:w="3100"/>
            <w:tcMar>
              <w:top w:w="70" w:type="dxa"/>
              <w:left w:w="130" w:type="dxa"/>
              <w:bottom w:w="70" w:type="dxa"/>
              <w:right w:w="130" w:type="dxa"/>
            </w:tcMar>
            <w:vAlign w:val="top"/>
          </w:tcPr>
          <w:p>
            <w:pPr>
              <w:spacing w:before="0" w:after="0" w:line="240" w:lineRule="auto"/>
            </w:pPr>
          </w:p>
        </w:tc>
        <w:tc>
          <w:tcPr>
            <w:tcW w:type="dxa" w:w="850"/>
            <w:tcMar>
              <w:top w:w="70" w:type="dxa"/>
              <w:left w:w="130" w:type="dxa"/>
              <w:bottom w:w="70" w:type="dxa"/>
              <w:right w:w="130" w:type="dxa"/>
            </w:tcMar>
            <w:vAlign w:val="top"/>
          </w:tcPr>
          <w:p>
            <w:pPr>
              <w:spacing w:before="0" w:after="0" w:line="240" w:lineRule="auto"/>
            </w:pPr>
          </w:p>
        </w:tc>
        <w:tc>
          <w:tcPr>
            <w:tcW w:type="dxa" w:w="23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900"/>
            <w:tcMar>
              <w:top w:w="70" w:type="dxa"/>
              <w:left w:w="130" w:type="dxa"/>
              <w:bottom w:w="70" w:type="dxa"/>
              <w:right w:w="130" w:type="dxa"/>
            </w:tcMar>
            <w:vAlign w:val="top"/>
          </w:tcPr>
          <w:p>
            <w:pPr>
              <w:spacing w:before="0" w:after="0" w:line="240" w:lineRule="auto"/>
            </w:pPr>
          </w:p>
        </w:tc>
      </w:tr>
    </w:tbl>
    <w:p>
      <w:pPr>
        <w:spacing w:after="40"/>
      </w:pPr>
    </w:p>
    <w:p>
      <w:pPr>
        <w:spacing w:before="0" w:after="140" w:line="269" w:lineRule="auto"/>
      </w:pPr>
      <w:r>
        <w:rPr>
          <w:rFonts w:ascii="Calibri" w:hAnsi="Calibri"/>
          <w:b w:val="0"/>
          <w:i/>
          <w:color w:val="6B6B66"/>
          <w:sz w:val="20"/>
        </w:rPr>
        <w:t>The “next morning” columns are the honest ones — an ACL-deficient knee answers a load late, so the 24-hour pain and (especially) the next-morning swelling steer the next session more than anything he felt mid-set.</w:t>
      </w:r>
    </w:p>
    <w:p>
      <w:pPr>
        <w:pStyle w:val="Heading2"/>
        <w:spacing w:before="220" w:after="60" w:line="240" w:lineRule="auto"/>
      </w:pPr>
      <w:r>
        <w:rPr>
          <w:rFonts w:ascii="Calibri" w:hAnsi="Calibri"/>
          <w:b/>
          <w:i w:val="0"/>
          <w:color w:val="2A5C45"/>
          <w:sz w:val="25"/>
        </w:rPr>
        <w:t>Form 9 — Shared-care agreement (sign this with the physio before loading)</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Athlete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Who owns what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rehab exposures = physio; strength &amp; return-to-court load = coach; the joint = shared</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Combined weekly load ceiling</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total hard lower-body / reactive exposures (rehab + gym + court) ≤ __ / week</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Shared traffic-light — agreed meaning of amber &amp; red</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incl. giving-way or new effusion = red, both parties</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Who holds the progression veto</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physio, on any gate progression</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Weekly touchpoint (day / method)</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Physio signature / date</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Coach signature / date</w:t>
            </w:r>
          </w:p>
        </w:tc>
        <w:tc>
          <w:tcPr>
            <w:tcW w:type="dxa" w:w="67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10 — Health screen, risk assessment &amp; emergency action plan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Health screen (PAR-Q) done / any flags</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Medications / relevant history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Environment &amp; exercise risk assessment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floor, equipment, load caps, spotting — hazards and the control for each</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Emergency action plan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stop → assess → first aid → who to call → nearest A&amp;E</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Emergency contact (name / number)</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Insurance in place (policy / expiry)</w:t>
            </w:r>
          </w:p>
        </w:tc>
        <w:tc>
          <w:tcPr>
            <w:tcW w:type="dxa" w:w="6700"/>
            <w:tcMar>
              <w:top w:w="70" w:type="dxa"/>
              <w:left w:w="130" w:type="dxa"/>
              <w:bottom w:w="70" w:type="dxa"/>
              <w:right w:w="130" w:type="dxa"/>
            </w:tcMar>
            <w:vAlign w:val="top"/>
          </w:tcPr>
          <w:p>
            <w:pPr>
              <w:spacing w:before="0" w:after="0" w:line="240" w:lineRule="auto"/>
            </w:pP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Data protection &amp; consent confirmed</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color w:val="6B6B66"/>
                <w:sz w:val="20"/>
              </w:rPr>
              <w:t>e.g. health data stored securely; shared only with consent</w:t>
            </w:r>
          </w:p>
        </w:tc>
      </w:tr>
    </w:tbl>
    <w:p>
      <w:pPr>
        <w:spacing w:after="40"/>
      </w:pPr>
    </w:p>
    <w:p>
      <w:pPr>
        <w:pStyle w:val="Heading2"/>
        <w:spacing w:before="220" w:after="60" w:line="240" w:lineRule="auto"/>
      </w:pPr>
      <w:r>
        <w:rPr>
          <w:rFonts w:ascii="Calibri" w:hAnsi="Calibri"/>
          <w:b/>
          <w:i w:val="0"/>
          <w:color w:val="2A5C45"/>
          <w:sz w:val="25"/>
        </w:rPr>
        <w:t>Form 11 — Referral network (fill before you need it)</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2650"/>
        <w:gridCol w:w="6700"/>
      </w:tblGrid>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Physiotherapist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GP / sports physician / surgeon</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Dietitian (refer, don’t stray)</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Sport psychologist</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r>
        <w:trPr>
          <w:trHeight w:val="380" w:hRule="atLeast"/>
        </w:trPr>
        <w:tc>
          <w:tcPr>
            <w:tcW w:type="dxa" w:w="2650"/>
            <w:shd w:val="clear" w:color="auto" w:fill="EDEAE4"/>
            <w:tcMar>
              <w:top w:w="70" w:type="dxa"/>
              <w:left w:w="130" w:type="dxa"/>
              <w:bottom w:w="70" w:type="dxa"/>
              <w:right w:w="130" w:type="dxa"/>
            </w:tcMar>
            <w:vAlign w:val="top"/>
          </w:tcPr>
          <w:p>
            <w:pPr>
              <w:spacing w:before="0" w:after="0" w:line="240" w:lineRule="auto"/>
            </w:pPr>
            <w:r>
              <w:rPr>
                <w:rFonts w:ascii="Calibri" w:hAnsi="Calibri"/>
                <w:b/>
                <w:i w:val="0"/>
                <w:color w:val="2B2B28"/>
                <w:sz w:val="20"/>
              </w:rPr>
              <w:t>S&amp;C mentor / other</w:t>
            </w:r>
          </w:p>
        </w:tc>
        <w:tc>
          <w:tcPr>
            <w:tcW w:type="dxa" w:w="6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name / contact</w:t>
            </w:r>
          </w:p>
        </w:tc>
      </w:tr>
    </w:tbl>
    <w:p>
      <w:pPr>
        <w:spacing w:after="40"/>
      </w:pPr>
    </w:p>
    <w:p>
      <w:pPr>
        <w:pStyle w:val="Heading2"/>
        <w:spacing w:before="220" w:after="60" w:line="240" w:lineRule="auto"/>
      </w:pPr>
      <w:r>
        <w:rPr>
          <w:rFonts w:ascii="Calibri" w:hAnsi="Calibri"/>
          <w:b/>
          <w:i w:val="0"/>
          <w:color w:val="2A5C45"/>
          <w:sz w:val="25"/>
        </w:rPr>
        <w:t>Form 12 — Session plan (worked example — one session)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250"/>
        <w:gridCol w:w="2500"/>
        <w:gridCol w:w="1900"/>
        <w:gridCol w:w="2200"/>
        <w:gridCol w:w="1500"/>
      </w:tblGrid>
      <w:tr>
        <w:tc>
          <w:tcPr>
            <w:tcW w:type="dxa" w:w="12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Block</w:t>
            </w:r>
          </w:p>
        </w:tc>
        <w:tc>
          <w:tcPr>
            <w:tcW w:type="dxa" w:w="2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Exercise</w:t>
            </w:r>
          </w:p>
        </w:tc>
        <w:tc>
          <w:tcPr>
            <w:tcW w:type="dxa" w:w="19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Sets × reps @ effort</w:t>
            </w:r>
          </w:p>
        </w:tc>
        <w:tc>
          <w:tcPr>
            <w:tcW w:type="dxa" w:w="2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Coaching focus</w:t>
            </w:r>
          </w:p>
        </w:tc>
        <w:tc>
          <w:tcPr>
            <w:tcW w:type="dxa" w:w="1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Notes</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Prep</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Bike · glute activation · ankle mobility</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8 min + 2 rounds</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Wake the quad and hip</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Knee-safe warm-up</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Main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Leg press (to safe depth)</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4 × 8 @ RPE 7</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Drive the floor, knee over foot</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Chase quad symmetry</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Strength</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Romanian deadlift</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3 × 8</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Long hips, slow lower</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Hamstrings = ACL agonist</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Reactive</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Single-leg stick landings</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4 × 5 / side</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Land soft, knee over foot</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Film from the front</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Condition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Bike intervals</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6 × 1 min</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Repeat-effort</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Rebuild match fitness</w:t>
            </w:r>
          </w:p>
        </w:tc>
      </w:tr>
      <w:tr>
        <w:trPr>
          <w:trHeight w:val="300" w:hRule="atLeast"/>
        </w:trPr>
        <w:tc>
          <w:tcPr>
            <w:tcW w:type="dxa" w:w="12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Down</w:t>
            </w:r>
          </w:p>
        </w:tc>
        <w:tc>
          <w:tcPr>
            <w:tcW w:type="dxa" w:w="2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Walk · quad stretch</w:t>
            </w:r>
          </w:p>
        </w:tc>
        <w:tc>
          <w:tcPr>
            <w:tcW w:type="dxa" w:w="19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5 min</w:t>
            </w:r>
          </w:p>
        </w:tc>
        <w:tc>
          <w:tcPr>
            <w:tcW w:type="dxa" w:w="2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w:t>
            </w:r>
          </w:p>
        </w:tc>
        <w:tc>
          <w:tcPr>
            <w:tcW w:type="dxa" w:w="1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Log pain / swelling next AM</w:t>
            </w:r>
          </w:p>
        </w:tc>
      </w:tr>
    </w:tbl>
    <w:p>
      <w:pPr>
        <w:spacing w:after="40"/>
      </w:pPr>
    </w:p>
    <w:p>
      <w:pPr>
        <w:pStyle w:val="Heading2"/>
        <w:spacing w:before="220" w:after="60" w:line="240" w:lineRule="auto"/>
      </w:pPr>
      <w:r>
        <w:rPr>
          <w:rFonts w:ascii="Calibri" w:hAnsi="Calibri"/>
          <w:b/>
          <w:i w:val="0"/>
          <w:color w:val="2A5C45"/>
          <w:sz w:val="25"/>
        </w:rPr>
        <w:t>Form 13 — Flare / setback plan (copy onto a card for the athlete)</w:t>
      </w:r>
    </w:p>
    <w:p>
      <w:pPr>
        <w:spacing w:before="0" w:after="160" w:line="269" w:lineRule="auto"/>
      </w:pPr>
      <w:r>
        <w:rPr>
          <w:rFonts w:ascii="Calibri" w:hAnsi="Calibri"/>
          <w:b w:val="0"/>
          <w:i w:val="0"/>
          <w:color w:val="2B2B28"/>
          <w:sz w:val="22"/>
        </w:rPr>
        <w:t>If the knee flares — new swelling, pain clearly worse the next morning, or any giving-way:</w:t>
      </w:r>
    </w:p>
    <w:p>
      <w:pPr>
        <w:spacing w:before="0" w:after="60" w:line="269" w:lineRule="auto"/>
        <w:ind w:left="432" w:hanging="432"/>
      </w:pPr>
      <w:r>
        <w:rPr>
          <w:rFonts w:ascii="Calibri" w:hAnsi="Calibri"/>
          <w:b w:val="0"/>
          <w:i w:val="0"/>
          <w:color w:val="2B2B28"/>
          <w:sz w:val="22"/>
        </w:rPr>
        <w:t>☐   Relative rest 24–48 h — keep moving, offload the provoker; don’t stop completely and don’t push through</w:t>
      </w:r>
    </w:p>
    <w:p>
      <w:pPr>
        <w:spacing w:before="0" w:after="60" w:line="269" w:lineRule="auto"/>
        <w:ind w:left="432" w:hanging="432"/>
      </w:pPr>
      <w:r>
        <w:rPr>
          <w:rFonts w:ascii="Calibri" w:hAnsi="Calibri"/>
          <w:b w:val="0"/>
          <w:i w:val="0"/>
          <w:color w:val="2B2B28"/>
          <w:sz w:val="22"/>
        </w:rPr>
        <w:t>☐   Message the coach the same day</w:t>
      </w:r>
    </w:p>
    <w:p>
      <w:pPr>
        <w:spacing w:before="0" w:after="60" w:line="269" w:lineRule="auto"/>
        <w:ind w:left="432" w:hanging="432"/>
      </w:pPr>
      <w:r>
        <w:rPr>
          <w:rFonts w:ascii="Calibri" w:hAnsi="Calibri"/>
          <w:b w:val="0"/>
          <w:i w:val="0"/>
          <w:color w:val="2B2B28"/>
          <w:sz w:val="22"/>
        </w:rPr>
        <w:t>☐   Coach regresses the exposure one rung; hold there until dry &amp; quiet by the morning-after rule for 2–3 sessions</w:t>
      </w:r>
    </w:p>
    <w:p>
      <w:pPr>
        <w:spacing w:before="0" w:after="60" w:line="269" w:lineRule="auto"/>
        <w:ind w:left="432" w:hanging="432"/>
      </w:pPr>
      <w:r>
        <w:rPr>
          <w:rFonts w:ascii="Calibri" w:hAnsi="Calibri"/>
          <w:b w:val="0"/>
          <w:i w:val="0"/>
          <w:color w:val="2B2B28"/>
          <w:sz w:val="22"/>
        </w:rPr>
        <w:t>☐   Re-approach at that lower rung</w:t>
      </w:r>
    </w:p>
    <w:p>
      <w:pPr>
        <w:spacing w:before="0" w:after="60" w:line="269" w:lineRule="auto"/>
        <w:ind w:left="432" w:hanging="432"/>
      </w:pPr>
      <w:r>
        <w:rPr>
          <w:rFonts w:ascii="Calibri" w:hAnsi="Calibri"/>
          <w:b w:val="0"/>
          <w:i w:val="0"/>
          <w:color w:val="2B2B28"/>
          <w:sz w:val="22"/>
        </w:rPr>
        <w:t>☐   ANY giving-way, OR a second effusion at the same rung → physio, not the programme</w:t>
      </w:r>
    </w:p>
    <w:p>
      <w:pPr>
        <w:pStyle w:val="Heading2"/>
        <w:spacing w:before="220" w:after="60" w:line="240" w:lineRule="auto"/>
      </w:pPr>
      <w:r>
        <w:rPr>
          <w:rFonts w:ascii="Calibri" w:hAnsi="Calibri"/>
          <w:b/>
          <w:i w:val="0"/>
          <w:color w:val="2A5C45"/>
          <w:sz w:val="25"/>
        </w:rPr>
        <w:t>Form 14 — Evidence &amp; reference log (fill as you reason)</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3200"/>
        <w:gridCol w:w="2650"/>
        <w:gridCol w:w="3500"/>
      </w:tblGrid>
      <w:tr>
        <w:tc>
          <w:tcPr>
            <w:tcW w:type="dxa" w:w="32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Decision / claim</w:t>
            </w:r>
          </w:p>
        </w:tc>
        <w:tc>
          <w:tcPr>
            <w:tcW w:type="dxa" w:w="26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Source</w:t>
            </w:r>
          </w:p>
        </w:tc>
        <w:tc>
          <w:tcPr>
            <w:tcW w:type="dxa" w:w="35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How it applied here</w:t>
            </w:r>
          </w:p>
        </w:tc>
      </w:tr>
      <w:tr>
        <w:trPr>
          <w:trHeight w:val="300" w:hRule="atLeast"/>
        </w:trPr>
        <w:tc>
          <w:tcPr>
            <w:tcW w:type="dxa" w:w="32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Criteria, not the calendar, decide return</w:t>
            </w:r>
          </w:p>
        </w:tc>
        <w:tc>
          <w:tcPr>
            <w:tcW w:type="dxa" w:w="26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Return-to-sport / reinjury literature</w:t>
            </w:r>
          </w:p>
        </w:tc>
        <w:tc>
          <w:tcPr>
            <w:tcW w:type="dxa" w:w="35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Held reactive cutting until the hop &amp; strength criteria passed</w:t>
            </w:r>
          </w:p>
        </w:tc>
      </w:tr>
      <w:tr>
        <w:trPr>
          <w:trHeight w:val="300" w:hRule="atLeast"/>
        </w:trPr>
        <w:tc>
          <w:tcPr>
            <w:tcW w:type="dxa" w:w="3200"/>
            <w:tcMar>
              <w:top w:w="70" w:type="dxa"/>
              <w:left w:w="130" w:type="dxa"/>
              <w:bottom w:w="70" w:type="dxa"/>
              <w:right w:w="130" w:type="dxa"/>
            </w:tcMar>
            <w:vAlign w:val="top"/>
          </w:tcPr>
          <w:p>
            <w:pPr>
              <w:spacing w:before="0" w:after="0" w:line="240" w:lineRule="auto"/>
            </w:pPr>
          </w:p>
        </w:tc>
        <w:tc>
          <w:tcPr>
            <w:tcW w:type="dxa" w:w="2650"/>
            <w:tcMar>
              <w:top w:w="70" w:type="dxa"/>
              <w:left w:w="130" w:type="dxa"/>
              <w:bottom w:w="70" w:type="dxa"/>
              <w:right w:w="130" w:type="dxa"/>
            </w:tcMar>
            <w:vAlign w:val="top"/>
          </w:tcPr>
          <w:p>
            <w:pPr>
              <w:spacing w:before="0" w:after="0" w:line="240" w:lineRule="auto"/>
            </w:pPr>
          </w:p>
        </w:tc>
        <w:tc>
          <w:tcPr>
            <w:tcW w:type="dxa" w:w="3500"/>
            <w:tcMar>
              <w:top w:w="70" w:type="dxa"/>
              <w:left w:w="130" w:type="dxa"/>
              <w:bottom w:w="70" w:type="dxa"/>
              <w:right w:w="130" w:type="dxa"/>
            </w:tcMar>
            <w:vAlign w:val="top"/>
          </w:tcPr>
          <w:p>
            <w:pPr>
              <w:spacing w:before="0" w:after="0" w:line="240" w:lineRule="auto"/>
            </w:pPr>
          </w:p>
        </w:tc>
      </w:tr>
      <w:tr>
        <w:trPr>
          <w:trHeight w:val="300" w:hRule="atLeast"/>
        </w:trPr>
        <w:tc>
          <w:tcPr>
            <w:tcW w:type="dxa" w:w="3200"/>
            <w:tcMar>
              <w:top w:w="70" w:type="dxa"/>
              <w:left w:w="130" w:type="dxa"/>
              <w:bottom w:w="70" w:type="dxa"/>
              <w:right w:w="130" w:type="dxa"/>
            </w:tcMar>
            <w:vAlign w:val="top"/>
          </w:tcPr>
          <w:p>
            <w:pPr>
              <w:spacing w:before="0" w:after="0" w:line="240" w:lineRule="auto"/>
            </w:pPr>
          </w:p>
        </w:tc>
        <w:tc>
          <w:tcPr>
            <w:tcW w:type="dxa" w:w="2650"/>
            <w:tcMar>
              <w:top w:w="70" w:type="dxa"/>
              <w:left w:w="130" w:type="dxa"/>
              <w:bottom w:w="70" w:type="dxa"/>
              <w:right w:w="130" w:type="dxa"/>
            </w:tcMar>
            <w:vAlign w:val="top"/>
          </w:tcPr>
          <w:p>
            <w:pPr>
              <w:spacing w:before="0" w:after="0" w:line="240" w:lineRule="auto"/>
            </w:pPr>
          </w:p>
        </w:tc>
        <w:tc>
          <w:tcPr>
            <w:tcW w:type="dxa" w:w="3500"/>
            <w:tcMar>
              <w:top w:w="70" w:type="dxa"/>
              <w:left w:w="130" w:type="dxa"/>
              <w:bottom w:w="70" w:type="dxa"/>
              <w:right w:w="130" w:type="dxa"/>
            </w:tcMar>
            <w:vAlign w:val="top"/>
          </w:tcPr>
          <w:p>
            <w:pPr>
              <w:spacing w:before="0" w:after="0" w:line="240" w:lineRule="auto"/>
            </w:pPr>
          </w:p>
        </w:tc>
      </w:tr>
    </w:tbl>
    <w:p>
      <w:pPr>
        <w:spacing w:after="40"/>
      </w:pPr>
    </w:p>
    <w:p>
      <w:pPr>
        <w:pStyle w:val="Heading2"/>
        <w:spacing w:before="220" w:after="60" w:line="240" w:lineRule="auto"/>
      </w:pPr>
      <w:r>
        <w:rPr>
          <w:rFonts w:ascii="Calibri" w:hAnsi="Calibri"/>
          <w:b/>
          <w:i w:val="0"/>
          <w:color w:val="2A5C45"/>
          <w:sz w:val="25"/>
        </w:rPr>
        <w:t>Form 15 — Reflective practice log (one at every phase gate)</w:t>
      </w:r>
    </w:p>
    <w:tbl>
      <w:tblPr>
        <w:tblW w:type="auto" w:w="0"/>
        <w:tblLook w:firstColumn="1" w:firstRow="1" w:lastColumn="0" w:lastRow="0" w:noHBand="0" w:noVBand="1" w:val="04A0"/>
        <w:tblW w:w="9350" w:type="dxa"/>
        <w:tblLayout w:type="fixed"/>
        <w:tblBorders>
          <w:top w:val="single" w:sz="6" w:space="0" w:color="BFBDB6"/>
          <w:left w:val="single" w:sz="6" w:space="0" w:color="BFBDB6"/>
          <w:bottom w:val="single" w:sz="6" w:space="0" w:color="BFBDB6"/>
          <w:right w:val="single" w:sz="6" w:space="0" w:color="BFBDB6"/>
          <w:insideH w:val="single" w:sz="6" w:space="0" w:color="D9D7CF"/>
          <w:insideV w:val="single" w:sz="6" w:space="0" w:color="D9D7CF"/>
        </w:tblBorders>
      </w:tblPr>
      <w:tblGrid>
        <w:gridCol w:w="1700"/>
        <w:gridCol w:w="2450"/>
        <w:gridCol w:w="2450"/>
        <w:gridCol w:w="2750"/>
      </w:tblGrid>
      <w:tr>
        <w:tc>
          <w:tcPr>
            <w:tcW w:type="dxa" w:w="170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Date / phase</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planned</w:t>
            </w:r>
          </w:p>
        </w:tc>
        <w:tc>
          <w:tcPr>
            <w:tcW w:type="dxa" w:w="24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actually happened</w:t>
            </w:r>
          </w:p>
        </w:tc>
        <w:tc>
          <w:tcPr>
            <w:tcW w:type="dxa" w:w="2750"/>
            <w:shd w:val="clear" w:color="auto" w:fill="2A5C45"/>
            <w:tcMar>
              <w:top w:w="70" w:type="dxa"/>
              <w:left w:w="130" w:type="dxa"/>
              <w:bottom w:w="70" w:type="dxa"/>
              <w:right w:w="130" w:type="dxa"/>
            </w:tcMar>
            <w:vAlign w:val="center"/>
          </w:tcPr>
          <w:p>
            <w:pPr>
              <w:spacing w:before="0" w:after="0" w:line="240" w:lineRule="auto"/>
            </w:pPr>
            <w:r>
              <w:rPr>
                <w:rFonts w:ascii="Calibri" w:hAnsi="Calibri"/>
                <w:b/>
                <w:i w:val="0"/>
                <w:color w:val="FFFFFF"/>
                <w:sz w:val="20"/>
              </w:rPr>
              <w:t>What I changed &amp; what I learned</w:t>
            </w:r>
          </w:p>
        </w:tc>
      </w:tr>
      <w:tr>
        <w:trPr>
          <w:trHeight w:val="300" w:hRule="atLeast"/>
        </w:trPr>
        <w:tc>
          <w:tcPr>
            <w:tcW w:type="dxa" w:w="170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(ex.) End of Phase 3</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Clear reactive cutting</w:t>
            </w:r>
          </w:p>
        </w:tc>
        <w:tc>
          <w:tcPr>
            <w:tcW w:type="dxa" w:w="24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Trace effusion after first reactive drills</w:t>
            </w:r>
          </w:p>
        </w:tc>
        <w:tc>
          <w:tcPr>
            <w:tcW w:type="dxa" w:w="2750"/>
            <w:tcMar>
              <w:top w:w="70" w:type="dxa"/>
              <w:left w:w="130" w:type="dxa"/>
              <w:bottom w:w="70" w:type="dxa"/>
              <w:right w:w="130" w:type="dxa"/>
            </w:tcMar>
            <w:vAlign w:val="top"/>
          </w:tcPr>
          <w:p>
            <w:pPr>
              <w:spacing w:before="0" w:after="0" w:line="240" w:lineRule="auto"/>
            </w:pPr>
            <w:r>
              <w:rPr>
                <w:rFonts w:ascii="Calibri" w:hAnsi="Calibri"/>
                <w:b w:val="0"/>
                <w:i w:val="0"/>
                <w:color w:val="2B2B28"/>
                <w:sz w:val="20"/>
              </w:rPr>
              <w:t>Dropped volume a week — read the swelling, not the calendar</w:t>
            </w:r>
          </w:p>
        </w:tc>
      </w:tr>
      <w:tr>
        <w:trPr>
          <w:trHeight w:val="300" w:hRule="atLeast"/>
        </w:trPr>
        <w:tc>
          <w:tcPr>
            <w:tcW w:type="dxa" w:w="170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r>
        <w:trPr>
          <w:trHeight w:val="300" w:hRule="atLeast"/>
        </w:trPr>
        <w:tc>
          <w:tcPr>
            <w:tcW w:type="dxa" w:w="170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450"/>
            <w:tcMar>
              <w:top w:w="70" w:type="dxa"/>
              <w:left w:w="130" w:type="dxa"/>
              <w:bottom w:w="70" w:type="dxa"/>
              <w:right w:w="130" w:type="dxa"/>
            </w:tcMar>
            <w:vAlign w:val="top"/>
          </w:tcPr>
          <w:p>
            <w:pPr>
              <w:spacing w:before="0" w:after="0" w:line="240" w:lineRule="auto"/>
            </w:pPr>
          </w:p>
        </w:tc>
        <w:tc>
          <w:tcPr>
            <w:tcW w:type="dxa" w:w="2750"/>
            <w:tcMar>
              <w:top w:w="70" w:type="dxa"/>
              <w:left w:w="130" w:type="dxa"/>
              <w:bottom w:w="70" w:type="dxa"/>
              <w:right w:w="130" w:type="dxa"/>
            </w:tcMar>
            <w:vAlign w:val="top"/>
          </w:tcPr>
          <w:p>
            <w:pPr>
              <w:spacing w:before="0" w:after="0" w:line="240" w:lineRule="auto"/>
            </w:pPr>
          </w:p>
        </w:tc>
      </w:tr>
    </w:tbl>
    <w:p>
      <w:pPr>
        <w:spacing w:after="40"/>
      </w:pPr>
    </w:p>
    <w:p>
      <w:pPr>
        <w:spacing w:before="200" w:after="0" w:line="240" w:lineRule="auto"/>
        <w:pBdr>
          <w:bottom w:val="single" w:sz="4" w:space="4" w:color="BFBDB6"/>
        </w:pBdr>
      </w:pPr>
    </w:p>
    <w:p>
      <w:pPr>
        <w:spacing w:before="80" w:after="0" w:line="269" w:lineRule="auto"/>
      </w:pPr>
      <w:r>
        <w:rPr>
          <w:rFonts w:ascii="Calibri" w:hAnsi="Calibri"/>
          <w:b w:val="0"/>
          <w:i/>
          <w:color w:val="6B6B66"/>
          <w:sz w:val="18"/>
        </w:rPr>
        <w:t>AA Performance · Learning Series — internal coach-education document. Method template only; all athlete casework to be documented from real, completed programmes.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Returning the Cutting Athlete — Partial ACL Tear with Meniscus Involvement</dc:title>
  <dc:subject>Non-surgical (coper) return-to-sport method walkthrough (UKSCA)</dc:subject>
  <dc:creator>AA Performance</dc:creator>
  <cp:keywords/>
  <dc:description>generated by python-docx</dc:description>
  <cp:lastModifiedBy/>
  <cp:revision>1</cp:revision>
  <dcterms:created xsi:type="dcterms:W3CDTF">2013-12-23T23:15:00Z</dcterms:created>
  <dcterms:modified xsi:type="dcterms:W3CDTF">2013-12-23T23:15:00Z</dcterms:modified>
  <cp:category>Learning Series</cp:category>
</cp:coreProperties>
</file>