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9" w:lineRule="auto"/>
      </w:pPr>
      <w:r>
        <w:rPr>
          <w:rFonts w:ascii="Calibri" w:hAnsi="Calibri"/>
          <w:b/>
          <w:i w:val="0"/>
          <w:color w:val="6B6B66"/>
          <w:sz w:val="18"/>
        </w:rPr>
        <w:t>AA PERFORMANCE · LEARNING SERIES</w:t>
      </w:r>
    </w:p>
    <w:p>
      <w:pPr>
        <w:spacing w:before="40" w:after="40" w:line="240" w:lineRule="auto"/>
      </w:pPr>
      <w:r>
        <w:rPr>
          <w:rFonts w:ascii="Calibri" w:hAnsi="Calibri"/>
          <w:b/>
          <w:i w:val="0"/>
          <w:color w:val="2A5C45"/>
          <w:sz w:val="44"/>
        </w:rPr>
        <w:t>Returning the Rotational Athlete</w:t>
      </w:r>
    </w:p>
    <w:p>
      <w:pPr>
        <w:spacing w:before="0" w:after="80" w:line="240" w:lineRule="auto"/>
      </w:pPr>
      <w:r>
        <w:rPr>
          <w:rFonts w:ascii="Calibri" w:hAnsi="Calibri"/>
          <w:b/>
          <w:i w:val="0"/>
          <w:color w:val="C4522A"/>
          <w:sz w:val="28"/>
        </w:rPr>
        <w:t>Hip Labral Tear on a Dysplastic Socket — The Conservative Pathway</w:t>
      </w:r>
    </w:p>
    <w:p>
      <w:pPr>
        <w:spacing w:before="0" w:after="120" w:line="269" w:lineRule="auto"/>
      </w:pPr>
      <w:r>
        <w:rPr>
          <w:rFonts w:ascii="Calibri" w:hAnsi="Calibri"/>
          <w:b w:val="0"/>
          <w:i/>
          <w:color w:val="6B6B66"/>
          <w:sz w:val="22"/>
        </w:rPr>
        <w:t>A mentor's walkthrough for the developing coach: every step from the first phone call to the first match back — and the why behind each one.</w:t>
      </w:r>
    </w:p>
    <w:p>
      <w:pPr>
        <w:spacing w:before="40" w:after="200" w:line="240" w:lineRule="auto"/>
        <w:pBdr>
          <w:bottom w:val="single" w:sz="8" w:space="4" w:color="C4522A"/>
        </w:pBdr>
      </w:pPr>
    </w:p>
    <w:p>
      <w:pPr>
        <w:pStyle w:val="Heading1"/>
        <w:spacing w:before="320" w:after="100" w:line="240" w:lineRule="auto"/>
      </w:pPr>
      <w:r>
        <w:rPr>
          <w:rFonts w:ascii="Calibri" w:hAnsi="Calibri"/>
          <w:b/>
          <w:i w:val="0"/>
          <w:color w:val="C4522A"/>
          <w:sz w:val="30"/>
        </w:rPr>
        <w:t>How to Use This Document</w:t>
      </w:r>
    </w:p>
    <w:p>
      <w:pPr>
        <w:spacing w:before="0" w:after="160" w:line="269" w:lineRule="auto"/>
      </w:pPr>
      <w:r>
        <w:rPr>
          <w:rFonts w:ascii="Calibri" w:hAnsi="Calibri"/>
          <w:b w:val="0"/>
          <w:i w:val="0"/>
          <w:color w:val="2B2B28"/>
          <w:sz w:val="22"/>
        </w:rPr>
        <w:t>This is a method document, not a case study. It teaches the complete process for taking a tennis or padel athlete with a non-surgical hip labral tear — the kind that sits on a shallow, dysplastic socket rather than an impinging one — from diagnosis back to competition, documented to the standard the UKSCA expects. Read it to learn the reasoning. Then, when a real athlete with this presentation walks in, run the process on him and record his data.</w:t>
      </w:r>
    </w:p>
    <w:p>
      <w:pPr>
        <w:spacing w:before="0" w:after="160" w:line="269" w:lineRule="auto"/>
      </w:pPr>
      <w:r>
        <w:rPr>
          <w:rFonts w:ascii="Calibri" w:hAnsi="Calibri"/>
          <w:b/>
          <w:i w:val="0"/>
          <w:color w:val="2B2B28"/>
          <w:sz w:val="22"/>
        </w:rPr>
        <w:t>One thing before anything else: the case study is the athlete, not the template. UKSCA assessors fail theoretical work and “too good to be true” results, and experienced employers can smell both. This document makes you ready; the real athlete, with his real bumpy data, makes the case. A programme with a stubborn week five and a smart response to it reads as more credible than a perfect curve — because assessors have coached, and they know perfect curves don’t exist.</w:t>
      </w:r>
    </w:p>
    <w:p>
      <w:pPr>
        <w:spacing w:before="0" w:after="160" w:line="269" w:lineRule="auto"/>
      </w:pPr>
      <w:r>
        <w:rPr>
          <w:rFonts w:ascii="Calibri" w:hAnsi="Calibri"/>
          <w:b w:val="0"/>
          <w:i w:val="0"/>
          <w:color w:val="2B2B28"/>
          <w:sz w:val="22"/>
        </w:rPr>
        <w:t>The arc you are about to learn, in one line: confirm the morphology and protect → understand the tissue → measure control, not just strength → load in gated phases → monitor weekly → return by criteria → write it up. Seven moves. Everything else is detail inside those moves. And one warning runs underneath all seven: a labral tear on a dysplastic hip is a different animal from the impingement case, and coaching it as if it were the same is the most common way this goes wrong.</w:t>
      </w:r>
    </w:p>
    <w:p>
      <w:pPr>
        <w:pStyle w:val="Heading1"/>
        <w:spacing w:before="320" w:after="100" w:line="240" w:lineRule="auto"/>
      </w:pPr>
      <w:r>
        <w:rPr>
          <w:rFonts w:ascii="Calibri" w:hAnsi="Calibri"/>
          <w:b/>
          <w:i w:val="0"/>
          <w:color w:val="C4522A"/>
          <w:sz w:val="30"/>
        </w:rPr>
        <w:t>Step 0 — Before You Write a Single Rep</w:t>
      </w:r>
    </w:p>
    <w:p>
      <w:pPr>
        <w:spacing w:before="0" w:after="160" w:line="269" w:lineRule="auto"/>
      </w:pPr>
      <w:r>
        <w:rPr>
          <w:rFonts w:ascii="Calibri" w:hAnsi="Calibri"/>
          <w:b w:val="0"/>
          <w:i w:val="0"/>
          <w:color w:val="2B2B28"/>
          <w:sz w:val="22"/>
        </w:rPr>
        <w:t>Start with what you are not. You are not the diagnostician, and you are not the clinician managing the medical pathway. The physiotherapist, orthopaedic surgeon, or sports physician owns the diagnosis, the healing timeline, and the contraindications — and in a hip like this one, they also own a decision you must not touch: whether the joint is stable enough to be managed conservatively at all. You own the physical preparation that happens around and after that. We hold this line for three reasons: it is a legal and ethical boundary that protects you and the athlete; it is a competency the UKSCA explicitly assesses (evidence of collaboration with medical staff); and — the reason that actually matters day to day — the programme is simply better when the person who read the MRI is talking to the person writing the loading.</w:t>
      </w:r>
    </w:p>
    <w:p>
      <w:pPr>
        <w:spacing w:before="0" w:after="160" w:line="269" w:lineRule="auto"/>
      </w:pPr>
      <w:r>
        <w:rPr>
          <w:rFonts w:ascii="Calibri" w:hAnsi="Calibri"/>
          <w:b w:val="0"/>
          <w:i w:val="0"/>
          <w:color w:val="2B2B28"/>
          <w:sz w:val="22"/>
        </w:rPr>
        <w:t>So in week zero, before any programming, you secure three things:</w:t>
      </w:r>
    </w:p>
    <w:p>
      <w:pPr>
        <w:pStyle w:val="ListBullet"/>
        <w:spacing w:before="0" w:after="80" w:line="269" w:lineRule="auto"/>
      </w:pPr>
      <w:r>
        <w:rPr>
          <w:rFonts w:ascii="Calibri" w:hAnsi="Calibri"/>
          <w:b/>
          <w:i w:val="0"/>
          <w:color w:val="2B2B28"/>
          <w:sz w:val="22"/>
        </w:rPr>
        <w:t>Medical confirmation in writing</w:t>
      </w:r>
      <w:r>
        <w:rPr>
          <w:rFonts w:ascii="Calibri" w:hAnsi="Calibri"/>
          <w:b w:val="0"/>
          <w:i w:val="0"/>
          <w:color w:val="2B2B28"/>
          <w:sz w:val="22"/>
        </w:rPr>
        <w:t xml:space="preserve"> — the diagnosis, the bony morphology (not optional here — see below), the structures involved, and the current contraindications, from the treating clinician, not relayed through the athlete. Athletes compress information. “The scan showed a labral tear” in an athlete’s mouth can hide the single most important fact about his hip: whether the socket that holds it is normal, over-covered, or under-covered.</w:t>
      </w:r>
    </w:p>
    <w:p>
      <w:pPr>
        <w:pStyle w:val="ListBullet"/>
        <w:spacing w:before="0" w:after="80" w:line="269" w:lineRule="auto"/>
      </w:pPr>
      <w:r>
        <w:rPr>
          <w:rFonts w:ascii="Calibri" w:hAnsi="Calibri"/>
          <w:b/>
          <w:i w:val="0"/>
          <w:color w:val="2B2B28"/>
          <w:sz w:val="22"/>
        </w:rPr>
        <w:t>Athlete consent, also in writing</w:t>
      </w:r>
      <w:r>
        <w:rPr>
          <w:rFonts w:ascii="Calibri" w:hAnsi="Calibri"/>
          <w:b w:val="0"/>
          <w:i w:val="0"/>
          <w:color w:val="2B2B28"/>
          <w:sz w:val="22"/>
        </w:rPr>
        <w:t xml:space="preserve"> — permission to record his data, share it with the medical team, and later use the anonymised case for your UKSCA submission and professional portfolio. Asking now is easy; asking in month four, after the fact, is awkward and looks like an afterthought.</w:t>
      </w:r>
    </w:p>
    <w:p>
      <w:pPr>
        <w:pStyle w:val="ListBullet"/>
        <w:spacing w:before="0" w:after="80" w:line="269" w:lineRule="auto"/>
      </w:pPr>
      <w:r>
        <w:rPr>
          <w:rFonts w:ascii="Calibri" w:hAnsi="Calibri"/>
          <w:b/>
          <w:i w:val="0"/>
          <w:color w:val="2B2B28"/>
          <w:sz w:val="22"/>
        </w:rPr>
        <w:t>Your documentation system, open on day zero</w:t>
      </w:r>
      <w:r>
        <w:rPr>
          <w:rFonts w:ascii="Calibri" w:hAnsi="Calibri"/>
          <w:b w:val="0"/>
          <w:i w:val="0"/>
          <w:color w:val="2B2B28"/>
          <w:sz w:val="22"/>
        </w:rPr>
        <w:t xml:space="preserve"> — baseline forms ready, weekly log built, collaboration log started. We document from the first contact because the UKSCA requires completed, evidenced work — and because memory is a liar. A case reconstructed from memory in month four reads exactly like what it is.</w:t>
      </w:r>
    </w:p>
    <w:p>
      <w:pPr>
        <w:pStyle w:val="Heading2"/>
        <w:spacing w:before="220" w:after="60" w:line="240" w:lineRule="auto"/>
      </w:pPr>
      <w:r>
        <w:rPr>
          <w:rFonts w:ascii="Calibri" w:hAnsi="Calibri"/>
          <w:b/>
          <w:i w:val="0"/>
          <w:color w:val="2A5C45"/>
          <w:sz w:val="25"/>
        </w:rPr>
        <w:t>The six questions you ask the physio</w:t>
      </w:r>
    </w:p>
    <w:p>
      <w:pPr>
        <w:spacing w:before="0" w:after="160" w:line="269" w:lineRule="auto"/>
      </w:pPr>
      <w:r>
        <w:rPr>
          <w:rFonts w:ascii="Calibri" w:hAnsi="Calibri"/>
          <w:b w:val="0"/>
          <w:i w:val="0"/>
          <w:color w:val="2B2B28"/>
          <w:sz w:val="22"/>
        </w:rPr>
        <w:t>This first conversation edits your entire programme, so treat it like an assessment. Ask:</w:t>
      </w:r>
    </w:p>
    <w:p>
      <w:pPr>
        <w:pStyle w:val="ListBullet"/>
        <w:spacing w:before="0" w:after="80" w:line="269" w:lineRule="auto"/>
      </w:pPr>
      <w:r>
        <w:rPr>
          <w:rFonts w:ascii="Calibri" w:hAnsi="Calibri"/>
          <w:b/>
          <w:i w:val="0"/>
          <w:color w:val="2B2B28"/>
          <w:sz w:val="22"/>
        </w:rPr>
        <w:t>What exactly is the diagnosis — and what is the bony morphology underneath it?</w:t>
      </w:r>
      <w:r>
        <w:rPr>
          <w:rFonts w:ascii="Calibri" w:hAnsi="Calibri"/>
          <w:b w:val="0"/>
          <w:i w:val="0"/>
          <w:color w:val="2B2B28"/>
          <w:sz w:val="22"/>
        </w:rPr>
        <w:t xml:space="preserve"> This is the question that separates this case from every other hip. A labrum can tear against a socket that is over-covered (pincer-type impingement, where the rim pinches the labrum) or under-covered (dysplasia, where a shallow socket overloads the labrum because it is doing the bone’s job of holding the head in). Ask specifically about the lateral centre-edge angle and whether there is any instability. The two morphologies are rehabbed in almost opposite directions — one earns range carefully, the other must never chase it — so getting this wrong is not a small error.</w:t>
      </w:r>
    </w:p>
    <w:p>
      <w:pPr>
        <w:pStyle w:val="ListBullet"/>
        <w:spacing w:before="0" w:after="80" w:line="269" w:lineRule="auto"/>
      </w:pPr>
      <w:r>
        <w:rPr>
          <w:rFonts w:ascii="Calibri" w:hAnsi="Calibri"/>
          <w:b/>
          <w:i w:val="0"/>
          <w:color w:val="2B2B28"/>
          <w:sz w:val="22"/>
        </w:rPr>
        <w:t>Which positions and loads are off-limits right now, and until when?</w:t>
      </w:r>
      <w:r>
        <w:rPr>
          <w:rFonts w:ascii="Calibri" w:hAnsi="Calibri"/>
          <w:b w:val="0"/>
          <w:i w:val="0"/>
          <w:color w:val="2B2B28"/>
          <w:sz w:val="22"/>
        </w:rPr>
        <w:t xml:space="preserve"> This becomes your exercise exclusion list. For the dysplastic hip it almost always includes end-range everything: deep loaded flexion, aggressive stretching, and provocative combined positions. You are not guessing; you are transcribing.</w:t>
      </w:r>
    </w:p>
    <w:p>
      <w:pPr>
        <w:pStyle w:val="ListBullet"/>
        <w:spacing w:before="0" w:after="80" w:line="269" w:lineRule="auto"/>
      </w:pPr>
      <w:r>
        <w:rPr>
          <w:rFonts w:ascii="Calibri" w:hAnsi="Calibri"/>
          <w:b/>
          <w:i w:val="0"/>
          <w:color w:val="2B2B28"/>
          <w:sz w:val="22"/>
        </w:rPr>
        <w:t>What are your phase criteria and rough timeline?</w:t>
      </w:r>
      <w:r>
        <w:rPr>
          <w:rFonts w:ascii="Calibri" w:hAnsi="Calibri"/>
          <w:b w:val="0"/>
          <w:i w:val="0"/>
          <w:color w:val="2B2B28"/>
          <w:sz w:val="22"/>
        </w:rPr>
        <w:t xml:space="preserve"> Their rehab phases and your training phases need to interlock, not compete. You are building one athlete, not running two parallel programmes.</w:t>
      </w:r>
    </w:p>
    <w:p>
      <w:pPr>
        <w:pStyle w:val="ListBullet"/>
        <w:spacing w:before="0" w:after="80" w:line="269" w:lineRule="auto"/>
      </w:pPr>
      <w:r>
        <w:rPr>
          <w:rFonts w:ascii="Calibri" w:hAnsi="Calibri"/>
          <w:b/>
          <w:i w:val="0"/>
          <w:color w:val="2B2B28"/>
          <w:sz w:val="22"/>
        </w:rPr>
        <w:t>What symptoms send him straight back to you?</w:t>
      </w:r>
      <w:r>
        <w:rPr>
          <w:rFonts w:ascii="Calibri" w:hAnsi="Calibri"/>
          <w:b w:val="0"/>
          <w:i w:val="0"/>
          <w:color w:val="2B2B28"/>
          <w:sz w:val="22"/>
        </w:rPr>
        <w:t xml:space="preserve"> This becomes your red-flag list — the stop conditions you watch for in every session. In an unstable hip, a sense of the joint shifting or giving way sits at the top.</w:t>
      </w:r>
    </w:p>
    <w:p>
      <w:pPr>
        <w:pStyle w:val="ListBullet"/>
        <w:spacing w:before="0" w:after="80" w:line="269" w:lineRule="auto"/>
      </w:pPr>
      <w:r>
        <w:rPr>
          <w:rFonts w:ascii="Calibri" w:hAnsi="Calibri"/>
          <w:b/>
          <w:i w:val="0"/>
          <w:color w:val="2B2B28"/>
          <w:sz w:val="22"/>
        </w:rPr>
        <w:t>What is he doing with you each week, and what is he doing on court?</w:t>
      </w:r>
      <w:r>
        <w:rPr>
          <w:rFonts w:ascii="Calibri" w:hAnsi="Calibri"/>
          <w:b w:val="0"/>
          <w:i w:val="0"/>
          <w:color w:val="2B2B28"/>
          <w:sz w:val="22"/>
        </w:rPr>
        <w:t xml:space="preserve"> So your loading, his rehab loading, and his match load sum to a sensible total, instead of three well-intentioned inputs accidentally tripling his weekly hip volume. Court sessions are training load whether or not anyone logs them.</w:t>
      </w:r>
    </w:p>
    <w:p>
      <w:pPr>
        <w:pStyle w:val="ListBullet"/>
        <w:spacing w:before="0" w:after="80" w:line="269" w:lineRule="auto"/>
      </w:pPr>
      <w:r>
        <w:rPr>
          <w:rFonts w:ascii="Calibri" w:hAnsi="Calibri"/>
          <w:b/>
          <w:i w:val="0"/>
          <w:color w:val="2B2B28"/>
          <w:sz w:val="22"/>
        </w:rPr>
        <w:t>How do you want to communicate, and how often?</w:t>
      </w:r>
      <w:r>
        <w:rPr>
          <w:rFonts w:ascii="Calibri" w:hAnsi="Calibri"/>
          <w:b w:val="0"/>
          <w:i w:val="0"/>
          <w:color w:val="2B2B28"/>
          <w:sz w:val="22"/>
        </w:rPr>
        <w:t xml:space="preserve"> Then log every exchange with a date. That log is the collaboration evidence the UKSCA asks for — and the professional habit that gets you hired into performance teams.</w:t>
      </w:r>
    </w:p>
    <w:p>
      <w:pPr>
        <w:spacing w:before="0" w:after="160" w:line="269" w:lineRule="auto"/>
      </w:pPr>
      <w:r>
        <w:rPr>
          <w:rFonts w:ascii="Calibri" w:hAnsi="Calibri"/>
          <w:b w:val="0"/>
          <w:i w:val="0"/>
          <w:color w:val="2B2B28"/>
          <w:sz w:val="22"/>
        </w:rPr>
        <w:t>There is a seventh question you ask only in this case, and you ask it plainly: is surgery on the table — a labral repair, or in a dysplastic hip a bony realignment such as a periacetabular osteotomy — and what would tip us toward it? You are not fishing for a surgical outcome. You are learning the tripwires, because a conservative plan for a structurally unstable joint has a known failure mode, and you want to recognise it early enough to hand it back.</w:t>
      </w:r>
    </w:p>
    <w:p>
      <w:pPr>
        <w:pStyle w:val="Heading2"/>
        <w:spacing w:before="220" w:after="60" w:line="240" w:lineRule="auto"/>
      </w:pPr>
      <w:r>
        <w:rPr>
          <w:rFonts w:ascii="Calibri" w:hAnsi="Calibri"/>
          <w:b/>
          <w:i w:val="0"/>
          <w:color w:val="2A5C45"/>
          <w:sz w:val="25"/>
        </w:rPr>
        <w:t>The shared-care agreement — govern the collaboration, don’t just log it</w:t>
      </w:r>
    </w:p>
    <w:p>
      <w:pPr>
        <w:spacing w:before="0" w:after="160" w:line="269" w:lineRule="auto"/>
      </w:pPr>
      <w:r>
        <w:rPr>
          <w:rFonts w:ascii="Calibri" w:hAnsi="Calibri"/>
          <w:b w:val="0"/>
          <w:i w:val="0"/>
          <w:color w:val="2B2B28"/>
          <w:sz w:val="22"/>
        </w:rPr>
        <w:t>A collaboration log proves you talked. It does not prevent the one thing most likely to hurt this athlete: you and the physio loading the same tissue, each blind to the other’s dose. So before any programming, the two of you agree — in writing — a shared-care agreement that settles four things. Who owns what: his rehab exposures are the physio’s, his strength and return-to-court loading are yours, the joint is shared. What the combined weekly ceiling is: rehab plus your sessions plus court, summed — because the hip cannot tell which professional’s load it is absorbing. What the shared stop-signal is: one traffic-light both of you read identically, so “amber” means the same thing in the clinic and the gym. And who holds the veto: the physio does, on any progression through a gate — you propose, they can hold. Form 9 is that agreement.</w:t>
      </w:r>
    </w:p>
    <w:p>
      <w:pPr>
        <w:spacing w:before="0" w:after="160" w:line="269" w:lineRule="auto"/>
      </w:pPr>
      <w:r>
        <w:rPr>
          <w:rFonts w:ascii="Calibri" w:hAnsi="Calibri"/>
          <w:b w:val="0"/>
          <w:i w:val="0"/>
          <w:color w:val="2B2B28"/>
          <w:sz w:val="22"/>
        </w:rPr>
        <w:t>Why this matters more here than in most cases: a dysplastic hip decompensates quietly, and the fastest route there is two well-meaning professionals each adding “just a little more” in the same week. The agreement makes the total visible — which is exactly the collaboration competency an assessor is scoring, and exactly the safety net the athlete needs.</w:t>
      </w:r>
    </w:p>
    <w:p>
      <w:pPr>
        <w:pStyle w:val="Heading2"/>
        <w:spacing w:before="220" w:after="60" w:line="240" w:lineRule="auto"/>
      </w:pPr>
      <w:r>
        <w:rPr>
          <w:rFonts w:ascii="Calibri" w:hAnsi="Calibri"/>
          <w:b/>
          <w:i w:val="0"/>
          <w:color w:val="2A5C45"/>
          <w:sz w:val="25"/>
        </w:rPr>
        <w:t>The professional-practice pack (the unglamorous half of day zero)</w:t>
      </w:r>
    </w:p>
    <w:p>
      <w:pPr>
        <w:spacing w:before="0" w:after="160" w:line="269" w:lineRule="auto"/>
      </w:pPr>
      <w:r>
        <w:rPr>
          <w:rFonts w:ascii="Calibri" w:hAnsi="Calibri"/>
          <w:b w:val="0"/>
          <w:i w:val="0"/>
          <w:color w:val="2B2B28"/>
          <w:sz w:val="22"/>
        </w:rPr>
        <w:t xml:space="preserve">Coaching competence is assumed; professional practice is what actually gets audited — by the UKSCA, by an employer, and by a lawyer if it ever comes to that. On day zero, alongside the three things above, you put in place: a </w:t>
      </w:r>
      <w:r>
        <w:rPr>
          <w:rFonts w:ascii="Calibri" w:hAnsi="Calibri"/>
          <w:b/>
          <w:i w:val="0"/>
          <w:color w:val="2B2B28"/>
          <w:sz w:val="22"/>
        </w:rPr>
        <w:t>health screen</w:t>
      </w:r>
      <w:r>
        <w:rPr>
          <w:rFonts w:ascii="Calibri" w:hAnsi="Calibri"/>
          <w:b w:val="0"/>
          <w:i w:val="0"/>
          <w:color w:val="2B2B28"/>
          <w:sz w:val="22"/>
        </w:rPr>
        <w:t xml:space="preserve"> (a PAR-Q or equivalent — even a fit athlete can hide a cardiac flag or a medication that matters); a </w:t>
      </w:r>
      <w:r>
        <w:rPr>
          <w:rFonts w:ascii="Calibri" w:hAnsi="Calibri"/>
          <w:b/>
          <w:i w:val="0"/>
          <w:color w:val="2B2B28"/>
          <w:sz w:val="22"/>
        </w:rPr>
        <w:t>risk assessment</w:t>
      </w:r>
      <w:r>
        <w:rPr>
          <w:rFonts w:ascii="Calibri" w:hAnsi="Calibri"/>
          <w:b w:val="0"/>
          <w:i w:val="0"/>
          <w:color w:val="2B2B28"/>
          <w:sz w:val="22"/>
        </w:rPr>
        <w:t xml:space="preserve"> of the training environment and the specific exercises; an </w:t>
      </w:r>
      <w:r>
        <w:rPr>
          <w:rFonts w:ascii="Calibri" w:hAnsi="Calibri"/>
          <w:b/>
          <w:i w:val="0"/>
          <w:color w:val="2B2B28"/>
          <w:sz w:val="22"/>
        </w:rPr>
        <w:t>emergency action plan</w:t>
      </w:r>
      <w:r>
        <w:rPr>
          <w:rFonts w:ascii="Calibri" w:hAnsi="Calibri"/>
          <w:b w:val="0"/>
          <w:i w:val="0"/>
          <w:color w:val="2B2B28"/>
          <w:sz w:val="22"/>
        </w:rPr>
        <w:t xml:space="preserve"> — what you do, and who you call, if something goes wrong mid-session; </w:t>
      </w:r>
      <w:r>
        <w:rPr>
          <w:rFonts w:ascii="Calibri" w:hAnsi="Calibri"/>
          <w:b/>
          <w:i w:val="0"/>
          <w:color w:val="2B2B28"/>
          <w:sz w:val="22"/>
        </w:rPr>
        <w:t>professional insurance</w:t>
      </w:r>
      <w:r>
        <w:rPr>
          <w:rFonts w:ascii="Calibri" w:hAnsi="Calibri"/>
          <w:b w:val="0"/>
          <w:i w:val="0"/>
          <w:color w:val="2B2B28"/>
          <w:sz w:val="22"/>
        </w:rPr>
        <w:t xml:space="preserve"> appropriate to injured-athlete work; a </w:t>
      </w:r>
      <w:r>
        <w:rPr>
          <w:rFonts w:ascii="Calibri" w:hAnsi="Calibri"/>
          <w:b/>
          <w:i w:val="0"/>
          <w:color w:val="2B2B28"/>
          <w:sz w:val="22"/>
        </w:rPr>
        <w:t>data-protection habit</w:t>
      </w:r>
      <w:r>
        <w:rPr>
          <w:rFonts w:ascii="Calibri" w:hAnsi="Calibri"/>
          <w:b w:val="0"/>
          <w:i w:val="0"/>
          <w:color w:val="2B2B28"/>
          <w:sz w:val="22"/>
        </w:rPr>
        <w:t xml:space="preserve">, because his health information is sensitive and must be stored and shared lawfully, with consent; and a </w:t>
      </w:r>
      <w:r>
        <w:rPr>
          <w:rFonts w:ascii="Calibri" w:hAnsi="Calibri"/>
          <w:b/>
          <w:i w:val="0"/>
          <w:color w:val="2B2B28"/>
          <w:sz w:val="22"/>
        </w:rPr>
        <w:t>referral network</w:t>
      </w:r>
      <w:r>
        <w:rPr>
          <w:rFonts w:ascii="Calibri" w:hAnsi="Calibri"/>
          <w:b w:val="0"/>
          <w:i w:val="0"/>
          <w:color w:val="2B2B28"/>
          <w:sz w:val="22"/>
        </w:rPr>
        <w:t xml:space="preserve"> written down before you need it — physio, GP, and the dietitian and sport psychologist you refer to rather than stray out of your lane. Forms 10 and 11 hold these.</w:t>
      </w:r>
    </w:p>
    <w:tbl>
      <w:tblPr>
        <w:tblW w:type="auto" w:w="0"/>
        <w:tblLook w:firstColumn="1" w:firstRow="1" w:lastColumn="0" w:lastRow="0" w:noHBand="0" w:noVBand="1" w:val="04A0"/>
        <w:tblW w:w="9350" w:type="dxa"/>
        <w:tblLayout w:type="fixed"/>
        <w:tblBorders>
          <w:top w:val="single" w:sz="12" w:space="0" w:color="2A5C45"/>
          <w:left w:val="single" w:sz="24" w:space="0" w:color="C4522A"/>
          <w:bottom w:val="single" w:sz="12" w:space="0" w:color="2A5C45"/>
          <w:right w:val="none" w:sz="0" w:space="0" w:color="FFFFFF"/>
          <w:insideH w:val="none" w:sz="0" w:space="0" w:color="FFFFFF"/>
          <w:insideV w:val="none" w:sz="0" w:space="0" w:color="FFFFFF"/>
        </w:tblBorders>
      </w:tblPr>
      <w:tblGrid>
        <w:gridCol w:w="9350"/>
      </w:tblGrid>
      <w:tr>
        <w:tc>
          <w:tcPr>
            <w:tcW w:type="dxa" w:w="9350"/>
            <w:shd w:val="clear" w:color="auto" w:fill="EDEAE4"/>
            <w:tcMar>
              <w:top w:w="150" w:type="dxa"/>
              <w:left w:w="230" w:type="dxa"/>
              <w:bottom w:w="150" w:type="dxa"/>
              <w:right w:w="180" w:type="dxa"/>
            </w:tcMar>
          </w:tcPr>
          <w:p>
            <w:pPr>
              <w:spacing w:before="0" w:after="80" w:line="240" w:lineRule="auto"/>
            </w:pPr>
            <w:r>
              <w:rPr>
                <w:rFonts w:ascii="Calibri" w:hAnsi="Calibri"/>
                <w:b/>
                <w:i w:val="0"/>
                <w:color w:val="C4522A"/>
                <w:sz w:val="22"/>
              </w:rPr>
              <w:t>MENTOR MOMENT 1</w:t>
            </w:r>
          </w:p>
          <w:p>
            <w:pPr>
              <w:spacing w:before="0" w:after="80" w:line="269" w:lineRule="auto"/>
            </w:pPr>
            <w:r>
              <w:rPr>
                <w:rFonts w:ascii="Calibri" w:hAnsi="Calibri"/>
                <w:b/>
                <w:color w:val="2A5C45"/>
                <w:sz w:val="22"/>
              </w:rPr>
              <w:t xml:space="preserve">The situation: </w:t>
            </w:r>
            <w:r>
              <w:rPr>
                <w:rFonts w:ascii="Calibri" w:hAnsi="Calibri"/>
                <w:b w:val="0"/>
                <w:i w:val="0"/>
                <w:color w:val="2B2B28"/>
                <w:sz w:val="22"/>
              </w:rPr>
              <w:t>New athlete, first session. He tells you, “The physio said my hip’s structurally fine now — I just need to get strong again.”</w:t>
            </w:r>
          </w:p>
          <w:p>
            <w:pPr>
              <w:spacing w:before="0" w:after="80" w:line="269" w:lineRule="auto"/>
            </w:pPr>
            <w:r>
              <w:rPr>
                <w:rFonts w:ascii="Calibri" w:hAnsi="Calibri"/>
                <w:b/>
                <w:color w:val="2A5C45"/>
                <w:sz w:val="22"/>
              </w:rPr>
              <w:t xml:space="preserve">What most coaches do: </w:t>
            </w:r>
            <w:r>
              <w:rPr>
                <w:rFonts w:ascii="Calibri" w:hAnsi="Calibri"/>
                <w:b w:val="0"/>
                <w:i w:val="0"/>
                <w:color w:val="2B2B28"/>
                <w:sz w:val="22"/>
              </w:rPr>
              <w:t>Take him at his word and start loading the hip like any other returning athlete. He moves well, he’s motivated, and “get strong” is your whole job.</w:t>
            </w:r>
          </w:p>
          <w:p>
            <w:pPr>
              <w:spacing w:before="0" w:after="80" w:line="269" w:lineRule="auto"/>
            </w:pPr>
            <w:r>
              <w:rPr>
                <w:rFonts w:ascii="Calibri" w:hAnsi="Calibri"/>
                <w:b/>
                <w:color w:val="2A5C45"/>
                <w:sz w:val="22"/>
              </w:rPr>
              <w:t xml:space="preserve">The elite thinking: </w:t>
            </w:r>
            <w:r>
              <w:rPr>
                <w:rFonts w:ascii="Calibri" w:hAnsi="Calibri"/>
                <w:b w:val="0"/>
                <w:i w:val="0"/>
                <w:color w:val="2B2B28"/>
                <w:sz w:val="22"/>
              </w:rPr>
              <w:t>A dysplastic hip is never structurally “fine” — the socket he was born with is shallow, and no amount of training deepens bone. “Fine” almost always means “settled enough to load within limits,” which is a very different sentence. You tell him you’re excited to build him the strongest hip of his life, and that your standard process is a two-minute call with his physio to confirm exactly which limits — because the difference between his morphology and an impingement hip decides whether you spend the next month building range or defending against it.</w:t>
            </w:r>
          </w:p>
          <w:p>
            <w:pPr>
              <w:spacing w:before="0" w:after="80" w:line="269" w:lineRule="auto"/>
            </w:pPr>
            <w:r>
              <w:rPr>
                <w:rFonts w:ascii="Calibri" w:hAnsi="Calibri"/>
                <w:b/>
                <w:color w:val="2A5C45"/>
                <w:sz w:val="22"/>
              </w:rPr>
              <w:t xml:space="preserve">The shift: </w:t>
            </w:r>
            <w:r>
              <w:rPr>
                <w:rFonts w:ascii="Calibri" w:hAnsi="Calibri"/>
                <w:b w:val="0"/>
                <w:i w:val="0"/>
                <w:color w:val="2B2B28"/>
                <w:sz w:val="22"/>
              </w:rPr>
              <w:t>With this hip, “cleared” and “cured” are not the same word, and the morphology, not the athlete’s optimism, writes the plan.</w:t>
            </w:r>
          </w:p>
        </w:tc>
      </w:tr>
    </w:tbl>
    <w:p>
      <w:pPr>
        <w:spacing w:after="40"/>
      </w:pPr>
    </w:p>
    <w:p>
      <w:pPr>
        <w:pStyle w:val="Heading1"/>
        <w:spacing w:before="320" w:after="100" w:line="240" w:lineRule="auto"/>
      </w:pPr>
      <w:r>
        <w:rPr>
          <w:rFonts w:ascii="Calibri" w:hAnsi="Calibri"/>
          <w:b/>
          <w:i w:val="0"/>
          <w:color w:val="C4522A"/>
          <w:sz w:val="30"/>
        </w:rPr>
        <w:t>Step 1 — Understand the Tissue Before You Load It</w:t>
      </w:r>
    </w:p>
    <w:p>
      <w:pPr>
        <w:spacing w:before="0" w:after="160" w:line="269" w:lineRule="auto"/>
      </w:pPr>
      <w:r>
        <w:rPr>
          <w:rFonts w:ascii="Calibri" w:hAnsi="Calibri"/>
          <w:b w:val="0"/>
          <w:i w:val="0"/>
          <w:color w:val="2B2B28"/>
          <w:sz w:val="22"/>
        </w:rPr>
        <w:t>You cannot reason about progressions for a structure you don’t understand, so here is the acetabular labrum in the four sentences that matter. It is a fibrocartilage rim around the acetabulum — the socket — that deepens an otherwise shallow joint and grips the head of the femur like a rubber gasket. It creates a suction seal that holds fluid under negative pressure inside the joint, and that seal is a surprising share of your passive stability and load distribution. Its blood supply is poor, concentrated at the outer rim and nearly absent centrally, which is why a torn labrum does not “heal” the way a muscle strain does. And it is densely wired with nerve endings, which is why a labral tear both hurts and scrambles the joint’s sense of where it is.</w:t>
      </w:r>
    </w:p>
    <w:p>
      <w:pPr>
        <w:spacing w:before="0" w:after="160" w:line="269" w:lineRule="auto"/>
      </w:pPr>
      <w:r>
        <w:rPr>
          <w:rFonts w:ascii="Calibri" w:hAnsi="Calibri"/>
          <w:b/>
          <w:i w:val="0"/>
          <w:color w:val="2B2B28"/>
          <w:sz w:val="22"/>
        </w:rPr>
        <w:t>Now the sentence that defines this entire case, so read it twice: on a dysplastic hip, the labrum is not an innocent bystander that happened to tear — it was overloaded from birth, because a shallow socket asks the soft tissue to do the holding the bone is not shaped to do. That changes the goal completely. In the impingement hip you are managing something that pinches; in the dysplastic hip you are managing something that is under-held. The goal of conservative management here is not to heal the tear and it is not to free up movement — it is to build the muscular coverage the skeleton never provided, so the passive deficit never gets asked a question it can’t answer.</w:t>
      </w:r>
    </w:p>
    <w:p>
      <w:pPr>
        <w:spacing w:before="0" w:after="160" w:line="269" w:lineRule="auto"/>
      </w:pPr>
      <w:r>
        <w:rPr>
          <w:rFonts w:ascii="Calibri" w:hAnsi="Calibri"/>
          <w:b w:val="0"/>
          <w:i w:val="0"/>
          <w:color w:val="2B2B28"/>
          <w:sz w:val="22"/>
        </w:rPr>
        <w:t>That muscular coverage is three things we can train: the deep hip stabilisers — glute medius and minimus and the short external rotators, the true “rotator cuff of the hip” — that actively compress and centre the head in the socket; the adductors and deep abdominals that balance the pelvis so the socket sits square under load; and a kinetic chain that produces force from the ground and trunk so the hip transmits load instead of absorbing it at its unprotected edge.</w:t>
      </w:r>
    </w:p>
    <w:p>
      <w:pPr>
        <w:spacing w:before="0" w:after="160" w:line="269" w:lineRule="auto"/>
      </w:pPr>
      <w:r>
        <w:rPr>
          <w:rFonts w:ascii="Calibri" w:hAnsi="Calibri"/>
          <w:b w:val="0"/>
          <w:i w:val="0"/>
          <w:color w:val="2B2B28"/>
          <w:sz w:val="22"/>
        </w:rPr>
        <w:t>One consequence follows immediately, and you must internalise it, because it runs against every instinct trained into a strength coach: you do not chase hip mobility in this athlete. A dysplastic hip usually has more passive range than it can control, not less — the shallow socket lets the head travel further before anything bony stops it. So end-range stretching, deep loaded flexion, aggressive mobility drills, and “opening up the hips” are not neutral here; they load the exact structure that is already over-worked and push the head toward the edge the labrum is failing to hold. The range is not the problem to solve. The control through the available range is.</w:t>
      </w:r>
    </w:p>
    <w:p>
      <w:pPr>
        <w:pStyle w:val="Heading2"/>
        <w:spacing w:before="220" w:after="60" w:line="240" w:lineRule="auto"/>
      </w:pPr>
      <w:r>
        <w:rPr>
          <w:rFonts w:ascii="Calibri" w:hAnsi="Calibri"/>
          <w:b/>
          <w:i w:val="0"/>
          <w:color w:val="2A5C45"/>
          <w:sz w:val="25"/>
        </w:rPr>
        <w:t>Why racquet sports are the hard case</w:t>
      </w:r>
    </w:p>
    <w:p>
      <w:pPr>
        <w:spacing w:before="0" w:after="160" w:line="269" w:lineRule="auto"/>
      </w:pPr>
      <w:r>
        <w:rPr>
          <w:rFonts w:ascii="Calibri" w:hAnsi="Calibri"/>
          <w:b w:val="0"/>
          <w:i w:val="0"/>
          <w:color w:val="2B2B28"/>
          <w:sz w:val="22"/>
        </w:rPr>
        <w:t>The hip in tennis and padel lives in the two positions this athlete tolerates worst: deep flexion and loaded rotation, often at the same time. Every low volley, every lunge to dig a ball out of the corner, every open-stance groundstroke, and — in padel especially — every deep defensive position off the back glass drives the hip into flexion while the trunk rotates over it. That combined, loaded, deep position is where a dysplastic hip edge-loads and where the labrum gets torqued. Then there is the other half of the sport: change of direction and deceleration. Cutting and braking send large multiplanar forces through a joint whose passive socket can’t absorb them, so the dynamic stabilisers have to brake the movement — and if they are late or weak, the joint takes the load at its rim. Padel adds a volume problem on top: dozens of short, sharp, repeated hip loads per match with little recovery. Volume is a load too.</w:t>
      </w:r>
    </w:p>
    <w:p>
      <w:pPr>
        <w:spacing w:before="0" w:after="160" w:line="269" w:lineRule="auto"/>
      </w:pPr>
      <w:r>
        <w:rPr>
          <w:rFonts w:ascii="Calibri" w:hAnsi="Calibri"/>
          <w:b w:val="0"/>
          <w:i w:val="0"/>
          <w:color w:val="2B2B28"/>
          <w:sz w:val="22"/>
        </w:rPr>
        <w:t>This is why the phase order you’ll see later is not decorative. Deep loaded positions come last, on-court rotation comes after controlled gym rotation, and we earn our way there through progressively greater ranges and speeds — never by stretching into them. The anatomy wrote the progression; we just follow it.</w:t>
      </w:r>
    </w:p>
    <w:p>
      <w:pPr>
        <w:pStyle w:val="Heading2"/>
        <w:spacing w:before="220" w:after="60" w:line="240" w:lineRule="auto"/>
      </w:pPr>
      <w:r>
        <w:rPr>
          <w:rFonts w:ascii="Calibri" w:hAnsi="Calibri"/>
          <w:b/>
          <w:i w:val="0"/>
          <w:color w:val="2A5C45"/>
          <w:sz w:val="25"/>
        </w:rPr>
        <w:t>Red flags — when you stop coaching and start dialling</w:t>
      </w:r>
    </w:p>
    <w:p>
      <w:pPr>
        <w:spacing w:before="0" w:after="160" w:line="269" w:lineRule="auto"/>
      </w:pPr>
      <w:r>
        <w:rPr>
          <w:rFonts w:ascii="Calibri" w:hAnsi="Calibri"/>
          <w:b w:val="0"/>
          <w:i w:val="0"/>
          <w:color w:val="2B2B28"/>
          <w:sz w:val="22"/>
        </w:rPr>
        <w:t>Some symptoms are outside your lane the moment they appear. Stop the session and contact the clinician if the athlete reports: a true instability episode — the hip shifting, clunking painfully, giving way, or a sense the joint “went somewhere” and came back; mechanical locking or catching that blocks movement (a labral fragment can physically jam the joint); sharp, deep groin pain that is new or escalating; night pain that is new or worsening; or any numbness, pins and needles, or the leg feeling like it might buckle under weight. We hold this rule absolutely because these suggest the structural situation has changed — and in a hip that is under-covered to begin with, “the situation changed” can mean the conservative pathway is no longer the right pathway. That is a clinician’s call, not ours. Knowing your lane, and proving in your documentation that you stayed in it, is itself a competency the UKSCA is scoring.</w:t>
      </w:r>
    </w:p>
    <w:p>
      <w:pPr>
        <w:pStyle w:val="Heading1"/>
        <w:spacing w:before="320" w:after="100" w:line="240" w:lineRule="auto"/>
      </w:pPr>
      <w:r>
        <w:rPr>
          <w:rFonts w:ascii="Calibri" w:hAnsi="Calibri"/>
          <w:b/>
          <w:i w:val="0"/>
          <w:color w:val="C4522A"/>
          <w:sz w:val="30"/>
        </w:rPr>
        <w:t>Step 2 — The Needs Analysis: Where Every Later Decision Gets Its Authority</w:t>
      </w:r>
    </w:p>
    <w:p>
      <w:pPr>
        <w:spacing w:before="0" w:after="160" w:line="269" w:lineRule="auto"/>
      </w:pPr>
      <w:r>
        <w:rPr>
          <w:rFonts w:ascii="Calibri" w:hAnsi="Calibri"/>
          <w:b w:val="0"/>
          <w:i w:val="0"/>
          <w:color w:val="2B2B28"/>
          <w:sz w:val="22"/>
        </w:rPr>
        <w:t>Everything you prescribe in month three must trace back to something you wrote down in week one. That is what a needs analysis is for — it is not paperwork, it is the source of authority for every decision that follows. When a UKSCA assessor asks “why this exercise?”, the winning answer is never “it’s a good exercise.” It is “because the sport demands X, this athlete presented with Y, and this closes the gap.” You can only give that answer if the analysis exists.</w:t>
      </w:r>
    </w:p>
    <w:p>
      <w:pPr>
        <w:spacing w:before="0" w:after="160" w:line="269" w:lineRule="auto"/>
      </w:pPr>
      <w:r>
        <w:rPr>
          <w:rFonts w:ascii="Calibri" w:hAnsi="Calibri"/>
          <w:b w:val="0"/>
          <w:i w:val="0"/>
          <w:color w:val="2B2B28"/>
          <w:sz w:val="22"/>
        </w:rPr>
        <w:t>It has two halves. The sport analysis: what tennis and padel demand of the hip mechanically (repeated deep-flexion lunging and reaching, rotational power through the pelvis, hard deceleration and change of direction), metabolically (repeat-effort capacity across long matches), and epidemiologically (what injures these hips and why — for the dysplastic hip: labral overload, anterior instability, adductor and hip-flexor strain from a pelvis fighting to stay stable, and load spikes). The athlete analysis: training age, injury history, current level, weekly schedule, and — critically for return-to-sport work — the competition calendar and the target return event.</w:t>
      </w:r>
    </w:p>
    <w:p>
      <w:pPr>
        <w:spacing w:before="0" w:after="160" w:line="269" w:lineRule="auto"/>
      </w:pPr>
      <w:r>
        <w:rPr>
          <w:rFonts w:ascii="Calibri" w:hAnsi="Calibri"/>
          <w:b w:val="0"/>
          <w:i w:val="0"/>
          <w:color w:val="2B2B28"/>
          <w:sz w:val="22"/>
        </w:rPr>
        <w:t>This is where the individual shows up. A twenty-eight-year-old lifelong lifter with a bilateral dysplasia that is worse on the right, who plays padel two to three times a week and whose one reliable pain trigger is deep hip flexion under load, is a specific athlete with specific gaps — and his training history is a gift, because a decade under the bar means he can express and build hip strength faster than a novice ever could. The structure is his limit; the engine is not.</w:t>
      </w:r>
    </w:p>
    <w:p>
      <w:pPr>
        <w:spacing w:before="0" w:after="160" w:line="269" w:lineRule="auto"/>
      </w:pPr>
      <w:r>
        <w:rPr>
          <w:rFonts w:ascii="Calibri" w:hAnsi="Calibri"/>
          <w:b w:val="0"/>
          <w:i w:val="0"/>
          <w:color w:val="2B2B28"/>
          <w:sz w:val="22"/>
        </w:rPr>
        <w:t>A word on the target event, because it traps coaches constantly: we pick one because reverse-planning from a date forces honest decisions about what is achievable. But the date is a planning tool, never a decision tool. The tests decide when he progresses; the calendar just tells us whether the ambition was realistic. If the tests and the calendar disagree, the calendar loses. Every time — and doubly so here, because a hip pushed early doesn’t just flare, it can edge-load its way into the surgery you were trying to help him avoid.</w:t>
      </w:r>
    </w:p>
    <w:p>
      <w:pPr>
        <w:spacing w:before="0" w:after="160" w:line="269" w:lineRule="auto"/>
      </w:pPr>
      <w:r>
        <w:rPr>
          <w:rFonts w:ascii="Calibri" w:hAnsi="Calibri"/>
          <w:b w:val="0"/>
          <w:i w:val="0"/>
          <w:color w:val="2B2B28"/>
          <w:sz w:val="22"/>
        </w:rPr>
        <w:t>Finish the analysis with a gap statement — one paragraph that says: here is where the athlete is, here is what his sport will demand of him on return, and here is the gap this programme exists to close. Write it carefully. It is your programme rationale in miniature, it is the paragraph a UKSCA assessor is hunting for, and — later, in an interview — it is the sixty-second answer to “talk me through a case you managed.” For this athlete it will sound something like: a structurally under-covered hip with good general strength but insufficient dynamic control of the socket, returning to a sport that repeatedly loads the exact positions his morphology tolerates least — the programme exists to build the active stability his skeleton doesn’t provide, and to reintroduce deep and rotational loading on terms his hip can pass.</w:t>
      </w:r>
    </w:p>
    <w:p>
      <w:pPr>
        <w:pStyle w:val="Heading2"/>
        <w:spacing w:before="220" w:after="60" w:line="240" w:lineRule="auto"/>
      </w:pPr>
      <w:r>
        <w:rPr>
          <w:rFonts w:ascii="Calibri" w:hAnsi="Calibri"/>
          <w:b/>
          <w:i w:val="0"/>
          <w:color w:val="2A5C45"/>
          <w:sz w:val="25"/>
        </w:rPr>
        <w:t>Put numbers on it — the demands, quantified</w:t>
      </w:r>
    </w:p>
    <w:p>
      <w:pPr>
        <w:spacing w:before="0" w:after="160" w:line="269" w:lineRule="auto"/>
      </w:pPr>
      <w:r>
        <w:rPr>
          <w:rFonts w:ascii="Calibri" w:hAnsi="Calibri"/>
          <w:b w:val="0"/>
          <w:i w:val="0"/>
          <w:color w:val="2B2B28"/>
          <w:sz w:val="22"/>
        </w:rPr>
        <w:t>A needs analysis an assessor respects has numbers in it, not adjectives. You don’t have to generate them yourself; you have to source and cite them. For a padel or tennis player returning through a hip, quantify at least: the work-to-rest ratio and average point length (padel points are short and dense — often a few seconds of work to a similar rest, repeated over one to three hours); the energy-system split (largely aerobic-alactic — repeated short efforts on an aerobic base, which is exactly the conditioning quality that quietly detrains in rehab); the change-of-direction and deceleration count per match (dozens to hundreds of loaded direction changes, each one a hip-braking event); and the injury epidemiology (what actually injures these hips, and at what rate). Write each with a source. Six honest, referenced numbers turn a qualitative story into a professional demands profile — and they directly justify why conditioning and deceleration training earn a place in the programme at all.</w:t>
      </w:r>
    </w:p>
    <w:p>
      <w:pPr>
        <w:spacing w:before="0" w:after="140" w:line="269" w:lineRule="auto"/>
      </w:pPr>
      <w:r>
        <w:rPr>
          <w:rFonts w:ascii="Calibri" w:hAnsi="Calibri"/>
          <w:b w:val="0"/>
          <w:i/>
          <w:color w:val="6B6B66"/>
          <w:sz w:val="20"/>
        </w:rPr>
        <w:t>Where padel-specific data is thin, say so and reason from the nearest comparable (tennis, squash) — naming the substitution honestly is itself a mark of good practice. Log each figure and its source in your evidence sheet (Form 14).</w:t>
      </w:r>
    </w:p>
    <w:p>
      <w:pPr>
        <w:pStyle w:val="Heading1"/>
        <w:spacing w:before="320" w:after="100" w:line="240" w:lineRule="auto"/>
      </w:pPr>
      <w:r>
        <w:rPr>
          <w:rFonts w:ascii="Calibri" w:hAnsi="Calibri"/>
          <w:b/>
          <w:i w:val="0"/>
          <w:color w:val="C4522A"/>
          <w:sz w:val="30"/>
        </w:rPr>
        <w:t>Step 3 — Baseline Testing: Measure Before You Move</w:t>
      </w:r>
    </w:p>
    <w:p>
      <w:pPr>
        <w:spacing w:before="0" w:after="160" w:line="269" w:lineRule="auto"/>
      </w:pPr>
      <w:r>
        <w:rPr>
          <w:rFonts w:ascii="Calibri" w:hAnsi="Calibri"/>
          <w:b w:val="0"/>
          <w:i w:val="0"/>
          <w:color w:val="2B2B28"/>
          <w:sz w:val="22"/>
        </w:rPr>
        <w:t>No baseline, no evidence. Without week-one numbers you cannot show change, cannot justify a phase progression, cannot pass a UKSCA viva, and have no outcome figures for a CV. But the deeper reason we test first is that testing is how we individualise: two athletes with the same words on the MRI can present with completely different deficits, and the baseline tells you which athlete you actually have, as opposed to the one the textbook describes.</w:t>
      </w:r>
    </w:p>
    <w:p>
      <w:pPr>
        <w:spacing w:before="0" w:after="160" w:line="269" w:lineRule="auto"/>
      </w:pPr>
      <w:r>
        <w:rPr>
          <w:rFonts w:ascii="Calibri" w:hAnsi="Calibri"/>
          <w:b w:val="0"/>
          <w:i w:val="0"/>
          <w:color w:val="2B2B28"/>
          <w:sz w:val="22"/>
        </w:rPr>
        <w:t>Every unilateral test is done on both sides, because the uninjured side is your built-in reference — we express the injured side as a percentage of it (a limb symmetry index). But this case carries a caveat sharper than most: the dysplasia is bilateral, worse on the right. So the “good” side is not a healthy reference — it is a less-bad one. A limb symmetry index that reaches 100% here may mean both hips are under-protected equally, not that the injured one is strong. Where you have it, use any historical or absolute strength data — bodyweight-normalised force, not just left-versus-right — and set targets against a healthy population norm, not merely against his other hip.</w:t>
      </w:r>
    </w:p>
    <w:p>
      <w:pPr>
        <w:spacing w:before="0" w:after="160" w:line="269" w:lineRule="auto"/>
      </w:pPr>
      <w:r>
        <w:rPr>
          <w:rFonts w:ascii="Calibri" w:hAnsi="Calibri"/>
          <w:b w:val="0"/>
          <w:i w:val="0"/>
          <w:color w:val="2B2B28"/>
          <w:sz w:val="22"/>
        </w:rPr>
        <w:t>And one thing we deliberately do not do on baseline day: we do not force this hip into end-range flexion or combined provocative positions just to fill in a range chart. We record what range is available and comfortable, we note where pain or apprehension begins, and we stop there. The number you’d get by pushing past that point is not information you need — and buying it costs a flare.</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150"/>
        <w:gridCol w:w="2350"/>
        <w:gridCol w:w="2750"/>
        <w:gridCol w:w="2100"/>
      </w:tblGrid>
      <w:tr>
        <w:tc>
          <w:tcPr>
            <w:tcW w:type="dxa" w:w="21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Test</w:t>
            </w:r>
          </w:p>
        </w:tc>
        <w:tc>
          <w:tcPr>
            <w:tcW w:type="dxa" w:w="23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What it tells you</w:t>
            </w:r>
          </w:p>
        </w:tc>
        <w:tc>
          <w:tcPr>
            <w:tcW w:type="dxa" w:w="27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Why we chose it</w:t>
            </w:r>
          </w:p>
        </w:tc>
        <w:tc>
          <w:tcPr>
            <w:tcW w:type="dxa" w:w="21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What good looks like</w:t>
            </w:r>
          </w:p>
        </w:tc>
      </w:tr>
      <w:tr>
        <w:tc>
          <w:tcPr>
            <w:tcW w:type="dxa" w:w="2150"/>
            <w:tcMar>
              <w:top w:w="70" w:type="dxa"/>
              <w:left w:w="130" w:type="dxa"/>
              <w:bottom w:w="70" w:type="dxa"/>
              <w:right w:w="130" w:type="dxa"/>
            </w:tcMar>
            <w:vAlign w:val="top"/>
          </w:tcPr>
          <w:p>
            <w:pPr>
              <w:spacing w:before="0" w:after="0" w:line="240" w:lineRule="auto"/>
            </w:pPr>
            <w:r>
              <w:rPr>
                <w:rFonts w:ascii="Calibri" w:hAnsi="Calibri"/>
                <w:b/>
                <w:i w:val="0"/>
                <w:color w:val="2B2B28"/>
                <w:sz w:val="20"/>
              </w:rPr>
              <w:t>Pain — NRS 0–10 (rest, night, loaded deep flexion)</w:t>
            </w:r>
          </w:p>
        </w:tc>
        <w:tc>
          <w:tcPr>
            <w:tcW w:type="dxa" w:w="2350"/>
            <w:tcMar>
              <w:top w:w="70" w:type="dxa"/>
              <w:left w:w="130" w:type="dxa"/>
              <w:bottom w:w="70" w:type="dxa"/>
              <w:right w:w="130" w:type="dxa"/>
            </w:tcMar>
            <w:vAlign w:val="top"/>
          </w:tcPr>
          <w:p>
            <w:pPr>
              <w:spacing w:before="0" w:after="0" w:line="240" w:lineRule="auto"/>
            </w:pPr>
            <w:r>
              <w:rPr>
                <w:rFonts w:ascii="Calibri" w:hAnsi="Calibri"/>
                <w:b/>
                <w:i w:val="0"/>
                <w:color w:val="2B2B28"/>
                <w:sz w:val="20"/>
              </w:rPr>
              <w:t>Irritability of the joint right now</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Pain — especially deep-flexion and night pain — sets the ceiling on everything else; an irritable hip changes today’s plan regardless of the programme</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≤2 at rest, sleep undisturbed, predictable and settling with load</w:t>
            </w:r>
          </w:p>
        </w:tc>
      </w:tr>
      <w:tr>
        <w:tc>
          <w:tcPr>
            <w:tcW w:type="dxa" w:w="2150"/>
            <w:tcMar>
              <w:top w:w="70" w:type="dxa"/>
              <w:left w:w="130" w:type="dxa"/>
              <w:bottom w:w="70" w:type="dxa"/>
              <w:right w:w="130" w:type="dxa"/>
            </w:tcMar>
            <w:vAlign w:val="top"/>
          </w:tcPr>
          <w:p>
            <w:pPr>
              <w:spacing w:before="0" w:after="0" w:line="240" w:lineRule="auto"/>
            </w:pPr>
            <w:r>
              <w:rPr>
                <w:rFonts w:ascii="Calibri" w:hAnsi="Calibri"/>
                <w:b/>
                <w:i w:val="0"/>
                <w:color w:val="2B2B28"/>
                <w:sz w:val="20"/>
              </w:rPr>
              <w:t>Hip ROM — flexion, IR and ER at 90°, plus a note on total motion vs the other side</w:t>
            </w:r>
          </w:p>
        </w:tc>
        <w:tc>
          <w:tcPr>
            <w:tcW w:type="dxa" w:w="2350"/>
            <w:tcMar>
              <w:top w:w="70" w:type="dxa"/>
              <w:left w:w="130" w:type="dxa"/>
              <w:bottom w:w="70" w:type="dxa"/>
              <w:right w:w="130" w:type="dxa"/>
            </w:tcMar>
            <w:vAlign w:val="top"/>
          </w:tcPr>
          <w:p>
            <w:pPr>
              <w:spacing w:before="0" w:after="0" w:line="240" w:lineRule="auto"/>
            </w:pPr>
            <w:r>
              <w:rPr>
                <w:rFonts w:ascii="Calibri" w:hAnsi="Calibri"/>
                <w:b/>
                <w:i w:val="0"/>
                <w:color w:val="2B2B28"/>
                <w:sz w:val="20"/>
              </w:rPr>
              <w:t>Available range and, more importantly, whether the hip is hypermobile</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We measure it to track it and to spot excess motion — a marker of the instability we’re defending against — never to chase or expand it</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Symmetry with function; we flag more motion than he can control, not less; no pain into available range</w:t>
            </w:r>
          </w:p>
        </w:tc>
      </w:tr>
      <w:tr>
        <w:tc>
          <w:tcPr>
            <w:tcW w:type="dxa" w:w="2150"/>
            <w:tcMar>
              <w:top w:w="70" w:type="dxa"/>
              <w:left w:w="130" w:type="dxa"/>
              <w:bottom w:w="70" w:type="dxa"/>
              <w:right w:w="130" w:type="dxa"/>
            </w:tcMar>
            <w:vAlign w:val="top"/>
          </w:tcPr>
          <w:p>
            <w:pPr>
              <w:spacing w:before="0" w:after="0" w:line="240" w:lineRule="auto"/>
            </w:pPr>
            <w:r>
              <w:rPr>
                <w:rFonts w:ascii="Calibri" w:hAnsi="Calibri"/>
                <w:b/>
                <w:i w:val="0"/>
                <w:color w:val="2B2B28"/>
                <w:sz w:val="20"/>
              </w:rPr>
              <w:t>Isometric hip strength — abduction, adduction, extension, external rotation (handheld dynamometer)</w:t>
            </w:r>
          </w:p>
        </w:tc>
        <w:tc>
          <w:tcPr>
            <w:tcW w:type="dxa" w:w="2350"/>
            <w:tcMar>
              <w:top w:w="70" w:type="dxa"/>
              <w:left w:w="130" w:type="dxa"/>
              <w:bottom w:w="70" w:type="dxa"/>
              <w:right w:w="130" w:type="dxa"/>
            </w:tcMar>
            <w:vAlign w:val="top"/>
          </w:tcPr>
          <w:p>
            <w:pPr>
              <w:spacing w:before="0" w:after="0" w:line="240" w:lineRule="auto"/>
            </w:pPr>
            <w:r>
              <w:rPr>
                <w:rFonts w:ascii="Calibri" w:hAnsi="Calibri"/>
                <w:b/>
                <w:i w:val="0"/>
                <w:color w:val="2B2B28"/>
                <w:sz w:val="20"/>
              </w:rPr>
              <w:t>Capacity of the dynamic stabilisers, and the adduction:abduction balance</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The glute-med/ER complex is the active socket; the adduction:abduction ratio is a known hip and groin risk marker and tells you if the frontal-plane team is balanced</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Abduction and ER trending up on retest; adduction:abduction ratio in a balanced band; bodyweight-normalised, not just symmetrical</w:t>
            </w:r>
          </w:p>
        </w:tc>
      </w:tr>
      <w:tr>
        <w:tc>
          <w:tcPr>
            <w:tcW w:type="dxa" w:w="2150"/>
            <w:tcMar>
              <w:top w:w="70" w:type="dxa"/>
              <w:left w:w="130" w:type="dxa"/>
              <w:bottom w:w="70" w:type="dxa"/>
              <w:right w:w="130" w:type="dxa"/>
            </w:tcMar>
            <w:vAlign w:val="top"/>
          </w:tcPr>
          <w:p>
            <w:pPr>
              <w:spacing w:before="0" w:after="0" w:line="240" w:lineRule="auto"/>
            </w:pPr>
            <w:r>
              <w:rPr>
                <w:rFonts w:ascii="Calibri" w:hAnsi="Calibri"/>
                <w:b/>
                <w:i w:val="0"/>
                <w:color w:val="2B2B28"/>
                <w:sz w:val="20"/>
              </w:rPr>
              <w:t>Single-leg stance &amp; step-down control (Trendelenburg, trunk-pelvis quality)</w:t>
            </w:r>
          </w:p>
        </w:tc>
        <w:tc>
          <w:tcPr>
            <w:tcW w:type="dxa" w:w="2350"/>
            <w:tcMar>
              <w:top w:w="70" w:type="dxa"/>
              <w:left w:w="130" w:type="dxa"/>
              <w:bottom w:w="70" w:type="dxa"/>
              <w:right w:w="130" w:type="dxa"/>
            </w:tcMar>
            <w:vAlign w:val="top"/>
          </w:tcPr>
          <w:p>
            <w:pPr>
              <w:spacing w:before="0" w:after="0" w:line="240" w:lineRule="auto"/>
            </w:pPr>
            <w:r>
              <w:rPr>
                <w:rFonts w:ascii="Calibri" w:hAnsi="Calibri"/>
                <w:b/>
                <w:i w:val="0"/>
                <w:color w:val="2B2B28"/>
                <w:sz w:val="20"/>
              </w:rPr>
              <w:t>Whether he can hold the pelvis level on one leg — the socket doing its job dynamically</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Strength on a dynamometer doesn’t guarantee control under bodyweight; this is the functional expression of everything we’re building</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Level pelvis, no lateral trunk lurch, no medial knee collapse; symmetrical and repeatable</w:t>
            </w:r>
          </w:p>
        </w:tc>
      </w:tr>
      <w:tr>
        <w:tc>
          <w:tcPr>
            <w:tcW w:type="dxa" w:w="2150"/>
            <w:tcMar>
              <w:top w:w="70" w:type="dxa"/>
              <w:left w:w="130" w:type="dxa"/>
              <w:bottom w:w="70" w:type="dxa"/>
              <w:right w:w="130" w:type="dxa"/>
            </w:tcMar>
            <w:vAlign w:val="top"/>
          </w:tcPr>
          <w:p>
            <w:pPr>
              <w:spacing w:before="0" w:after="0" w:line="240" w:lineRule="auto"/>
            </w:pPr>
            <w:r>
              <w:rPr>
                <w:rFonts w:ascii="Calibri" w:hAnsi="Calibri"/>
                <w:b/>
                <w:i w:val="0"/>
                <w:color w:val="2B2B28"/>
                <w:sz w:val="20"/>
              </w:rPr>
              <w:t>Copenhagen adduction &amp; side-plank hold endurance</w:t>
            </w:r>
          </w:p>
        </w:tc>
        <w:tc>
          <w:tcPr>
            <w:tcW w:type="dxa" w:w="2350"/>
            <w:tcMar>
              <w:top w:w="70" w:type="dxa"/>
              <w:left w:w="130" w:type="dxa"/>
              <w:bottom w:w="70" w:type="dxa"/>
              <w:right w:w="130" w:type="dxa"/>
            </w:tcMar>
            <w:vAlign w:val="top"/>
          </w:tcPr>
          <w:p>
            <w:pPr>
              <w:spacing w:before="0" w:after="0" w:line="240" w:lineRule="auto"/>
            </w:pPr>
            <w:r>
              <w:rPr>
                <w:rFonts w:ascii="Calibri" w:hAnsi="Calibri"/>
                <w:b/>
                <w:i w:val="0"/>
                <w:color w:val="2B2B28"/>
                <w:sz w:val="20"/>
              </w:rPr>
              <w:t>Adductor capacity and lateral-chain endurance</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The adductors are frontal-plane co-stabilisers of a wobbly hip, and endurance — not just peak force — is what a long match asks for</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Symmetry and a rising hold time across retests, no groin symptom cost</w:t>
            </w:r>
          </w:p>
        </w:tc>
      </w:tr>
      <w:tr>
        <w:tc>
          <w:tcPr>
            <w:tcW w:type="dxa" w:w="2150"/>
            <w:tcMar>
              <w:top w:w="70" w:type="dxa"/>
              <w:left w:w="130" w:type="dxa"/>
              <w:bottom w:w="70" w:type="dxa"/>
              <w:right w:w="130" w:type="dxa"/>
            </w:tcMar>
            <w:vAlign w:val="top"/>
          </w:tcPr>
          <w:p>
            <w:pPr>
              <w:spacing w:before="0" w:after="0" w:line="240" w:lineRule="auto"/>
            </w:pPr>
            <w:r>
              <w:rPr>
                <w:rFonts w:ascii="Calibri" w:hAnsi="Calibri"/>
                <w:b/>
                <w:i w:val="0"/>
                <w:color w:val="2B2B28"/>
                <w:sz w:val="20"/>
              </w:rPr>
              <w:t>Single-leg hop / controlled hop-and-hold (from mid phases only)</w:t>
            </w:r>
          </w:p>
        </w:tc>
        <w:tc>
          <w:tcPr>
            <w:tcW w:type="dxa" w:w="2350"/>
            <w:tcMar>
              <w:top w:w="70" w:type="dxa"/>
              <w:left w:w="130" w:type="dxa"/>
              <w:bottom w:w="70" w:type="dxa"/>
              <w:right w:w="130" w:type="dxa"/>
            </w:tcMar>
            <w:vAlign w:val="top"/>
          </w:tcPr>
          <w:p>
            <w:pPr>
              <w:spacing w:before="0" w:after="0" w:line="240" w:lineRule="auto"/>
            </w:pPr>
            <w:r>
              <w:rPr>
                <w:rFonts w:ascii="Calibri" w:hAnsi="Calibri"/>
                <w:b/>
                <w:i w:val="0"/>
                <w:color w:val="2B2B28"/>
                <w:sz w:val="20"/>
              </w:rPr>
              <w:t>Dynamic control and confidence under low impact</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Adds a functional, reactive measure the dynamometer misses; introduced only once loaded single-leg work is well tolerated</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Soft, controlled, symmetrical landings with no symptom cost — quality scored, not just distance</w:t>
            </w:r>
          </w:p>
        </w:tc>
      </w:tr>
      <w:tr>
        <w:tc>
          <w:tcPr>
            <w:tcW w:type="dxa" w:w="2150"/>
            <w:tcMar>
              <w:top w:w="70" w:type="dxa"/>
              <w:left w:w="130" w:type="dxa"/>
              <w:bottom w:w="70" w:type="dxa"/>
              <w:right w:w="130" w:type="dxa"/>
            </w:tcMar>
            <w:vAlign w:val="top"/>
          </w:tcPr>
          <w:p>
            <w:pPr>
              <w:spacing w:before="0" w:after="0" w:line="240" w:lineRule="auto"/>
            </w:pPr>
            <w:r>
              <w:rPr>
                <w:rFonts w:ascii="Calibri" w:hAnsi="Calibri"/>
                <w:b/>
                <w:i w:val="0"/>
                <w:color w:val="2B2B28"/>
                <w:sz w:val="20"/>
              </w:rPr>
              <w:t>HAGOS (Hip and Groin Outcome Score)</w:t>
            </w:r>
          </w:p>
        </w:tc>
        <w:tc>
          <w:tcPr>
            <w:tcW w:type="dxa" w:w="2350"/>
            <w:tcMar>
              <w:top w:w="70" w:type="dxa"/>
              <w:left w:w="130" w:type="dxa"/>
              <w:bottom w:w="70" w:type="dxa"/>
              <w:right w:w="130" w:type="dxa"/>
            </w:tcMar>
            <w:vAlign w:val="top"/>
          </w:tcPr>
          <w:p>
            <w:pPr>
              <w:spacing w:before="0" w:after="0" w:line="240" w:lineRule="auto"/>
            </w:pPr>
            <w:r>
              <w:rPr>
                <w:rFonts w:ascii="Calibri" w:hAnsi="Calibri"/>
                <w:b/>
                <w:i w:val="0"/>
                <w:color w:val="2B2B28"/>
                <w:sz w:val="20"/>
              </w:rPr>
              <w:t>The athlete’s own rating of hip function, symptoms, sport and quality of life</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Patient-reported outcomes catch what devices miss — apprehension, the deep positions he’s quietly avoiding, confidence on court</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Trending up; watch the sport and participation subscales across phases 3–4</w:t>
            </w:r>
          </w:p>
        </w:tc>
      </w:tr>
      <w:tr>
        <w:tc>
          <w:tcPr>
            <w:tcW w:type="dxa" w:w="2150"/>
            <w:tcMar>
              <w:top w:w="70" w:type="dxa"/>
              <w:left w:w="130" w:type="dxa"/>
              <w:bottom w:w="70" w:type="dxa"/>
              <w:right w:w="130" w:type="dxa"/>
            </w:tcMar>
            <w:vAlign w:val="top"/>
          </w:tcPr>
          <w:p>
            <w:pPr>
              <w:spacing w:before="0" w:after="0" w:line="240" w:lineRule="auto"/>
            </w:pPr>
            <w:r>
              <w:rPr>
                <w:rFonts w:ascii="Calibri" w:hAnsi="Calibri"/>
                <w:b/>
                <w:i w:val="0"/>
                <w:color w:val="2B2B28"/>
                <w:sz w:val="20"/>
              </w:rPr>
              <w:t>Global battery — CMJ, broad jump, non-provocative med-ball variants</w:t>
            </w:r>
          </w:p>
        </w:tc>
        <w:tc>
          <w:tcPr>
            <w:tcW w:type="dxa" w:w="2350"/>
            <w:tcMar>
              <w:top w:w="70" w:type="dxa"/>
              <w:left w:w="130" w:type="dxa"/>
              <w:bottom w:w="70" w:type="dxa"/>
              <w:right w:w="130" w:type="dxa"/>
            </w:tcMar>
            <w:vAlign w:val="top"/>
          </w:tcPr>
          <w:p>
            <w:pPr>
              <w:spacing w:before="0" w:after="0" w:line="240" w:lineRule="auto"/>
            </w:pPr>
            <w:r>
              <w:rPr>
                <w:rFonts w:ascii="Calibri" w:hAnsi="Calibri"/>
                <w:b/>
                <w:i w:val="0"/>
                <w:color w:val="2B2B28"/>
                <w:sz w:val="20"/>
              </w:rPr>
              <w:t>Whether the rest of the athlete is detraining</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You are rehabilitating a hip but coaching a whole athlete; these prove the engine stayed built while the hip was the focus</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Maintained or improved throughout the entire process</w:t>
            </w:r>
          </w:p>
        </w:tc>
      </w:tr>
    </w:tbl>
    <w:p>
      <w:pPr>
        <w:spacing w:after="40"/>
      </w:pPr>
    </w:p>
    <w:p>
      <w:pPr>
        <w:spacing w:before="0" w:after="160" w:line="269" w:lineRule="auto"/>
      </w:pPr>
      <w:r>
        <w:rPr>
          <w:rFonts w:ascii="Calibri" w:hAnsi="Calibri"/>
          <w:b w:val="0"/>
          <w:i w:val="0"/>
          <w:color w:val="2B2B28"/>
          <w:sz w:val="22"/>
        </w:rPr>
        <w:t>Retest the hip-specific battery every four weeks, and always at a phase gate. Four weeks because it is long enough for genuine adaptation to show and short enough to steer the programme; at every gate because gates are decisions, and we do not make decisions on stale data.</w:t>
      </w:r>
    </w:p>
    <w:p>
      <w:pPr>
        <w:pStyle w:val="Heading2"/>
        <w:spacing w:before="220" w:after="60" w:line="240" w:lineRule="auto"/>
      </w:pPr>
      <w:r>
        <w:rPr>
          <w:rFonts w:ascii="Calibri" w:hAnsi="Calibri"/>
          <w:b/>
          <w:i w:val="0"/>
          <w:color w:val="2A5C45"/>
          <w:sz w:val="25"/>
        </w:rPr>
        <w:t>How to run each test — plain and simple</w:t>
      </w:r>
    </w:p>
    <w:p>
      <w:pPr>
        <w:spacing w:before="0" w:after="160" w:line="269" w:lineRule="auto"/>
      </w:pPr>
      <w:r>
        <w:rPr>
          <w:rFonts w:ascii="Calibri" w:hAnsi="Calibri"/>
          <w:b w:val="0"/>
          <w:i w:val="0"/>
          <w:color w:val="2B2B28"/>
          <w:sz w:val="22"/>
        </w:rPr>
        <w:t>You do not need a sports-science lab. Here is exactly how to do each test, in order, with the kit you actually have. Do the same thing the same way every time — consistency matters more than fancy equipment, because you are comparing him to himself.</w:t>
      </w:r>
    </w:p>
    <w:p>
      <w:pPr>
        <w:pStyle w:val="ListBullet"/>
        <w:spacing w:before="0" w:after="80" w:line="269" w:lineRule="auto"/>
      </w:pPr>
      <w:r>
        <w:rPr>
          <w:rFonts w:ascii="Calibri" w:hAnsi="Calibri"/>
          <w:b/>
          <w:i w:val="0"/>
          <w:color w:val="2B2B28"/>
          <w:sz w:val="22"/>
        </w:rPr>
        <w:t>Pain score (NRS 0–10) —</w:t>
      </w:r>
      <w:r>
        <w:rPr>
          <w:rFonts w:ascii="Calibri" w:hAnsi="Calibri"/>
          <w:b w:val="0"/>
          <w:i w:val="0"/>
          <w:color w:val="2B2B28"/>
          <w:sz w:val="22"/>
        </w:rPr>
        <w:t xml:space="preserve"> just ask him to rate his hip from 0 (nothing) to 10 (worst imaginable) in three situations: resting right now, in bed last night, and during the loaded movement you’re testing. Write all three down. No equipment; ten seconds; it sets the ceiling for the day.</w:t>
      </w:r>
    </w:p>
    <w:p>
      <w:pPr>
        <w:pStyle w:val="ListBullet"/>
        <w:spacing w:before="0" w:after="80" w:line="269" w:lineRule="auto"/>
      </w:pPr>
      <w:r>
        <w:rPr>
          <w:rFonts w:ascii="Calibri" w:hAnsi="Calibri"/>
          <w:b/>
          <w:i w:val="0"/>
          <w:color w:val="2B2B28"/>
          <w:sz w:val="22"/>
        </w:rPr>
        <w:t>Hip range of motion —</w:t>
      </w:r>
      <w:r>
        <w:rPr>
          <w:rFonts w:ascii="Calibri" w:hAnsi="Calibri"/>
          <w:b w:val="0"/>
          <w:i w:val="0"/>
          <w:color w:val="2B2B28"/>
          <w:sz w:val="22"/>
        </w:rPr>
        <w:t xml:space="preserve"> lie him on his back. For flexion, bring the knee toward the chest until the pelvis just starts to tilt, and read the thigh angle (a phone clinometer app laid on the thigh is plenty). For rotation, bend the hip and knee to 90°, hold the thigh still, and swing the shin outward (that’s the hip rotating internally) and inward (rotating externally), reading the shin’s angle from vertical. Do both legs, compare — and for this hip, stop the instant you feel a firm end or he feels a pinch. You are recording what he has, not stretching for more.</w:t>
      </w:r>
    </w:p>
    <w:p>
      <w:pPr>
        <w:pStyle w:val="ListBullet"/>
        <w:spacing w:before="0" w:after="80" w:line="269" w:lineRule="auto"/>
      </w:pPr>
      <w:r>
        <w:rPr>
          <w:rFonts w:ascii="Calibri" w:hAnsi="Calibri"/>
          <w:b/>
          <w:i w:val="0"/>
          <w:color w:val="2B2B28"/>
          <w:sz w:val="22"/>
        </w:rPr>
        <w:t>Isometric hip strength (hand-held dynamometer) —</w:t>
      </w:r>
      <w:r>
        <w:rPr>
          <w:rFonts w:ascii="Calibri" w:hAnsi="Calibri"/>
          <w:b w:val="0"/>
          <w:i w:val="0"/>
          <w:color w:val="2B2B28"/>
          <w:sz w:val="22"/>
        </w:rPr>
        <w:t xml:space="preserve"> a dynamometer is just a small force gauge you press against the limb; he pushes into it as hard as he can for about five seconds while you hold it dead still, and it reads the peak force in kg or newtons. Test four directions: abduction (on his side, pushing the top leg up into the gauge), adduction (squeezing a leg inward against it), extension, and external rotation. Take the best of two or three efforts each side, divide by his body weight to get a strength-to-weight number, and compare sides. No dynamometer? A luggage/spring scale on a strap gives you a repeatable stand-in.</w:t>
      </w:r>
    </w:p>
    <w:p>
      <w:pPr>
        <w:pStyle w:val="ListBullet"/>
        <w:spacing w:before="0" w:after="80" w:line="269" w:lineRule="auto"/>
      </w:pPr>
      <w:r>
        <w:rPr>
          <w:rFonts w:ascii="Calibri" w:hAnsi="Calibri"/>
          <w:b/>
          <w:i w:val="0"/>
          <w:color w:val="2B2B28"/>
          <w:sz w:val="22"/>
        </w:rPr>
        <w:t>Single-leg stance &amp; step-down control (Trendelenburg) —</w:t>
      </w:r>
      <w:r>
        <w:rPr>
          <w:rFonts w:ascii="Calibri" w:hAnsi="Calibri"/>
          <w:b w:val="0"/>
          <w:i w:val="0"/>
          <w:color w:val="2B2B28"/>
          <w:sz w:val="22"/>
        </w:rPr>
        <w:t xml:space="preserve"> have him stand on the injured leg only. Watch the pelvis: if the other hip drops or his trunk lurches sideways, the stabilisers aren’t holding — that’s a positive Trendelenburg. Then progress to a slow step-down off a low box and watch whether the knee caves inward. Film it from the front on your phone; the clip is both your record and your teaching tool.</w:t>
      </w:r>
    </w:p>
    <w:p>
      <w:pPr>
        <w:pStyle w:val="ListBullet"/>
        <w:spacing w:before="0" w:after="80" w:line="269" w:lineRule="auto"/>
      </w:pPr>
      <w:r>
        <w:rPr>
          <w:rFonts w:ascii="Calibri" w:hAnsi="Calibri"/>
          <w:b/>
          <w:i w:val="0"/>
          <w:color w:val="2B2B28"/>
          <w:sz w:val="22"/>
        </w:rPr>
        <w:t>Copenhagen adduction &amp; side-plank hold —</w:t>
      </w:r>
      <w:r>
        <w:rPr>
          <w:rFonts w:ascii="Calibri" w:hAnsi="Calibri"/>
          <w:b w:val="0"/>
          <w:i w:val="0"/>
          <w:color w:val="2B2B28"/>
          <w:sz w:val="22"/>
        </w:rPr>
        <w:t xml:space="preserve"> for the Copenhagen, he lies on his side with the top leg resting on a bench at ankle height, then lifts his body into a side-plank supported by that top leg — the number of controlled reps (or a timed hold) is your adductor-strength score. The side-plank hold (elbow and feet down, hips lifted, timed until form fails) is your lateral-chain endurance score. Time both sides and compare.</w:t>
      </w:r>
    </w:p>
    <w:p>
      <w:pPr>
        <w:pStyle w:val="ListBullet"/>
        <w:spacing w:before="0" w:after="80" w:line="269" w:lineRule="auto"/>
      </w:pPr>
      <w:r>
        <w:rPr>
          <w:rFonts w:ascii="Calibri" w:hAnsi="Calibri"/>
          <w:b/>
          <w:i w:val="0"/>
          <w:color w:val="2B2B28"/>
          <w:sz w:val="22"/>
        </w:rPr>
        <w:t>Single-leg hop / hop-and-hold —</w:t>
      </w:r>
      <w:r>
        <w:rPr>
          <w:rFonts w:ascii="Calibri" w:hAnsi="Calibri"/>
          <w:b w:val="0"/>
          <w:i w:val="0"/>
          <w:color w:val="2B2B28"/>
          <w:sz w:val="22"/>
        </w:rPr>
        <w:t xml:space="preserve"> from the mid phases only. He hops forward on one leg and must “stick” the landing — freeze it, balanced, no extra hop and no knee caving inward. Score the quality of the landing (soft, controlled, quiet) as much as the distance. Introduce it gently, and never before loaded single-leg work is comfortable.</w:t>
      </w:r>
    </w:p>
    <w:p>
      <w:pPr>
        <w:pStyle w:val="ListBullet"/>
        <w:spacing w:before="0" w:after="80" w:line="269" w:lineRule="auto"/>
      </w:pPr>
      <w:r>
        <w:rPr>
          <w:rFonts w:ascii="Calibri" w:hAnsi="Calibri"/>
          <w:b/>
          <w:i w:val="0"/>
          <w:color w:val="2B2B28"/>
          <w:sz w:val="22"/>
        </w:rPr>
        <w:t>HAGOS questionnaire —</w:t>
      </w:r>
      <w:r>
        <w:rPr>
          <w:rFonts w:ascii="Calibri" w:hAnsi="Calibri"/>
          <w:b w:val="0"/>
          <w:i w:val="0"/>
          <w:color w:val="2B2B28"/>
          <w:sz w:val="22"/>
        </w:rPr>
        <w:t xml:space="preserve"> the Hip and Groin Outcome Score is a free, standard paper form he fills in himself: questions about symptoms, daily life, sport and quality of life, scored 0–100 per section (higher is better). Five minutes. Give him the exact same form every month and his own experience shows a trend. (Search “HAGOS questionnaire pdf” once and keep a printed stack.)</w:t>
      </w:r>
    </w:p>
    <w:p>
      <w:pPr>
        <w:pStyle w:val="ListBullet"/>
        <w:spacing w:before="0" w:after="80" w:line="269" w:lineRule="auto"/>
      </w:pPr>
      <w:r>
        <w:rPr>
          <w:rFonts w:ascii="Calibri" w:hAnsi="Calibri"/>
          <w:b/>
          <w:i w:val="0"/>
          <w:color w:val="2B2B28"/>
          <w:sz w:val="22"/>
        </w:rPr>
        <w:t>Global battery (CMJ, broad jump, med-ball) —</w:t>
      </w:r>
      <w:r>
        <w:rPr>
          <w:rFonts w:ascii="Calibri" w:hAnsi="Calibri"/>
          <w:b w:val="0"/>
          <w:i w:val="0"/>
          <w:color w:val="2B2B28"/>
          <w:sz w:val="22"/>
        </w:rPr>
        <w:t xml:space="preserve"> a countermovement jump (dip, then jump straight up for max height — measure with a jump mat, a phone app, or a chalk mark on a wall) and a standing broad jump (jump forward, measure to the heels) prove the rest of the athlete isn’t detraining. Add an easy, non-provocative med-ball throw (a seated chest pass for distance) for trunk/upper power. Same tests, same way, every retest.</w:t>
      </w:r>
    </w:p>
    <w:p>
      <w:pPr>
        <w:pStyle w:val="Heading2"/>
        <w:spacing w:before="220" w:after="60" w:line="240" w:lineRule="auto"/>
      </w:pPr>
      <w:r>
        <w:rPr>
          <w:rFonts w:ascii="Calibri" w:hAnsi="Calibri"/>
          <w:b/>
          <w:i w:val="0"/>
          <w:color w:val="2A5C45"/>
          <w:sz w:val="25"/>
        </w:rPr>
        <w:t>Running the tests remotely</w:t>
      </w:r>
    </w:p>
    <w:p>
      <w:pPr>
        <w:spacing w:before="0" w:after="160" w:line="269" w:lineRule="auto"/>
      </w:pPr>
      <w:r>
        <w:rPr>
          <w:rFonts w:ascii="Calibri" w:hAnsi="Calibri"/>
          <w:b w:val="0"/>
          <w:i w:val="0"/>
          <w:color w:val="2B2B28"/>
          <w:sz w:val="22"/>
        </w:rPr>
        <w:t>If you coach this athlete through an app rather than a facility — as many of us now do — you don’t abandon objectivity, you substitute for it, and you say so openly. Almost every test above has an honest remote version. Pain and HAGOS are self-report already. Range of motion becomes a filmed, standardised movement (phone on the floor, a fixed camera position, a goniometer app) — you lose a little precision and gain a repeatable video you can compare month to month. Strength moves from a hand-held dynamometer to loadable at-home proxies: a timed single-leg glute-bridge or side-plank hold, a rep-max on whatever load he owns, or an isometric push into a fixed strap with a cheap luggage scale inline. Single-leg stance, step-down and hop-and-hold are filmed from the front to a marked setup and scored off the video. The one rule that makes a home test a measurement instead of a guess: fix the camera angle, the distance, the footwear and the surface, and never change them. Two things stay the clinician’s and you simply arrange them — any hands-on joint assessment, and the periodic in-person check most return-to-sport pathways still want at the big gates.</w:t>
      </w:r>
    </w:p>
    <w:tbl>
      <w:tblPr>
        <w:tblW w:type="auto" w:w="0"/>
        <w:tblLook w:firstColumn="1" w:firstRow="1" w:lastColumn="0" w:lastRow="0" w:noHBand="0" w:noVBand="1" w:val="04A0"/>
        <w:tblW w:w="9350" w:type="dxa"/>
        <w:tblLayout w:type="fixed"/>
        <w:tblBorders>
          <w:top w:val="single" w:sz="12" w:space="0" w:color="2A5C45"/>
          <w:left w:val="single" w:sz="24" w:space="0" w:color="C4522A"/>
          <w:bottom w:val="single" w:sz="12" w:space="0" w:color="2A5C45"/>
          <w:right w:val="none" w:sz="0" w:space="0" w:color="FFFFFF"/>
          <w:insideH w:val="none" w:sz="0" w:space="0" w:color="FFFFFF"/>
          <w:insideV w:val="none" w:sz="0" w:space="0" w:color="FFFFFF"/>
        </w:tblBorders>
      </w:tblPr>
      <w:tblGrid>
        <w:gridCol w:w="9350"/>
      </w:tblGrid>
      <w:tr>
        <w:tc>
          <w:tcPr>
            <w:tcW w:type="dxa" w:w="9350"/>
            <w:shd w:val="clear" w:color="auto" w:fill="EDEAE4"/>
            <w:tcMar>
              <w:top w:w="150" w:type="dxa"/>
              <w:left w:w="230" w:type="dxa"/>
              <w:bottom w:w="150" w:type="dxa"/>
              <w:right w:w="180" w:type="dxa"/>
            </w:tcMar>
          </w:tcPr>
          <w:p>
            <w:pPr>
              <w:spacing w:before="0" w:after="80" w:line="240" w:lineRule="auto"/>
            </w:pPr>
            <w:r>
              <w:rPr>
                <w:rFonts w:ascii="Calibri" w:hAnsi="Calibri"/>
                <w:b/>
                <w:i w:val="0"/>
                <w:color w:val="C4522A"/>
                <w:sz w:val="22"/>
              </w:rPr>
              <w:t>MENTOR MOMENT 2</w:t>
            </w:r>
          </w:p>
          <w:p>
            <w:pPr>
              <w:spacing w:before="0" w:after="80" w:line="269" w:lineRule="auto"/>
            </w:pPr>
            <w:r>
              <w:rPr>
                <w:rFonts w:ascii="Calibri" w:hAnsi="Calibri"/>
                <w:b/>
                <w:color w:val="2A5C45"/>
                <w:sz w:val="22"/>
              </w:rPr>
              <w:t xml:space="preserve">The situation: </w:t>
            </w:r>
            <w:r>
              <w:rPr>
                <w:rFonts w:ascii="Calibri" w:hAnsi="Calibri"/>
                <w:b w:val="0"/>
                <w:i w:val="0"/>
                <w:color w:val="2B2B28"/>
                <w:sz w:val="22"/>
              </w:rPr>
              <w:t>Baseline day. You’re building the range chart and the obvious next test is loaded end-range flexion and a combined flexion–adduction–internal-rotation position — the textbook labral provocation.</w:t>
            </w:r>
          </w:p>
          <w:p>
            <w:pPr>
              <w:spacing w:before="0" w:after="80" w:line="269" w:lineRule="auto"/>
            </w:pPr>
            <w:r>
              <w:rPr>
                <w:rFonts w:ascii="Calibri" w:hAnsi="Calibri"/>
                <w:b/>
                <w:color w:val="2A5C45"/>
                <w:sz w:val="22"/>
              </w:rPr>
              <w:t xml:space="preserve">What most coaches do: </w:t>
            </w:r>
            <w:r>
              <w:rPr>
                <w:rFonts w:ascii="Calibri" w:hAnsi="Calibri"/>
                <w:b w:val="0"/>
                <w:i w:val="0"/>
                <w:color w:val="2B2B28"/>
                <w:sz w:val="22"/>
              </w:rPr>
              <w:t>Run it, because it’s the classic test and an incomplete chart feels like a failed assessment.</w:t>
            </w:r>
          </w:p>
          <w:p>
            <w:pPr>
              <w:spacing w:before="0" w:after="80" w:line="269" w:lineRule="auto"/>
            </w:pPr>
            <w:r>
              <w:rPr>
                <w:rFonts w:ascii="Calibri" w:hAnsi="Calibri"/>
                <w:b/>
                <w:color w:val="2A5C45"/>
                <w:sz w:val="22"/>
              </w:rPr>
              <w:t xml:space="preserve">The elite thinking: </w:t>
            </w:r>
            <w:r>
              <w:rPr>
                <w:rFonts w:ascii="Calibri" w:hAnsi="Calibri"/>
                <w:b w:val="0"/>
                <w:i w:val="0"/>
                <w:color w:val="2B2B28"/>
                <w:sz w:val="22"/>
              </w:rPr>
              <w:t>On a dysplastic, under-covered hip, deliberately loading the athlete into the position his morphology tolerates least — to measure a range you have already decided you will never train into — sets the programme back a week and teaches him that your testing doesn’t respect his hip. You record available, comfortable range, mark where symptoms begin, and write “end-range and combined provocative positions not tested — dysplastic instability, per physio, contraindicated.” Then you spend your testing energy where it pays: on control, endurance, and strength through the range he actually owns.</w:t>
            </w:r>
          </w:p>
          <w:p>
            <w:pPr>
              <w:spacing w:before="0" w:after="80" w:line="269" w:lineRule="auto"/>
            </w:pPr>
            <w:r>
              <w:rPr>
                <w:rFonts w:ascii="Calibri" w:hAnsi="Calibri"/>
                <w:b/>
                <w:color w:val="2A5C45"/>
                <w:sz w:val="22"/>
              </w:rPr>
              <w:t xml:space="preserve">The shift: </w:t>
            </w:r>
            <w:r>
              <w:rPr>
                <w:rFonts w:ascii="Calibri" w:hAnsi="Calibri"/>
                <w:b w:val="0"/>
                <w:i w:val="0"/>
                <w:color w:val="2B2B28"/>
                <w:sz w:val="22"/>
              </w:rPr>
              <w:t>In a hip like this, the range you could force is not data you need. The control through the range he has is the whole assessment.</w:t>
            </w:r>
          </w:p>
        </w:tc>
      </w:tr>
    </w:tbl>
    <w:p>
      <w:pPr>
        <w:spacing w:after="40"/>
      </w:pPr>
    </w:p>
    <w:p>
      <w:pPr>
        <w:pStyle w:val="Heading1"/>
        <w:spacing w:before="320" w:after="100" w:line="240" w:lineRule="auto"/>
      </w:pPr>
      <w:r>
        <w:rPr>
          <w:rFonts w:ascii="Calibri" w:hAnsi="Calibri"/>
          <w:b/>
          <w:i w:val="0"/>
          <w:color w:val="C4522A"/>
          <w:sz w:val="30"/>
        </w:rPr>
        <w:t>Step 4 — The Phase-Gate System: Criteria, Not Calendar</w:t>
      </w:r>
    </w:p>
    <w:p>
      <w:pPr>
        <w:spacing w:before="0" w:after="160" w:line="269" w:lineRule="auto"/>
      </w:pPr>
      <w:r>
        <w:rPr>
          <w:rFonts w:ascii="Calibri" w:hAnsi="Calibri"/>
          <w:b w:val="0"/>
          <w:i w:val="0"/>
          <w:color w:val="2B2B28"/>
          <w:sz w:val="22"/>
        </w:rPr>
        <w:t>Here is the organising idea of the whole programme, and the sentence I’d want you to remember in ten years: phases end when tests are passed, not when weeks are survived. A surgical case at least has a protocol clock ticking from the operation date. A conservative case has no clock at all — only tissue and a nervous system that adapt at their own rate. So the calendar is our planning estimate, and the test battery is our decision-maker. This is also precisely what the UKSCA wants to see demonstrated: not that you can copy a protocol, but that you can make and justify loading decisions from evidence.</w:t>
      </w:r>
    </w:p>
    <w:p>
      <w:pPr>
        <w:spacing w:before="0" w:after="160" w:line="269" w:lineRule="auto"/>
      </w:pPr>
      <w:r>
        <w:rPr>
          <w:rFonts w:ascii="Calibri" w:hAnsi="Calibri"/>
          <w:b w:val="0"/>
          <w:i w:val="0"/>
          <w:color w:val="2B2B28"/>
          <w:sz w:val="22"/>
        </w:rPr>
        <w:t>The typical durations below are honest estimates for planning — expect roughly four to six months to a confident return for a conservative labral case on a dysplastic hip, sometimes longer, and expect the athlete to ask why it varies. The answer: because he is a biological system with a structural constraint, not a Gantt chart.</w:t>
      </w:r>
    </w:p>
    <w:p>
      <w:pPr>
        <w:spacing w:before="0" w:after="160" w:line="269" w:lineRule="auto"/>
      </w:pPr>
      <w:r>
        <w:rPr>
          <w:rFonts w:ascii="Calibri" w:hAnsi="Calibri"/>
          <w:b w:val="0"/>
          <w:i w:val="0"/>
          <w:color w:val="2B2B28"/>
          <w:sz w:val="22"/>
        </w:rPr>
        <w:t>Pain rules for every session in every phase — the traffic light we teach the athlete on day one. Discomfort up to about 3/10 that stays local, doesn’t sharpen, and has settled by the next morning is green — carry on. Pain in the 3–5 range, or a deep pinch appearing as he loads, is amber — finish the set with the load, depth, or range modified, and note it. Anything sharp in the groin, any sense of the joint shifting or catching, anything above 5, or any pain that is worse the next morning is red — regress the exposure and message the physio. Two hip-specific rules ride on top: a pinch in the front of the hip at the bottom of a loaded flexion is never “worked through” — it is a range cap, logged; and any true instability sensation skips amber entirely and goes straight to red-and-dial. Why the next-morning rule specifically: irritated capsulolabral tissue often answers late, and the 24-hour report is the honest one.</w:t>
      </w:r>
    </w:p>
    <w:p>
      <w:pPr>
        <w:spacing w:before="0" w:after="160" w:line="269" w:lineRule="auto"/>
      </w:pPr>
      <w:r>
        <w:rPr>
          <w:rFonts w:ascii="Calibri" w:hAnsi="Calibri"/>
          <w:b w:val="0"/>
          <w:i w:val="0"/>
          <w:color w:val="2B2B28"/>
          <w:sz w:val="22"/>
        </w:rPr>
        <w:t xml:space="preserve">One concept sits above the traffic-light and governs how you read it: </w:t>
      </w:r>
      <w:r>
        <w:rPr>
          <w:rFonts w:ascii="Calibri" w:hAnsi="Calibri"/>
          <w:b/>
          <w:i w:val="0"/>
          <w:color w:val="2B2B28"/>
          <w:sz w:val="22"/>
        </w:rPr>
        <w:t>irritability</w:t>
      </w:r>
      <w:r>
        <w:rPr>
          <w:rFonts w:ascii="Calibri" w:hAnsi="Calibri"/>
          <w:b w:val="0"/>
          <w:i w:val="0"/>
          <w:color w:val="2B2B28"/>
          <w:sz w:val="22"/>
        </w:rPr>
        <w:t>. Borrow it from the physiotherapist. A highly irritable joint flares from a small load and takes a long time to settle; a low-irritability joint absorbs a big load and quietens by morning. You are not just reading today’s pain number — you are reading how little it took to provoke and how long it took to come back, and you dose off that. High irritability means small doses, long rests, patience; low irritability is your permission to progress. Most flares come from dosing off a single good session while ignoring that the joint was still touchy underneath it.</w:t>
      </w:r>
    </w:p>
    <w:p>
      <w:pPr>
        <w:pStyle w:val="Heading2"/>
        <w:spacing w:before="220" w:after="60" w:line="240" w:lineRule="auto"/>
      </w:pPr>
      <w:r>
        <w:rPr>
          <w:rFonts w:ascii="Calibri" w:hAnsi="Calibri"/>
          <w:b/>
          <w:i w:val="0"/>
          <w:color w:val="2A5C45"/>
          <w:sz w:val="25"/>
        </w:rPr>
        <w:t>Phase 0 — The co-treatment window (the phase before you own the programme)</w:t>
      </w:r>
    </w:p>
    <w:p>
      <w:pPr>
        <w:spacing w:before="0" w:after="160" w:line="269" w:lineRule="auto"/>
      </w:pPr>
      <w:r>
        <w:rPr>
          <w:rFonts w:ascii="Calibri" w:hAnsi="Calibri"/>
          <w:b/>
          <w:i w:val="0"/>
          <w:color w:val="2B2B28"/>
          <w:sz w:val="22"/>
        </w:rPr>
        <w:t>What we do:</w:t>
      </w:r>
      <w:r>
        <w:rPr>
          <w:rFonts w:ascii="Calibri" w:hAnsi="Calibri"/>
          <w:b w:val="0"/>
          <w:i w:val="0"/>
          <w:color w:val="2B2B28"/>
          <w:sz w:val="22"/>
        </w:rPr>
        <w:t xml:space="preserve"> almost nothing that looks like strength coaching. This is the overlap — the athlete is still physio-led, and your job is to integrate, not to load. You learn his rehab exposures so yours won’t collide with them, you build the trust and the movement vocabulary you’ll need later, you keep the healthy parts of him training, and you wait for the handover criteria the physio set. It feels like doing little. It is preventing the most common early mistake in the whole pathway: an S&amp;C coach loading a joint the clinician hasn’t finished settling.</w:t>
      </w:r>
    </w:p>
    <w:p>
      <w:pPr>
        <w:spacing w:before="0" w:after="160" w:line="269" w:lineRule="auto"/>
      </w:pPr>
      <w:r>
        <w:rPr>
          <w:rFonts w:ascii="Calibri" w:hAnsi="Calibri"/>
          <w:b/>
          <w:i w:val="0"/>
          <w:color w:val="2B2B28"/>
          <w:sz w:val="22"/>
        </w:rPr>
        <w:t>Why it’s a real phase and not a formality:</w:t>
      </w:r>
      <w:r>
        <w:rPr>
          <w:rFonts w:ascii="Calibri" w:hAnsi="Calibri"/>
          <w:b w:val="0"/>
          <w:i w:val="0"/>
          <w:color w:val="2B2B28"/>
          <w:sz w:val="22"/>
        </w:rPr>
        <w:t xml:space="preserve"> because “cleared to train” almost never means “cleared for everything on day one,” and the gap between those two sentences is exactly where a keen coach does damage. Naming this window — and documenting the criteria that end it — is also precisely the collaboration competency an assessor is hunting for.</w:t>
      </w:r>
    </w:p>
    <w:p>
      <w:pPr>
        <w:spacing w:before="0" w:after="160" w:line="269" w:lineRule="auto"/>
      </w:pPr>
      <w:r>
        <w:rPr>
          <w:rFonts w:ascii="Calibri" w:hAnsi="Calibri"/>
          <w:b/>
          <w:i w:val="0"/>
          <w:color w:val="2B2B28"/>
          <w:sz w:val="22"/>
        </w:rPr>
        <w:t>Gate out of Phase 0:</w:t>
      </w:r>
      <w:r>
        <w:rPr>
          <w:rFonts w:ascii="Calibri" w:hAnsi="Calibri"/>
          <w:b w:val="0"/>
          <w:i w:val="0"/>
          <w:color w:val="2B2B28"/>
          <w:sz w:val="22"/>
        </w:rPr>
        <w:t xml:space="preserve"> the physio’s discharge-to-load criteria met (their call, in writing); pain low and stable in daily life; the shared-care agreement signed and the combined load ceiling agreed. Now you own the programme.</w:t>
      </w:r>
    </w:p>
    <w:p>
      <w:pPr>
        <w:pStyle w:val="Heading2"/>
        <w:spacing w:before="220" w:after="60" w:line="240" w:lineRule="auto"/>
      </w:pPr>
      <w:r>
        <w:rPr>
          <w:rFonts w:ascii="Calibri" w:hAnsi="Calibri"/>
          <w:b/>
          <w:i w:val="0"/>
          <w:color w:val="2A5C45"/>
          <w:sz w:val="25"/>
        </w:rPr>
        <w:t>Phase 1 — Calm it down, build the platform (typically weeks 1–4)</w:t>
      </w:r>
    </w:p>
    <w:p>
      <w:pPr>
        <w:spacing w:before="0" w:after="160" w:line="269" w:lineRule="auto"/>
      </w:pPr>
      <w:r>
        <w:rPr>
          <w:rFonts w:ascii="Calibri" w:hAnsi="Calibri"/>
          <w:b/>
          <w:i w:val="0"/>
          <w:color w:val="2B2B28"/>
          <w:sz w:val="22"/>
        </w:rPr>
        <w:t>What we do:</w:t>
      </w:r>
      <w:r>
        <w:rPr>
          <w:rFonts w:ascii="Calibri" w:hAnsi="Calibri"/>
          <w:b w:val="0"/>
          <w:i w:val="0"/>
          <w:color w:val="2B2B28"/>
          <w:sz w:val="22"/>
        </w:rPr>
        <w:t xml:space="preserve"> pain-free isometric loading of the stabilisers — abduction, external rotation, adduction — at neutral, non-provocative angles; deep-core and pelvic control work (dead bugs, anti-rotation presses, side planks — literally training the pelvis to hold square, the job the socket can’t do alone); glute activation in ranges the hip likes; and — this matters more than anything hip-specific in this phase — the upper body and the uninjured-side work keep training hard, essentially unmodified.</w:t>
      </w:r>
    </w:p>
    <w:p>
      <w:pPr>
        <w:spacing w:before="0" w:after="160" w:line="269" w:lineRule="auto"/>
      </w:pPr>
      <w:r>
        <w:rPr>
          <w:rFonts w:ascii="Calibri" w:hAnsi="Calibri"/>
          <w:b/>
          <w:i w:val="0"/>
          <w:color w:val="2B2B28"/>
          <w:sz w:val="22"/>
        </w:rPr>
        <w:t>Why:</w:t>
      </w:r>
      <w:r>
        <w:rPr>
          <w:rFonts w:ascii="Calibri" w:hAnsi="Calibri"/>
          <w:b w:val="0"/>
          <w:i w:val="0"/>
          <w:color w:val="2B2B28"/>
          <w:sz w:val="22"/>
        </w:rPr>
        <w:t xml:space="preserve"> isometrics come first because they load the stabilisers with minimal shear and shift on an irritated joint, and they have a useful short-term analgesic effect — we turn strength work into symptom management. Pelvic and core control come first because the socket sits on the pelvis; a joint whose base is wandering can’t be stabilised by any amount of local glute strength. And the rest of the athlete keeps training because deconditioning turns one hip problem into a whole-athlete problem, and because an injured athlete who still trains hard stays psychologically in the game; an athlete told to rest goes home and Googles surgeons.</w:t>
      </w:r>
    </w:p>
    <w:p>
      <w:pPr>
        <w:spacing w:before="0" w:after="160" w:line="269" w:lineRule="auto"/>
      </w:pPr>
      <w:r>
        <w:rPr>
          <w:rFonts w:ascii="Calibri" w:hAnsi="Calibri"/>
          <w:b/>
          <w:i w:val="0"/>
          <w:color w:val="2B2B28"/>
          <w:sz w:val="22"/>
        </w:rPr>
        <w:t>Gate to Phase 2:</w:t>
      </w:r>
      <w:r>
        <w:rPr>
          <w:rFonts w:ascii="Calibri" w:hAnsi="Calibri"/>
          <w:b w:val="0"/>
          <w:i w:val="0"/>
          <w:color w:val="2B2B28"/>
          <w:sz w:val="22"/>
        </w:rPr>
        <w:t xml:space="preserve"> pain ≤2 in daily life with sleep undisturbed; single-leg stance controlled with a level pelvis and no lateral lurch; isometric abduction and ER tolerated at a solid effort with no next-day cost (the direct proof the stabilisers are ready for moving loads).</w:t>
      </w:r>
    </w:p>
    <w:p>
      <w:pPr>
        <w:pStyle w:val="Heading2"/>
        <w:spacing w:before="220" w:after="60" w:line="240" w:lineRule="auto"/>
      </w:pPr>
      <w:r>
        <w:rPr>
          <w:rFonts w:ascii="Calibri" w:hAnsi="Calibri"/>
          <w:b/>
          <w:i w:val="0"/>
          <w:color w:val="2A5C45"/>
          <w:sz w:val="25"/>
        </w:rPr>
        <w:t>Phase 2 — Build the socket the bone didn’t (typically weeks 4–12)</w:t>
      </w:r>
    </w:p>
    <w:p>
      <w:pPr>
        <w:spacing w:before="0" w:after="160" w:line="269" w:lineRule="auto"/>
      </w:pPr>
      <w:r>
        <w:rPr>
          <w:rFonts w:ascii="Calibri" w:hAnsi="Calibri"/>
          <w:b/>
          <w:i w:val="0"/>
          <w:color w:val="2B2B28"/>
          <w:sz w:val="22"/>
        </w:rPr>
        <w:t>What we do:</w:t>
      </w:r>
      <w:r>
        <w:rPr>
          <w:rFonts w:ascii="Calibri" w:hAnsi="Calibri"/>
          <w:b w:val="0"/>
          <w:i w:val="0"/>
          <w:color w:val="2B2B28"/>
          <w:sz w:val="22"/>
        </w:rPr>
        <w:t xml:space="preserve"> progressive isotonic loading of the stabilisers through increasing (but never end-) range — banded and loaded abduction, lateral step-ups, hip-hinge patterns (Romanian deadlift in the hip-safe zone), and hip extension such as the hip thrust with the finish gated by keeping the pelvis tucked so the hip never hyperextends into its unprotected front; deliberate adductor loading (Copenhagen progressions) to balance the frontal plane; and controlled single-leg strength — a shallow split squat, always starting on the injured right side, with a strict cap on how far the strong side is allowed to pull ahead.</w:t>
      </w:r>
    </w:p>
    <w:p>
      <w:pPr>
        <w:spacing w:before="0" w:after="160" w:line="269" w:lineRule="auto"/>
      </w:pPr>
      <w:r>
        <w:rPr>
          <w:rFonts w:ascii="Calibri" w:hAnsi="Calibri"/>
          <w:b/>
          <w:i w:val="0"/>
          <w:color w:val="2B2B28"/>
          <w:sz w:val="22"/>
        </w:rPr>
        <w:t>Why:</w:t>
      </w:r>
      <w:r>
        <w:rPr>
          <w:rFonts w:ascii="Calibri" w:hAnsi="Calibri"/>
          <w:b w:val="0"/>
          <w:i w:val="0"/>
          <w:color w:val="2B2B28"/>
          <w:sz w:val="22"/>
        </w:rPr>
        <w:t xml:space="preserve"> we build abduction, external rotation and adduction before we build depth or speed because those are the muscles that hold the head centred, and a centred head is the precondition for everything expensive that comes later. We start every single-leg set on the injured side and let it set the dose because the injured side is the honest side — matching the strong leg’s reps only manufactures asymmetry. We gate hip-thrust lockout on a tucked pelvis because an anterior hip already prone to edge-loading does not need to be driven into extension. And we keep depth shallow because deep loaded flexion is this athlete’s single most reliable pain trigger — we add range later, by earning it, never by forcing it.</w:t>
      </w:r>
    </w:p>
    <w:p>
      <w:pPr>
        <w:spacing w:before="0" w:after="160" w:line="269" w:lineRule="auto"/>
      </w:pPr>
      <w:r>
        <w:rPr>
          <w:rFonts w:ascii="Calibri" w:hAnsi="Calibri"/>
          <w:b/>
          <w:i w:val="0"/>
          <w:color w:val="2B2B28"/>
          <w:sz w:val="22"/>
        </w:rPr>
        <w:t>Gate to Phase 3:</w:t>
      </w:r>
      <w:r>
        <w:rPr>
          <w:rFonts w:ascii="Calibri" w:hAnsi="Calibri"/>
          <w:b w:val="0"/>
          <w:i w:val="0"/>
          <w:color w:val="2B2B28"/>
          <w:sz w:val="22"/>
        </w:rPr>
        <w:t xml:space="preserve"> strength (abduction, ER, adduction) restored into a healthy band on bodyweight-normalised terms, not just symmetrical; single-leg control clean and symmetrical under load; hinge and hip-extension patterns loaded through the available range with no next-day symptoms.</w:t>
      </w:r>
    </w:p>
    <w:p>
      <w:pPr>
        <w:pStyle w:val="Heading2"/>
        <w:spacing w:before="220" w:after="60" w:line="240" w:lineRule="auto"/>
      </w:pPr>
      <w:r>
        <w:rPr>
          <w:rFonts w:ascii="Calibri" w:hAnsi="Calibri"/>
          <w:b/>
          <w:i w:val="0"/>
          <w:color w:val="2A5C45"/>
          <w:sz w:val="25"/>
        </w:rPr>
        <w:t>Phase 3 — Make it fast, and reintroduce rotation (typically weeks 12–18)</w:t>
      </w:r>
    </w:p>
    <w:p>
      <w:pPr>
        <w:spacing w:before="0" w:after="160" w:line="269" w:lineRule="auto"/>
      </w:pPr>
      <w:r>
        <w:rPr>
          <w:rFonts w:ascii="Calibri" w:hAnsi="Calibri"/>
          <w:b/>
          <w:i w:val="0"/>
          <w:color w:val="2B2B28"/>
          <w:sz w:val="22"/>
        </w:rPr>
        <w:t>What we do:</w:t>
      </w:r>
      <w:r>
        <w:rPr>
          <w:rFonts w:ascii="Calibri" w:hAnsi="Calibri"/>
          <w:b w:val="0"/>
          <w:i w:val="0"/>
          <w:color w:val="2B2B28"/>
          <w:sz w:val="22"/>
        </w:rPr>
        <w:t xml:space="preserve"> controlled rotational power — medicine-ball rotational throws building from half-kneeling to standing, trunk-driven, hips learning to transmit torque without giving at the socket; landing and deceleration mechanics from low amplitude upward; sub-maximal change-of-direction drills built from planned decelerations; low-amplitude plyometrics gated on clean frontal-plane control.</w:t>
      </w:r>
    </w:p>
    <w:p>
      <w:pPr>
        <w:spacing w:before="0" w:after="160" w:line="269" w:lineRule="auto"/>
      </w:pPr>
      <w:r>
        <w:rPr>
          <w:rFonts w:ascii="Calibri" w:hAnsi="Calibri"/>
          <w:b/>
          <w:i w:val="0"/>
          <w:color w:val="2B2B28"/>
          <w:sz w:val="22"/>
        </w:rPr>
        <w:t>Why:</w:t>
      </w:r>
      <w:r>
        <w:rPr>
          <w:rFonts w:ascii="Calibri" w:hAnsi="Calibri"/>
          <w:b w:val="0"/>
          <w:i w:val="0"/>
          <w:color w:val="2B2B28"/>
          <w:sz w:val="22"/>
        </w:rPr>
        <w:t xml:space="preserve"> strength at slow speeds does not automatically survive at high speeds, and cutting, braking and hitting are all high-speed events — so speed has to be trained, but on our terms first. We introduce rotation here, controlled and loaded by a ball we can regulate, rather than letting the first rotation he does be an open-stance smash on court. Deceleration before change of direction because braking is the skill that protects the joint in the moment the sport is most dangerous to it. Watch his confidence return through this phase and log it — psychological readiness is a return criterion, and this is where its evidence starts to appear.</w:t>
      </w:r>
    </w:p>
    <w:p>
      <w:pPr>
        <w:spacing w:before="0" w:after="160" w:line="269" w:lineRule="auto"/>
      </w:pPr>
      <w:r>
        <w:rPr>
          <w:rFonts w:ascii="Calibri" w:hAnsi="Calibri"/>
          <w:b/>
          <w:i w:val="0"/>
          <w:color w:val="2B2B28"/>
          <w:sz w:val="22"/>
        </w:rPr>
        <w:t>Gate to Phase 4:</w:t>
      </w:r>
      <w:r>
        <w:rPr>
          <w:rFonts w:ascii="Calibri" w:hAnsi="Calibri"/>
          <w:b w:val="0"/>
          <w:i w:val="0"/>
          <w:color w:val="2B2B28"/>
          <w:sz w:val="22"/>
        </w:rPr>
        <w:t xml:space="preserve"> single-leg hop-and-hold and deceleration tasks controlled and symmetrical with no symptom cost; rotational power tolerated at target with no groin or anterior-hip complaint; HAGOS clearly trending up, especially the sport subscale.</w:t>
      </w:r>
    </w:p>
    <w:p>
      <w:pPr>
        <w:pStyle w:val="Heading2"/>
        <w:spacing w:before="220" w:after="60" w:line="240" w:lineRule="auto"/>
      </w:pPr>
      <w:r>
        <w:rPr>
          <w:rFonts w:ascii="Calibri" w:hAnsi="Calibri"/>
          <w:b/>
          <w:i w:val="0"/>
          <w:color w:val="2A5C45"/>
          <w:sz w:val="25"/>
        </w:rPr>
        <w:t>Phase 4 — Return the skill (typically weeks 18–24+)</w:t>
      </w:r>
    </w:p>
    <w:p>
      <w:pPr>
        <w:spacing w:before="0" w:after="160" w:line="269" w:lineRule="auto"/>
      </w:pPr>
      <w:r>
        <w:rPr>
          <w:rFonts w:ascii="Calibri" w:hAnsi="Calibri"/>
          <w:b/>
          <w:i w:val="0"/>
          <w:color w:val="2B2B28"/>
          <w:sz w:val="22"/>
        </w:rPr>
        <w:t>What we do:</w:t>
      </w:r>
      <w:r>
        <w:rPr>
          <w:rFonts w:ascii="Calibri" w:hAnsi="Calibri"/>
          <w:b w:val="0"/>
          <w:i w:val="0"/>
          <w:color w:val="2B2B28"/>
          <w:sz w:val="22"/>
        </w:rPr>
        <w:t xml:space="preserve"> a graded return to court built with the athlete and physio: controlled hitting and movement patterns first, then defensive and lunging positions, then change-of-direction at increasing intent, with the deepest loaded positions — the low defensive dig off the back glass, the full-stretch lunge — introduced last. Volume increases before intensity. Court days alternate with recovery days at first, and the two heaviest lower-body inputs of his week (a heavy gym hinge and a competitive match) are never stacked on consecutive days.</w:t>
      </w:r>
    </w:p>
    <w:p>
      <w:pPr>
        <w:spacing w:before="0" w:after="160" w:line="269" w:lineRule="auto"/>
      </w:pPr>
      <w:r>
        <w:rPr>
          <w:rFonts w:ascii="Calibri" w:hAnsi="Calibri"/>
          <w:b/>
          <w:i w:val="0"/>
          <w:color w:val="2B2B28"/>
          <w:sz w:val="22"/>
        </w:rPr>
        <w:t>Why:</w:t>
      </w:r>
      <w:r>
        <w:rPr>
          <w:rFonts w:ascii="Calibri" w:hAnsi="Calibri"/>
          <w:b w:val="0"/>
          <w:i w:val="0"/>
          <w:color w:val="2B2B28"/>
          <w:sz w:val="22"/>
        </w:rPr>
        <w:t xml:space="preserve"> the deepest, most rotated, most loaded positions come last because they combine everything this hip finds expensive — depth, rotation and speed at once — and we sequence from cheapest to most expensive without exception. Volume before intensity because tissue tolerance is dose-dependent and volume is the easier dose to titrate and to walk back. Alternate days because the honest tissue response arrives in the next-24-hours window, and early on we want to read every one of those reports before writing the next exposure. And we co-write this phase with the physio and, where there is one, the padel coach — integration with the technical programme is scored by the UKSCA, and it is how real performance teams actually function.</w:t>
      </w:r>
    </w:p>
    <w:p>
      <w:pPr>
        <w:spacing w:before="0" w:after="160" w:line="269" w:lineRule="auto"/>
      </w:pPr>
      <w:r>
        <w:rPr>
          <w:rFonts w:ascii="Calibri" w:hAnsi="Calibri"/>
          <w:b w:val="0"/>
          <w:i w:val="0"/>
          <w:color w:val="2B2B28"/>
          <w:sz w:val="22"/>
        </w:rPr>
        <w:t>When any gate is failed — and across a hundred cases, plenty are — you do not go back to zero. You step back one exposure level, hold until the response settles, and re-approach. A failed gate is not a failed programme; it is the system doing its job. Better the test fails in week fourteen than the hip fails in the third game of his comeback match — and on a dysplastic hip, a failure on court is not just a flare, it is the kind of event that ends conservative management. Write the failure and your response in the log — those entries, not the smooth weeks, are what make a case study credible.</w:t>
      </w:r>
    </w:p>
    <w:p>
      <w:pPr>
        <w:pStyle w:val="Heading2"/>
        <w:spacing w:before="220" w:after="60" w:line="240" w:lineRule="auto"/>
      </w:pPr>
      <w:r>
        <w:rPr>
          <w:rFonts w:ascii="Calibri" w:hAnsi="Calibri"/>
          <w:b/>
          <w:i w:val="0"/>
          <w:color w:val="2A5C45"/>
          <w:sz w:val="25"/>
        </w:rPr>
        <w:t>Training the rest of the athlete — the half of the programme that isn’t the hip</w:t>
      </w:r>
    </w:p>
    <w:p>
      <w:pPr>
        <w:spacing w:before="0" w:after="160" w:line="269" w:lineRule="auto"/>
      </w:pPr>
      <w:r>
        <w:rPr>
          <w:rFonts w:ascii="Calibri" w:hAnsi="Calibri"/>
          <w:b w:val="0"/>
          <w:i w:val="0"/>
          <w:color w:val="2B2B28"/>
          <w:sz w:val="22"/>
        </w:rPr>
        <w:t>You are rehabilitating a hip but coaching an athlete, and if the only thing that improves in six months is his hip, you have served him badly. Three threads run in parallel with the hip work, every phase.</w:t>
      </w:r>
    </w:p>
    <w:p>
      <w:pPr>
        <w:spacing w:before="0" w:after="160" w:line="269" w:lineRule="auto"/>
      </w:pPr>
      <w:r>
        <w:rPr>
          <w:rFonts w:ascii="Calibri" w:hAnsi="Calibri"/>
          <w:b/>
          <w:i w:val="0"/>
          <w:color w:val="2B2B28"/>
          <w:sz w:val="22"/>
        </w:rPr>
        <w:t>The whole body kept strong.</w:t>
      </w:r>
      <w:r>
        <w:rPr>
          <w:rFonts w:ascii="Calibri" w:hAnsi="Calibri"/>
          <w:b w:val="0"/>
          <w:i w:val="0"/>
          <w:color w:val="2B2B28"/>
          <w:sz w:val="22"/>
        </w:rPr>
        <w:t xml:space="preserve"> The uninjured leg, the upper body and the trunk train hard and largely normally throughout — this protects his training identity, banks strength you’ll want at return, and prevents the detraining spiral. Train the left hip deliberately too: his dysplasia is </w:t>
      </w:r>
      <w:r>
        <w:rPr>
          <w:rFonts w:ascii="Calibri" w:hAnsi="Calibri"/>
          <w:b/>
          <w:i w:val="0"/>
          <w:color w:val="2B2B28"/>
          <w:sz w:val="22"/>
        </w:rPr>
        <w:t>bilateral</w:t>
      </w:r>
      <w:r>
        <w:rPr>
          <w:rFonts w:ascii="Calibri" w:hAnsi="Calibri"/>
          <w:b w:val="0"/>
          <w:i w:val="0"/>
          <w:color w:val="2B2B28"/>
          <w:sz w:val="22"/>
        </w:rPr>
        <w:t>, so the “good” side is a prevention target in its own right, not a reference you take for granted.</w:t>
      </w:r>
    </w:p>
    <w:p>
      <w:pPr>
        <w:spacing w:before="0" w:after="160" w:line="269" w:lineRule="auto"/>
      </w:pPr>
      <w:r>
        <w:rPr>
          <w:rFonts w:ascii="Calibri" w:hAnsi="Calibri"/>
          <w:b/>
          <w:i w:val="0"/>
          <w:color w:val="2B2B28"/>
          <w:sz w:val="22"/>
        </w:rPr>
        <w:t>The kinetic chain around the joint.</w:t>
      </w:r>
      <w:r>
        <w:rPr>
          <w:rFonts w:ascii="Calibri" w:hAnsi="Calibri"/>
          <w:b w:val="0"/>
          <w:i w:val="0"/>
          <w:color w:val="2B2B28"/>
          <w:sz w:val="22"/>
        </w:rPr>
        <w:t xml:space="preserve"> A hip is stabilised from above and below. Screen and train the lumbopelvic and trunk control the socket sits on, and don’t ignore the ankle and foot that dictate how ground force arrives at the hip. Weakness two joints away shows up as edge-loading at the hip.</w:t>
      </w:r>
    </w:p>
    <w:p>
      <w:pPr>
        <w:spacing w:before="0" w:after="160" w:line="269" w:lineRule="auto"/>
      </w:pPr>
      <w:r>
        <w:rPr>
          <w:rFonts w:ascii="Calibri" w:hAnsi="Calibri"/>
          <w:b/>
          <w:i w:val="0"/>
          <w:color w:val="2B2B28"/>
          <w:sz w:val="22"/>
        </w:rPr>
        <w:t>Conditioning — the quality that quietly disappears.</w:t>
      </w:r>
      <w:r>
        <w:rPr>
          <w:rFonts w:ascii="Calibri" w:hAnsi="Calibri"/>
          <w:b w:val="0"/>
          <w:i w:val="0"/>
          <w:color w:val="2B2B28"/>
          <w:sz w:val="22"/>
        </w:rPr>
        <w:t xml:space="preserve"> This is the thread most rehab forgets, and it is the one most likely to get him re-hurt. Padel is a repeat-effort sport on an aerobic base; six months of joint-focused training with no conditioning returns a strong hip bolted to an unfit athlete — and fatigue is where mechanics fail and joints get loaded wrong. So conditioning runs across the phases on tissue-safe modes: early on, non-provocative aerobic work (upper-body ergometer, sled marches, cycling in a hip-safe range) to hold the base; later, progressive repeat-effort and change-of-direction conditioning that rebuilds match fitness before the match demands it of him. Return him fit, not just strong.</w:t>
      </w:r>
    </w:p>
    <w:p>
      <w:pPr>
        <w:pStyle w:val="Heading2"/>
        <w:spacing w:before="220" w:after="60" w:line="240" w:lineRule="auto"/>
      </w:pPr>
      <w:r>
        <w:rPr>
          <w:rFonts w:ascii="Calibri" w:hAnsi="Calibri"/>
          <w:b/>
          <w:i w:val="0"/>
          <w:color w:val="2A5C45"/>
          <w:sz w:val="25"/>
        </w:rPr>
        <w:t>How the loading actually progresses — autoregulation, ladders, and a sample week</w:t>
      </w:r>
    </w:p>
    <w:p>
      <w:pPr>
        <w:spacing w:before="0" w:after="160" w:line="269" w:lineRule="auto"/>
      </w:pPr>
      <w:r>
        <w:rPr>
          <w:rFonts w:ascii="Calibri" w:hAnsi="Calibri"/>
          <w:b w:val="0"/>
          <w:i w:val="0"/>
          <w:color w:val="2B2B28"/>
          <w:sz w:val="22"/>
        </w:rPr>
        <w:t xml:space="preserve">Phases give you the shape; these three tools tell you what to write on Monday. First, </w:t>
      </w:r>
      <w:r>
        <w:rPr>
          <w:rFonts w:ascii="Calibri" w:hAnsi="Calibri"/>
          <w:b/>
          <w:i w:val="0"/>
          <w:color w:val="2B2B28"/>
          <w:sz w:val="22"/>
        </w:rPr>
        <w:t>autoregulate.</w:t>
      </w:r>
      <w:r>
        <w:rPr>
          <w:rFonts w:ascii="Calibri" w:hAnsi="Calibri"/>
          <w:b w:val="0"/>
          <w:i w:val="0"/>
          <w:color w:val="2B2B28"/>
          <w:sz w:val="22"/>
        </w:rPr>
        <w:t xml:space="preserve"> For a post-injury athlete whose readiness swings day to day, prescribe by effort and reps-in-reserve, not fixed percentages. Week one deliberately leaves three to four reps in the tank on everything — both to protect an unknown tolerance and to let the honest logs of those weeks become his true working weights. Readiness up, you take the top of the range; readiness or pain down, you take the bottom, and you don’t apologise for it.</w:t>
      </w:r>
    </w:p>
    <w:p>
      <w:pPr>
        <w:spacing w:before="0" w:after="160" w:line="269" w:lineRule="auto"/>
      </w:pPr>
      <w:r>
        <w:rPr>
          <w:rFonts w:ascii="Calibri" w:hAnsi="Calibri"/>
          <w:b w:val="0"/>
          <w:i w:val="0"/>
          <w:color w:val="2B2B28"/>
          <w:sz w:val="22"/>
        </w:rPr>
        <w:t xml:space="preserve">Second, climb a </w:t>
      </w:r>
      <w:r>
        <w:rPr>
          <w:rFonts w:ascii="Calibri" w:hAnsi="Calibri"/>
          <w:b/>
          <w:i w:val="0"/>
          <w:color w:val="2B2B28"/>
          <w:sz w:val="22"/>
        </w:rPr>
        <w:t>progression ladder</w:t>
      </w:r>
      <w:r>
        <w:rPr>
          <w:rFonts w:ascii="Calibri" w:hAnsi="Calibri"/>
          <w:b w:val="0"/>
          <w:i w:val="0"/>
          <w:color w:val="2B2B28"/>
          <w:sz w:val="22"/>
        </w:rPr>
        <w:t xml:space="preserve"> for every quality, so you always have the next rung ready when he passes and the rung below ready when he doesn’t:</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450"/>
        <w:gridCol w:w="6900"/>
      </w:tblGrid>
      <w:tr>
        <w:tc>
          <w:tcPr>
            <w:tcW w:type="dxa" w:w="24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Quality</w:t>
            </w:r>
          </w:p>
        </w:tc>
        <w:tc>
          <w:tcPr>
            <w:tcW w:type="dxa" w:w="69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Regression → progression ladder (climb only when the rung below is clean and pain-free)</w:t>
            </w:r>
          </w:p>
        </w:tc>
      </w:tr>
      <w:tr>
        <w:tc>
          <w:tcPr>
            <w:tcW w:type="dxa" w:w="2450"/>
            <w:tcMar>
              <w:top w:w="70" w:type="dxa"/>
              <w:left w:w="130" w:type="dxa"/>
              <w:bottom w:w="70" w:type="dxa"/>
              <w:right w:w="130" w:type="dxa"/>
            </w:tcMar>
            <w:vAlign w:val="top"/>
          </w:tcPr>
          <w:p>
            <w:pPr>
              <w:spacing w:before="0" w:after="0" w:line="240" w:lineRule="auto"/>
            </w:pPr>
            <w:r>
              <w:rPr>
                <w:rFonts w:ascii="Calibri" w:hAnsi="Calibri"/>
                <w:b/>
                <w:i w:val="0"/>
                <w:color w:val="2B2B28"/>
                <w:sz w:val="20"/>
              </w:rPr>
              <w:t>Hip stability (the priority)</w:t>
            </w:r>
          </w:p>
        </w:tc>
        <w:tc>
          <w:tcPr>
            <w:tcW w:type="dxa" w:w="6900"/>
            <w:tcMar>
              <w:top w:w="70" w:type="dxa"/>
              <w:left w:w="130" w:type="dxa"/>
              <w:bottom w:w="70" w:type="dxa"/>
              <w:right w:w="130" w:type="dxa"/>
            </w:tcMar>
            <w:vAlign w:val="top"/>
          </w:tcPr>
          <w:p>
            <w:pPr>
              <w:spacing w:before="0" w:after="0" w:line="240" w:lineRule="auto"/>
            </w:pPr>
            <w:r>
              <w:rPr>
                <w:rFonts w:ascii="Calibri" w:hAnsi="Calibri"/>
                <w:b/>
                <w:i w:val="0"/>
                <w:color w:val="2B2B28"/>
                <w:sz w:val="20"/>
              </w:rPr>
              <w:t>Isometric abduction / ER → banded side-steps → loaded lateral step-up → single-leg loaded (step-down, split squat) → reactive single-leg under fatigue</w:t>
            </w:r>
          </w:p>
        </w:tc>
      </w:tr>
      <w:tr>
        <w:tc>
          <w:tcPr>
            <w:tcW w:type="dxa" w:w="2450"/>
            <w:tcMar>
              <w:top w:w="70" w:type="dxa"/>
              <w:left w:w="130" w:type="dxa"/>
              <w:bottom w:w="70" w:type="dxa"/>
              <w:right w:w="130" w:type="dxa"/>
            </w:tcMar>
            <w:vAlign w:val="top"/>
          </w:tcPr>
          <w:p>
            <w:pPr>
              <w:spacing w:before="0" w:after="0" w:line="240" w:lineRule="auto"/>
            </w:pPr>
            <w:r>
              <w:rPr>
                <w:rFonts w:ascii="Calibri" w:hAnsi="Calibri"/>
                <w:b/>
                <w:i w:val="0"/>
                <w:color w:val="2B2B28"/>
                <w:sz w:val="20"/>
              </w:rPr>
              <w:t>Hinge / posterior chain</w:t>
            </w:r>
          </w:p>
        </w:tc>
        <w:tc>
          <w:tcPr>
            <w:tcW w:type="dxa" w:w="6900"/>
            <w:tcMar>
              <w:top w:w="70" w:type="dxa"/>
              <w:left w:w="130" w:type="dxa"/>
              <w:bottom w:w="70" w:type="dxa"/>
              <w:right w:w="130" w:type="dxa"/>
            </w:tcMar>
            <w:vAlign w:val="top"/>
          </w:tcPr>
          <w:p>
            <w:pPr>
              <w:spacing w:before="0" w:after="0" w:line="240" w:lineRule="auto"/>
            </w:pPr>
            <w:r>
              <w:rPr>
                <w:rFonts w:ascii="Calibri" w:hAnsi="Calibri"/>
                <w:b/>
                <w:i w:val="0"/>
                <w:color w:val="2B2B28"/>
                <w:sz w:val="20"/>
              </w:rPr>
              <w:t>Hip-safe RDL from blocks → full-range RDL → single-leg RDL → loaded, faster hinge</w:t>
            </w:r>
          </w:p>
        </w:tc>
      </w:tr>
      <w:tr>
        <w:tc>
          <w:tcPr>
            <w:tcW w:type="dxa" w:w="2450"/>
            <w:tcMar>
              <w:top w:w="70" w:type="dxa"/>
              <w:left w:w="130" w:type="dxa"/>
              <w:bottom w:w="70" w:type="dxa"/>
              <w:right w:w="130" w:type="dxa"/>
            </w:tcMar>
            <w:vAlign w:val="top"/>
          </w:tcPr>
          <w:p>
            <w:pPr>
              <w:spacing w:before="0" w:after="0" w:line="240" w:lineRule="auto"/>
            </w:pPr>
            <w:r>
              <w:rPr>
                <w:rFonts w:ascii="Calibri" w:hAnsi="Calibri"/>
                <w:b/>
                <w:i w:val="0"/>
                <w:color w:val="2B2B28"/>
                <w:sz w:val="20"/>
              </w:rPr>
              <w:t>Knee-dominant</w:t>
            </w:r>
          </w:p>
        </w:tc>
        <w:tc>
          <w:tcPr>
            <w:tcW w:type="dxa" w:w="6900"/>
            <w:tcMar>
              <w:top w:w="70" w:type="dxa"/>
              <w:left w:w="130" w:type="dxa"/>
              <w:bottom w:w="70" w:type="dxa"/>
              <w:right w:w="130" w:type="dxa"/>
            </w:tcMar>
            <w:vAlign w:val="top"/>
          </w:tcPr>
          <w:p>
            <w:pPr>
              <w:spacing w:before="0" w:after="0" w:line="240" w:lineRule="auto"/>
            </w:pPr>
            <w:r>
              <w:rPr>
                <w:rFonts w:ascii="Calibri" w:hAnsi="Calibri"/>
                <w:b/>
                <w:i w:val="0"/>
                <w:color w:val="2B2B28"/>
                <w:sz w:val="20"/>
              </w:rPr>
              <w:t>Box squat to safe depth → goblet to tolerated depth → split squat → Bulgarian → tempo / loaded</w:t>
            </w:r>
          </w:p>
        </w:tc>
      </w:tr>
      <w:tr>
        <w:tc>
          <w:tcPr>
            <w:tcW w:type="dxa" w:w="2450"/>
            <w:tcMar>
              <w:top w:w="70" w:type="dxa"/>
              <w:left w:w="130" w:type="dxa"/>
              <w:bottom w:w="70" w:type="dxa"/>
              <w:right w:w="130" w:type="dxa"/>
            </w:tcMar>
            <w:vAlign w:val="top"/>
          </w:tcPr>
          <w:p>
            <w:pPr>
              <w:spacing w:before="0" w:after="0" w:line="240" w:lineRule="auto"/>
            </w:pPr>
            <w:r>
              <w:rPr>
                <w:rFonts w:ascii="Calibri" w:hAnsi="Calibri"/>
                <w:b/>
                <w:i w:val="0"/>
                <w:color w:val="2B2B28"/>
                <w:sz w:val="20"/>
              </w:rPr>
              <w:t>Rotation &amp; power</w:t>
            </w:r>
          </w:p>
        </w:tc>
        <w:tc>
          <w:tcPr>
            <w:tcW w:type="dxa" w:w="6900"/>
            <w:tcMar>
              <w:top w:w="70" w:type="dxa"/>
              <w:left w:w="130" w:type="dxa"/>
              <w:bottom w:w="70" w:type="dxa"/>
              <w:right w:w="130" w:type="dxa"/>
            </w:tcMar>
            <w:vAlign w:val="top"/>
          </w:tcPr>
          <w:p>
            <w:pPr>
              <w:spacing w:before="0" w:after="0" w:line="240" w:lineRule="auto"/>
            </w:pPr>
            <w:r>
              <w:rPr>
                <w:rFonts w:ascii="Calibri" w:hAnsi="Calibri"/>
                <w:b/>
                <w:i w:val="0"/>
                <w:color w:val="2B2B28"/>
                <w:sz w:val="20"/>
              </w:rPr>
              <w:t>None (court supplies it) → half-kneeling med-ball → standing rotational throw → loaded / faster rotation → change-of-direction drills</w:t>
            </w:r>
          </w:p>
        </w:tc>
      </w:tr>
      <w:tr>
        <w:tc>
          <w:tcPr>
            <w:tcW w:type="dxa" w:w="2450"/>
            <w:tcMar>
              <w:top w:w="70" w:type="dxa"/>
              <w:left w:w="130" w:type="dxa"/>
              <w:bottom w:w="70" w:type="dxa"/>
              <w:right w:w="130" w:type="dxa"/>
            </w:tcMar>
            <w:vAlign w:val="top"/>
          </w:tcPr>
          <w:p>
            <w:pPr>
              <w:spacing w:before="0" w:after="0" w:line="240" w:lineRule="auto"/>
            </w:pPr>
            <w:r>
              <w:rPr>
                <w:rFonts w:ascii="Calibri" w:hAnsi="Calibri"/>
                <w:b/>
                <w:i w:val="0"/>
                <w:color w:val="2B2B28"/>
                <w:sz w:val="20"/>
              </w:rPr>
              <w:t>Conditioning</w:t>
            </w:r>
          </w:p>
        </w:tc>
        <w:tc>
          <w:tcPr>
            <w:tcW w:type="dxa" w:w="6900"/>
            <w:tcMar>
              <w:top w:w="70" w:type="dxa"/>
              <w:left w:w="130" w:type="dxa"/>
              <w:bottom w:w="70" w:type="dxa"/>
              <w:right w:w="130" w:type="dxa"/>
            </w:tcMar>
            <w:vAlign w:val="top"/>
          </w:tcPr>
          <w:p>
            <w:pPr>
              <w:spacing w:before="0" w:after="0" w:line="240" w:lineRule="auto"/>
            </w:pPr>
            <w:r>
              <w:rPr>
                <w:rFonts w:ascii="Calibri" w:hAnsi="Calibri"/>
                <w:b/>
                <w:i w:val="0"/>
                <w:color w:val="2B2B28"/>
                <w:sz w:val="20"/>
              </w:rPr>
              <w:t>Aerobic base (safe mode) → tempo intervals → repeat-effort → change-of-direction conditioning at match density</w:t>
            </w:r>
          </w:p>
        </w:tc>
      </w:tr>
    </w:tbl>
    <w:p>
      <w:pPr>
        <w:spacing w:after="40"/>
      </w:pPr>
    </w:p>
    <w:p>
      <w:pPr>
        <w:spacing w:before="0" w:after="160" w:line="269" w:lineRule="auto"/>
      </w:pPr>
      <w:r>
        <w:rPr>
          <w:rFonts w:ascii="Calibri" w:hAnsi="Calibri"/>
          <w:b w:val="0"/>
          <w:i w:val="0"/>
          <w:color w:val="2B2B28"/>
          <w:sz w:val="22"/>
        </w:rPr>
        <w:t xml:space="preserve">Third, </w:t>
      </w:r>
      <w:r>
        <w:rPr>
          <w:rFonts w:ascii="Calibri" w:hAnsi="Calibri"/>
          <w:b/>
          <w:i w:val="0"/>
          <w:color w:val="2B2B28"/>
          <w:sz w:val="22"/>
        </w:rPr>
        <w:t>deload before he needs it.</w:t>
      </w:r>
      <w:r>
        <w:rPr>
          <w:rFonts w:ascii="Calibri" w:hAnsi="Calibri"/>
          <w:b w:val="0"/>
          <w:i w:val="0"/>
          <w:color w:val="2B2B28"/>
          <w:sz w:val="22"/>
        </w:rPr>
        <w:t xml:space="preserve"> There is no fixed deload week; you pull load off from readiness and the combined-load trend (court included). If two weeks stack high, or readiness sags, or the joint’s irritability creeps up, the next week backs off — a planned step down, not a stumble.</w:t>
      </w:r>
    </w:p>
    <w:p>
      <w:pPr>
        <w:spacing w:before="0" w:after="160" w:line="269" w:lineRule="auto"/>
      </w:pPr>
      <w:r>
        <w:rPr>
          <w:rFonts w:ascii="Calibri" w:hAnsi="Calibri"/>
          <w:b w:val="0"/>
          <w:i w:val="0"/>
          <w:color w:val="2B2B28"/>
          <w:sz w:val="22"/>
        </w:rPr>
        <w:t xml:space="preserve">And a </w:t>
      </w:r>
      <w:r>
        <w:rPr>
          <w:rFonts w:ascii="Calibri" w:hAnsi="Calibri"/>
          <w:b/>
          <w:i w:val="0"/>
          <w:color w:val="2B2B28"/>
          <w:sz w:val="22"/>
        </w:rPr>
        <w:t>sample microcycle</w:t>
      </w:r>
      <w:r>
        <w:rPr>
          <w:rFonts w:ascii="Calibri" w:hAnsi="Calibri"/>
          <w:b w:val="0"/>
          <w:i w:val="0"/>
          <w:color w:val="2B2B28"/>
          <w:sz w:val="22"/>
        </w:rPr>
        <w:t>, built around the two hard scheduling rules (never a heavy hinge the day before a match; at least one clear day between lower-body sessions):</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1250"/>
        <w:gridCol w:w="3050"/>
        <w:gridCol w:w="3150"/>
        <w:gridCol w:w="1900"/>
      </w:tblGrid>
      <w:tr>
        <w:tc>
          <w:tcPr>
            <w:tcW w:type="dxa" w:w="12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Day</w:t>
            </w:r>
          </w:p>
        </w:tc>
        <w:tc>
          <w:tcPr>
            <w:tcW w:type="dxa" w:w="30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Focus</w:t>
            </w:r>
          </w:p>
        </w:tc>
        <w:tc>
          <w:tcPr>
            <w:tcW w:type="dxa" w:w="31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Notes</w:t>
            </w:r>
          </w:p>
        </w:tc>
        <w:tc>
          <w:tcPr>
            <w:tcW w:type="dxa" w:w="19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Load</w:t>
            </w:r>
          </w:p>
        </w:tc>
      </w:tr>
      <w:tr>
        <w:tc>
          <w:tcPr>
            <w:tcW w:type="dxa" w:w="1250"/>
            <w:tcMar>
              <w:top w:w="70" w:type="dxa"/>
              <w:left w:w="130" w:type="dxa"/>
              <w:bottom w:w="70" w:type="dxa"/>
              <w:right w:w="130" w:type="dxa"/>
            </w:tcMar>
            <w:vAlign w:val="top"/>
          </w:tcPr>
          <w:p>
            <w:pPr>
              <w:spacing w:before="0" w:after="0" w:line="240" w:lineRule="auto"/>
            </w:pPr>
            <w:r>
              <w:rPr>
                <w:rFonts w:ascii="Calibri" w:hAnsi="Calibri"/>
                <w:b/>
                <w:i w:val="0"/>
                <w:color w:val="2B2B28"/>
                <w:sz w:val="20"/>
              </w:rPr>
              <w:t>Mon</w:t>
            </w:r>
          </w:p>
        </w:tc>
        <w:tc>
          <w:tcPr>
            <w:tcW w:type="dxa" w:w="3050"/>
            <w:tcMar>
              <w:top w:w="70" w:type="dxa"/>
              <w:left w:w="130" w:type="dxa"/>
              <w:bottom w:w="70" w:type="dxa"/>
              <w:right w:w="130" w:type="dxa"/>
            </w:tcMar>
            <w:vAlign w:val="top"/>
          </w:tcPr>
          <w:p>
            <w:pPr>
              <w:spacing w:before="0" w:after="0" w:line="240" w:lineRule="auto"/>
            </w:pPr>
            <w:r>
              <w:rPr>
                <w:rFonts w:ascii="Calibri" w:hAnsi="Calibri"/>
                <w:b/>
                <w:i w:val="0"/>
                <w:color w:val="2B2B28"/>
                <w:sz w:val="20"/>
              </w:rPr>
              <w:t>Lower A — hinge priority</w:t>
            </w:r>
          </w:p>
        </w:tc>
        <w:tc>
          <w:tcPr>
            <w:tcW w:type="dxa" w:w="3150"/>
            <w:tcMar>
              <w:top w:w="70" w:type="dxa"/>
              <w:left w:w="130" w:type="dxa"/>
              <w:bottom w:w="70" w:type="dxa"/>
              <w:right w:w="130" w:type="dxa"/>
            </w:tcMar>
            <w:vAlign w:val="top"/>
          </w:tcPr>
          <w:p>
            <w:pPr>
              <w:spacing w:before="0" w:after="0" w:line="240" w:lineRule="auto"/>
            </w:pPr>
            <w:r>
              <w:rPr>
                <w:rFonts w:ascii="Calibri" w:hAnsi="Calibri"/>
                <w:b/>
                <w:i w:val="0"/>
                <w:color w:val="2B2B28"/>
                <w:sz w:val="20"/>
              </w:rPr>
              <w:t>Heaviest hip day; never the day before a match</w:t>
            </w:r>
          </w:p>
        </w:tc>
        <w:tc>
          <w:tcPr>
            <w:tcW w:type="dxa" w:w="1900"/>
            <w:tcMar>
              <w:top w:w="70" w:type="dxa"/>
              <w:left w:w="130" w:type="dxa"/>
              <w:bottom w:w="70" w:type="dxa"/>
              <w:right w:w="130" w:type="dxa"/>
            </w:tcMar>
            <w:vAlign w:val="top"/>
          </w:tcPr>
          <w:p>
            <w:pPr>
              <w:spacing w:before="0" w:after="0" w:line="240" w:lineRule="auto"/>
            </w:pPr>
            <w:r>
              <w:rPr>
                <w:rFonts w:ascii="Calibri" w:hAnsi="Calibri"/>
                <w:b/>
                <w:i w:val="0"/>
                <w:color w:val="2B2B28"/>
                <w:sz w:val="20"/>
              </w:rPr>
              <w:t>Peak</w:t>
            </w:r>
          </w:p>
        </w:tc>
      </w:tr>
      <w:tr>
        <w:tc>
          <w:tcPr>
            <w:tcW w:type="dxa" w:w="1250"/>
            <w:tcMar>
              <w:top w:w="70" w:type="dxa"/>
              <w:left w:w="130" w:type="dxa"/>
              <w:bottom w:w="70" w:type="dxa"/>
              <w:right w:w="130" w:type="dxa"/>
            </w:tcMar>
            <w:vAlign w:val="top"/>
          </w:tcPr>
          <w:p>
            <w:pPr>
              <w:spacing w:before="0" w:after="0" w:line="240" w:lineRule="auto"/>
            </w:pPr>
            <w:r>
              <w:rPr>
                <w:rFonts w:ascii="Calibri" w:hAnsi="Calibri"/>
                <w:b/>
                <w:i w:val="0"/>
                <w:color w:val="2B2B28"/>
                <w:sz w:val="20"/>
              </w:rPr>
              <w:t>Tue</w:t>
            </w:r>
          </w:p>
        </w:tc>
        <w:tc>
          <w:tcPr>
            <w:tcW w:type="dxa" w:w="3050"/>
            <w:tcMar>
              <w:top w:w="70" w:type="dxa"/>
              <w:left w:w="130" w:type="dxa"/>
              <w:bottom w:w="70" w:type="dxa"/>
              <w:right w:w="130" w:type="dxa"/>
            </w:tcMar>
            <w:vAlign w:val="top"/>
          </w:tcPr>
          <w:p>
            <w:pPr>
              <w:spacing w:before="0" w:after="0" w:line="240" w:lineRule="auto"/>
            </w:pPr>
            <w:r>
              <w:rPr>
                <w:rFonts w:ascii="Calibri" w:hAnsi="Calibri"/>
                <w:b/>
                <w:i w:val="0"/>
                <w:color w:val="2B2B28"/>
                <w:sz w:val="20"/>
              </w:rPr>
              <w:t>Upper + trunk + easy aerobic</w:t>
            </w:r>
          </w:p>
        </w:tc>
        <w:tc>
          <w:tcPr>
            <w:tcW w:type="dxa" w:w="3150"/>
            <w:tcMar>
              <w:top w:w="70" w:type="dxa"/>
              <w:left w:w="130" w:type="dxa"/>
              <w:bottom w:w="70" w:type="dxa"/>
              <w:right w:w="130" w:type="dxa"/>
            </w:tcMar>
            <w:vAlign w:val="top"/>
          </w:tcPr>
          <w:p>
            <w:pPr>
              <w:spacing w:before="0" w:after="0" w:line="240" w:lineRule="auto"/>
            </w:pPr>
            <w:r>
              <w:rPr>
                <w:rFonts w:ascii="Calibri" w:hAnsi="Calibri"/>
                <w:b/>
                <w:i w:val="0"/>
                <w:color w:val="2B2B28"/>
                <w:sz w:val="20"/>
              </w:rPr>
              <w:t>Keeps the athlete built</w:t>
            </w:r>
          </w:p>
        </w:tc>
        <w:tc>
          <w:tcPr>
            <w:tcW w:type="dxa" w:w="1900"/>
            <w:tcMar>
              <w:top w:w="70" w:type="dxa"/>
              <w:left w:w="130" w:type="dxa"/>
              <w:bottom w:w="70" w:type="dxa"/>
              <w:right w:w="130" w:type="dxa"/>
            </w:tcMar>
            <w:vAlign w:val="top"/>
          </w:tcPr>
          <w:p>
            <w:pPr>
              <w:spacing w:before="0" w:after="0" w:line="240" w:lineRule="auto"/>
            </w:pPr>
            <w:r>
              <w:rPr>
                <w:rFonts w:ascii="Calibri" w:hAnsi="Calibri"/>
                <w:b/>
                <w:i w:val="0"/>
                <w:color w:val="2B2B28"/>
                <w:sz w:val="20"/>
              </w:rPr>
              <w:t>Moderate</w:t>
            </w:r>
          </w:p>
        </w:tc>
      </w:tr>
      <w:tr>
        <w:tc>
          <w:tcPr>
            <w:tcW w:type="dxa" w:w="1250"/>
            <w:tcMar>
              <w:top w:w="70" w:type="dxa"/>
              <w:left w:w="130" w:type="dxa"/>
              <w:bottom w:w="70" w:type="dxa"/>
              <w:right w:w="130" w:type="dxa"/>
            </w:tcMar>
            <w:vAlign w:val="top"/>
          </w:tcPr>
          <w:p>
            <w:pPr>
              <w:spacing w:before="0" w:after="0" w:line="240" w:lineRule="auto"/>
            </w:pPr>
            <w:r>
              <w:rPr>
                <w:rFonts w:ascii="Calibri" w:hAnsi="Calibri"/>
                <w:b/>
                <w:i w:val="0"/>
                <w:color w:val="2B2B28"/>
                <w:sz w:val="20"/>
              </w:rPr>
              <w:t>Wed</w:t>
            </w:r>
          </w:p>
        </w:tc>
        <w:tc>
          <w:tcPr>
            <w:tcW w:type="dxa" w:w="3050"/>
            <w:tcMar>
              <w:top w:w="70" w:type="dxa"/>
              <w:left w:w="130" w:type="dxa"/>
              <w:bottom w:w="70" w:type="dxa"/>
              <w:right w:w="130" w:type="dxa"/>
            </w:tcMar>
            <w:vAlign w:val="top"/>
          </w:tcPr>
          <w:p>
            <w:pPr>
              <w:spacing w:before="0" w:after="0" w:line="240" w:lineRule="auto"/>
            </w:pPr>
            <w:r>
              <w:rPr>
                <w:rFonts w:ascii="Calibri" w:hAnsi="Calibri"/>
                <w:b/>
                <w:i w:val="0"/>
                <w:color w:val="2B2B28"/>
                <w:sz w:val="20"/>
              </w:rPr>
              <w:t>Court (flexible)</w:t>
            </w:r>
          </w:p>
        </w:tc>
        <w:tc>
          <w:tcPr>
            <w:tcW w:type="dxa" w:w="3150"/>
            <w:tcMar>
              <w:top w:w="70" w:type="dxa"/>
              <w:left w:w="130" w:type="dxa"/>
              <w:bottom w:w="70" w:type="dxa"/>
              <w:right w:w="130" w:type="dxa"/>
            </w:tcMar>
            <w:vAlign w:val="top"/>
          </w:tcPr>
          <w:p>
            <w:pPr>
              <w:spacing w:before="0" w:after="0" w:line="240" w:lineRule="auto"/>
            </w:pPr>
            <w:r>
              <w:rPr>
                <w:rFonts w:ascii="Calibri" w:hAnsi="Calibri"/>
                <w:b/>
                <w:i w:val="0"/>
                <w:color w:val="2B2B28"/>
                <w:sz w:val="20"/>
              </w:rPr>
              <w:t>Counts as lower-body load</w:t>
            </w:r>
          </w:p>
        </w:tc>
        <w:tc>
          <w:tcPr>
            <w:tcW w:type="dxa" w:w="1900"/>
            <w:tcMar>
              <w:top w:w="70" w:type="dxa"/>
              <w:left w:w="130" w:type="dxa"/>
              <w:bottom w:w="70" w:type="dxa"/>
              <w:right w:w="130" w:type="dxa"/>
            </w:tcMar>
            <w:vAlign w:val="top"/>
          </w:tcPr>
          <w:p>
            <w:pPr>
              <w:spacing w:before="0" w:after="0" w:line="240" w:lineRule="auto"/>
            </w:pPr>
            <w:r>
              <w:rPr>
                <w:rFonts w:ascii="Calibri" w:hAnsi="Calibri"/>
                <w:b/>
                <w:i w:val="0"/>
                <w:color w:val="2B2B28"/>
                <w:sz w:val="20"/>
              </w:rPr>
              <w:t>—</w:t>
            </w:r>
          </w:p>
        </w:tc>
      </w:tr>
      <w:tr>
        <w:tc>
          <w:tcPr>
            <w:tcW w:type="dxa" w:w="1250"/>
            <w:tcMar>
              <w:top w:w="70" w:type="dxa"/>
              <w:left w:w="130" w:type="dxa"/>
              <w:bottom w:w="70" w:type="dxa"/>
              <w:right w:w="130" w:type="dxa"/>
            </w:tcMar>
            <w:vAlign w:val="top"/>
          </w:tcPr>
          <w:p>
            <w:pPr>
              <w:spacing w:before="0" w:after="0" w:line="240" w:lineRule="auto"/>
            </w:pPr>
            <w:r>
              <w:rPr>
                <w:rFonts w:ascii="Calibri" w:hAnsi="Calibri"/>
                <w:b/>
                <w:i w:val="0"/>
                <w:color w:val="2B2B28"/>
                <w:sz w:val="20"/>
              </w:rPr>
              <w:t>Thu</w:t>
            </w:r>
          </w:p>
        </w:tc>
        <w:tc>
          <w:tcPr>
            <w:tcW w:type="dxa" w:w="3050"/>
            <w:tcMar>
              <w:top w:w="70" w:type="dxa"/>
              <w:left w:w="130" w:type="dxa"/>
              <w:bottom w:w="70" w:type="dxa"/>
              <w:right w:w="130" w:type="dxa"/>
            </w:tcMar>
            <w:vAlign w:val="top"/>
          </w:tcPr>
          <w:p>
            <w:pPr>
              <w:spacing w:before="0" w:after="0" w:line="240" w:lineRule="auto"/>
            </w:pPr>
            <w:r>
              <w:rPr>
                <w:rFonts w:ascii="Calibri" w:hAnsi="Calibri"/>
                <w:b/>
                <w:i w:val="0"/>
                <w:color w:val="2B2B28"/>
                <w:sz w:val="20"/>
              </w:rPr>
              <w:t>Lower B — single-leg &amp; stability</w:t>
            </w:r>
          </w:p>
        </w:tc>
        <w:tc>
          <w:tcPr>
            <w:tcW w:type="dxa" w:w="3150"/>
            <w:tcMar>
              <w:top w:w="70" w:type="dxa"/>
              <w:left w:w="130" w:type="dxa"/>
              <w:bottom w:w="70" w:type="dxa"/>
              <w:right w:w="130" w:type="dxa"/>
            </w:tcMar>
            <w:vAlign w:val="top"/>
          </w:tcPr>
          <w:p>
            <w:pPr>
              <w:spacing w:before="0" w:after="0" w:line="240" w:lineRule="auto"/>
            </w:pPr>
            <w:r>
              <w:rPr>
                <w:rFonts w:ascii="Calibri" w:hAnsi="Calibri"/>
                <w:b/>
                <w:i w:val="0"/>
                <w:color w:val="2B2B28"/>
                <w:sz w:val="20"/>
              </w:rPr>
              <w:t>Never adjacent to Lower A</w:t>
            </w:r>
          </w:p>
        </w:tc>
        <w:tc>
          <w:tcPr>
            <w:tcW w:type="dxa" w:w="1900"/>
            <w:tcMar>
              <w:top w:w="70" w:type="dxa"/>
              <w:left w:w="130" w:type="dxa"/>
              <w:bottom w:w="70" w:type="dxa"/>
              <w:right w:w="130" w:type="dxa"/>
            </w:tcMar>
            <w:vAlign w:val="top"/>
          </w:tcPr>
          <w:p>
            <w:pPr>
              <w:spacing w:before="0" w:after="0" w:line="240" w:lineRule="auto"/>
            </w:pPr>
            <w:r>
              <w:rPr>
                <w:rFonts w:ascii="Calibri" w:hAnsi="Calibri"/>
                <w:b/>
                <w:i w:val="0"/>
                <w:color w:val="2B2B28"/>
                <w:sz w:val="20"/>
              </w:rPr>
              <w:t>Moderate</w:t>
            </w:r>
          </w:p>
        </w:tc>
      </w:tr>
      <w:tr>
        <w:tc>
          <w:tcPr>
            <w:tcW w:type="dxa" w:w="1250"/>
            <w:tcMar>
              <w:top w:w="70" w:type="dxa"/>
              <w:left w:w="130" w:type="dxa"/>
              <w:bottom w:w="70" w:type="dxa"/>
              <w:right w:w="130" w:type="dxa"/>
            </w:tcMar>
            <w:vAlign w:val="top"/>
          </w:tcPr>
          <w:p>
            <w:pPr>
              <w:spacing w:before="0" w:after="0" w:line="240" w:lineRule="auto"/>
            </w:pPr>
            <w:r>
              <w:rPr>
                <w:rFonts w:ascii="Calibri" w:hAnsi="Calibri"/>
                <w:b/>
                <w:i w:val="0"/>
                <w:color w:val="2B2B28"/>
                <w:sz w:val="20"/>
              </w:rPr>
              <w:t>Fri</w:t>
            </w:r>
          </w:p>
        </w:tc>
        <w:tc>
          <w:tcPr>
            <w:tcW w:type="dxa" w:w="3050"/>
            <w:tcMar>
              <w:top w:w="70" w:type="dxa"/>
              <w:left w:w="130" w:type="dxa"/>
              <w:bottom w:w="70" w:type="dxa"/>
              <w:right w:w="130" w:type="dxa"/>
            </w:tcMar>
            <w:vAlign w:val="top"/>
          </w:tcPr>
          <w:p>
            <w:pPr>
              <w:spacing w:before="0" w:after="0" w:line="240" w:lineRule="auto"/>
            </w:pPr>
            <w:r>
              <w:rPr>
                <w:rFonts w:ascii="Calibri" w:hAnsi="Calibri"/>
                <w:b/>
                <w:i w:val="0"/>
                <w:color w:val="2B2B28"/>
                <w:sz w:val="20"/>
              </w:rPr>
              <w:t>Upper + conditioning</w:t>
            </w:r>
          </w:p>
        </w:tc>
        <w:tc>
          <w:tcPr>
            <w:tcW w:type="dxa" w:w="3150"/>
            <w:tcMar>
              <w:top w:w="70" w:type="dxa"/>
              <w:left w:w="130" w:type="dxa"/>
              <w:bottom w:w="70" w:type="dxa"/>
              <w:right w:w="130" w:type="dxa"/>
            </w:tcMar>
            <w:vAlign w:val="top"/>
          </w:tcPr>
          <w:p>
            <w:pPr>
              <w:spacing w:before="0" w:after="0" w:line="240" w:lineRule="auto"/>
            </w:pPr>
            <w:r>
              <w:rPr>
                <w:rFonts w:ascii="Calibri" w:hAnsi="Calibri"/>
                <w:b/>
                <w:i w:val="0"/>
                <w:color w:val="2B2B28"/>
                <w:sz w:val="20"/>
              </w:rPr>
              <w:t>Repeat-effort as the phase allows</w:t>
            </w:r>
          </w:p>
        </w:tc>
        <w:tc>
          <w:tcPr>
            <w:tcW w:type="dxa" w:w="1900"/>
            <w:tcMar>
              <w:top w:w="70" w:type="dxa"/>
              <w:left w:w="130" w:type="dxa"/>
              <w:bottom w:w="70" w:type="dxa"/>
              <w:right w:w="130" w:type="dxa"/>
            </w:tcMar>
            <w:vAlign w:val="top"/>
          </w:tcPr>
          <w:p>
            <w:pPr>
              <w:spacing w:before="0" w:after="0" w:line="240" w:lineRule="auto"/>
            </w:pPr>
            <w:r>
              <w:rPr>
                <w:rFonts w:ascii="Calibri" w:hAnsi="Calibri"/>
                <w:b/>
                <w:i w:val="0"/>
                <w:color w:val="2B2B28"/>
                <w:sz w:val="20"/>
              </w:rPr>
              <w:t>Moderate</w:t>
            </w:r>
          </w:p>
        </w:tc>
      </w:tr>
      <w:tr>
        <w:tc>
          <w:tcPr>
            <w:tcW w:type="dxa" w:w="1250"/>
            <w:tcMar>
              <w:top w:w="70" w:type="dxa"/>
              <w:left w:w="130" w:type="dxa"/>
              <w:bottom w:w="70" w:type="dxa"/>
              <w:right w:w="130" w:type="dxa"/>
            </w:tcMar>
            <w:vAlign w:val="top"/>
          </w:tcPr>
          <w:p>
            <w:pPr>
              <w:spacing w:before="0" w:after="0" w:line="240" w:lineRule="auto"/>
            </w:pPr>
            <w:r>
              <w:rPr>
                <w:rFonts w:ascii="Calibri" w:hAnsi="Calibri"/>
                <w:b/>
                <w:i w:val="0"/>
                <w:color w:val="2B2B28"/>
                <w:sz w:val="20"/>
              </w:rPr>
              <w:t>Sat</w:t>
            </w:r>
          </w:p>
        </w:tc>
        <w:tc>
          <w:tcPr>
            <w:tcW w:type="dxa" w:w="3050"/>
            <w:tcMar>
              <w:top w:w="70" w:type="dxa"/>
              <w:left w:w="130" w:type="dxa"/>
              <w:bottom w:w="70" w:type="dxa"/>
              <w:right w:w="130" w:type="dxa"/>
            </w:tcMar>
            <w:vAlign w:val="top"/>
          </w:tcPr>
          <w:p>
            <w:pPr>
              <w:spacing w:before="0" w:after="0" w:line="240" w:lineRule="auto"/>
            </w:pPr>
            <w:r>
              <w:rPr>
                <w:rFonts w:ascii="Calibri" w:hAnsi="Calibri"/>
                <w:b/>
                <w:i w:val="0"/>
                <w:color w:val="2B2B28"/>
                <w:sz w:val="20"/>
              </w:rPr>
              <w:t>Court (flexible) / match</w:t>
            </w:r>
          </w:p>
        </w:tc>
        <w:tc>
          <w:tcPr>
            <w:tcW w:type="dxa" w:w="3150"/>
            <w:tcMar>
              <w:top w:w="70" w:type="dxa"/>
              <w:left w:w="130" w:type="dxa"/>
              <w:bottom w:w="70" w:type="dxa"/>
              <w:right w:w="130" w:type="dxa"/>
            </w:tcMar>
            <w:vAlign w:val="top"/>
          </w:tcPr>
          <w:p>
            <w:pPr>
              <w:spacing w:before="0" w:after="0" w:line="240" w:lineRule="auto"/>
            </w:pPr>
            <w:r>
              <w:rPr>
                <w:rFonts w:ascii="Calibri" w:hAnsi="Calibri"/>
                <w:b/>
                <w:i w:val="0"/>
                <w:color w:val="2B2B28"/>
                <w:sz w:val="20"/>
              </w:rPr>
              <w:t>If competitive, the next day is easy</w:t>
            </w:r>
          </w:p>
        </w:tc>
        <w:tc>
          <w:tcPr>
            <w:tcW w:type="dxa" w:w="1900"/>
            <w:tcMar>
              <w:top w:w="70" w:type="dxa"/>
              <w:left w:w="130" w:type="dxa"/>
              <w:bottom w:w="70" w:type="dxa"/>
              <w:right w:w="130" w:type="dxa"/>
            </w:tcMar>
            <w:vAlign w:val="top"/>
          </w:tcPr>
          <w:p>
            <w:pPr>
              <w:spacing w:before="0" w:after="0" w:line="240" w:lineRule="auto"/>
            </w:pPr>
            <w:r>
              <w:rPr>
                <w:rFonts w:ascii="Calibri" w:hAnsi="Calibri"/>
                <w:b/>
                <w:i w:val="0"/>
                <w:color w:val="2B2B28"/>
                <w:sz w:val="20"/>
              </w:rPr>
              <w:t>—</w:t>
            </w:r>
          </w:p>
        </w:tc>
      </w:tr>
      <w:tr>
        <w:tc>
          <w:tcPr>
            <w:tcW w:type="dxa" w:w="1250"/>
            <w:tcMar>
              <w:top w:w="70" w:type="dxa"/>
              <w:left w:w="130" w:type="dxa"/>
              <w:bottom w:w="70" w:type="dxa"/>
              <w:right w:w="130" w:type="dxa"/>
            </w:tcMar>
            <w:vAlign w:val="top"/>
          </w:tcPr>
          <w:p>
            <w:pPr>
              <w:spacing w:before="0" w:after="0" w:line="240" w:lineRule="auto"/>
            </w:pPr>
            <w:r>
              <w:rPr>
                <w:rFonts w:ascii="Calibri" w:hAnsi="Calibri"/>
                <w:b/>
                <w:i w:val="0"/>
                <w:color w:val="2B2B28"/>
                <w:sz w:val="20"/>
              </w:rPr>
              <w:t>Sun</w:t>
            </w:r>
          </w:p>
        </w:tc>
        <w:tc>
          <w:tcPr>
            <w:tcW w:type="dxa" w:w="3050"/>
            <w:tcMar>
              <w:top w:w="70" w:type="dxa"/>
              <w:left w:w="130" w:type="dxa"/>
              <w:bottom w:w="70" w:type="dxa"/>
              <w:right w:w="130" w:type="dxa"/>
            </w:tcMar>
            <w:vAlign w:val="top"/>
          </w:tcPr>
          <w:p>
            <w:pPr>
              <w:spacing w:before="0" w:after="0" w:line="240" w:lineRule="auto"/>
            </w:pPr>
            <w:r>
              <w:rPr>
                <w:rFonts w:ascii="Calibri" w:hAnsi="Calibri"/>
                <w:b/>
                <w:i w:val="0"/>
                <w:color w:val="2B2B28"/>
                <w:sz w:val="20"/>
              </w:rPr>
              <w:t>Off / mobility within range</w:t>
            </w:r>
          </w:p>
        </w:tc>
        <w:tc>
          <w:tcPr>
            <w:tcW w:type="dxa" w:w="3150"/>
            <w:tcMar>
              <w:top w:w="70" w:type="dxa"/>
              <w:left w:w="130" w:type="dxa"/>
              <w:bottom w:w="70" w:type="dxa"/>
              <w:right w:w="130" w:type="dxa"/>
            </w:tcMar>
            <w:vAlign w:val="top"/>
          </w:tcPr>
          <w:p>
            <w:pPr>
              <w:spacing w:before="0" w:after="0" w:line="240" w:lineRule="auto"/>
            </w:pPr>
            <w:r>
              <w:rPr>
                <w:rFonts w:ascii="Calibri" w:hAnsi="Calibri"/>
                <w:b/>
                <w:i w:val="0"/>
                <w:color w:val="2B2B28"/>
                <w:sz w:val="20"/>
              </w:rPr>
              <w:t>Recovery</w:t>
            </w:r>
          </w:p>
        </w:tc>
        <w:tc>
          <w:tcPr>
            <w:tcW w:type="dxa" w:w="1900"/>
            <w:tcMar>
              <w:top w:w="70" w:type="dxa"/>
              <w:left w:w="130" w:type="dxa"/>
              <w:bottom w:w="70" w:type="dxa"/>
              <w:right w:w="130" w:type="dxa"/>
            </w:tcMar>
            <w:vAlign w:val="top"/>
          </w:tcPr>
          <w:p>
            <w:pPr>
              <w:spacing w:before="0" w:after="0" w:line="240" w:lineRule="auto"/>
            </w:pPr>
            <w:r>
              <w:rPr>
                <w:rFonts w:ascii="Calibri" w:hAnsi="Calibri"/>
                <w:b/>
                <w:i w:val="0"/>
                <w:color w:val="2B2B28"/>
                <w:sz w:val="20"/>
              </w:rPr>
              <w:t>Low</w:t>
            </w:r>
          </w:p>
        </w:tc>
      </w:tr>
    </w:tbl>
    <w:p>
      <w:pPr>
        <w:spacing w:after="40"/>
      </w:pPr>
    </w:p>
    <w:p>
      <w:pPr>
        <w:spacing w:before="0" w:after="140" w:line="269" w:lineRule="auto"/>
      </w:pPr>
      <w:r>
        <w:rPr>
          <w:rFonts w:ascii="Calibri" w:hAnsi="Calibri"/>
          <w:b w:val="0"/>
          <w:i/>
          <w:color w:val="6B6B66"/>
          <w:sz w:val="20"/>
        </w:rPr>
        <w:t>A template, not a prescription — the point is the logic (undulating load, court counted as load, hard days spaced), not these exact days. His real week bends around his court schedule and his readiness.</w:t>
      </w:r>
    </w:p>
    <w:p>
      <w:pPr>
        <w:pStyle w:val="Heading2"/>
        <w:spacing w:before="220" w:after="60" w:line="240" w:lineRule="auto"/>
      </w:pPr>
      <w:r>
        <w:rPr>
          <w:rFonts w:ascii="Calibri" w:hAnsi="Calibri"/>
          <w:b/>
          <w:i w:val="0"/>
          <w:color w:val="2A5C45"/>
          <w:sz w:val="25"/>
        </w:rPr>
        <w:t>Coaching it, not just prescribing it — technical models &amp; cues</w:t>
      </w:r>
    </w:p>
    <w:p>
      <w:pPr>
        <w:spacing w:before="0" w:after="160" w:line="269" w:lineRule="auto"/>
      </w:pPr>
      <w:r>
        <w:rPr>
          <w:rFonts w:ascii="Calibri" w:hAnsi="Calibri"/>
          <w:b w:val="0"/>
          <w:i w:val="0"/>
          <w:color w:val="2B2B28"/>
          <w:sz w:val="22"/>
        </w:rPr>
        <w:t>Selecting the right exercise is half the job; the other half — the half an assessor actually watches — is coaching it well. For every key lift, hold a technical model in your head, two or three cues that get him there, and the common fault you’re watching for. The ones that matter most for this hip:</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300"/>
        <w:gridCol w:w="3550"/>
        <w:gridCol w:w="3500"/>
      </w:tblGrid>
      <w:tr>
        <w:tc>
          <w:tcPr>
            <w:tcW w:type="dxa" w:w="23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Exercise</w:t>
            </w:r>
          </w:p>
        </w:tc>
        <w:tc>
          <w:tcPr>
            <w:tcW w:type="dxa" w:w="35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Cue that works</w:t>
            </w:r>
          </w:p>
        </w:tc>
        <w:tc>
          <w:tcPr>
            <w:tcW w:type="dxa" w:w="35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Fault you’re watching for</w:t>
            </w:r>
          </w:p>
        </w:tc>
      </w:tr>
      <w:tr>
        <w:tc>
          <w:tcPr>
            <w:tcW w:type="dxa" w:w="2300"/>
            <w:tcMar>
              <w:top w:w="70" w:type="dxa"/>
              <w:left w:w="130" w:type="dxa"/>
              <w:bottom w:w="70" w:type="dxa"/>
              <w:right w:w="130" w:type="dxa"/>
            </w:tcMar>
            <w:vAlign w:val="top"/>
          </w:tcPr>
          <w:p>
            <w:pPr>
              <w:spacing w:before="0" w:after="0" w:line="240" w:lineRule="auto"/>
            </w:pPr>
            <w:r>
              <w:rPr>
                <w:rFonts w:ascii="Calibri" w:hAnsi="Calibri"/>
                <w:b/>
                <w:i w:val="0"/>
                <w:color w:val="2B2B28"/>
                <w:sz w:val="20"/>
              </w:rPr>
              <w:t>Hip-safe RDL</w:t>
            </w:r>
          </w:p>
        </w:tc>
        <w:tc>
          <w:tcPr>
            <w:tcW w:type="dxa" w:w="3550"/>
            <w:tcMar>
              <w:top w:w="70" w:type="dxa"/>
              <w:left w:w="130" w:type="dxa"/>
              <w:bottom w:w="70" w:type="dxa"/>
              <w:right w:w="130" w:type="dxa"/>
            </w:tcMar>
            <w:vAlign w:val="top"/>
          </w:tcPr>
          <w:p>
            <w:pPr>
              <w:spacing w:before="0" w:after="0" w:line="240" w:lineRule="auto"/>
            </w:pPr>
            <w:r>
              <w:rPr>
                <w:rFonts w:ascii="Calibri" w:hAnsi="Calibri"/>
                <w:b/>
                <w:i w:val="0"/>
                <w:color w:val="2B2B28"/>
                <w:sz w:val="20"/>
              </w:rPr>
              <w:t>“Push the hips back to the wall, bar close, stop at a flat back”</w:t>
            </w:r>
          </w:p>
        </w:tc>
        <w:tc>
          <w:tcPr>
            <w:tcW w:type="dxa" w:w="3500"/>
            <w:tcMar>
              <w:top w:w="70" w:type="dxa"/>
              <w:left w:w="130" w:type="dxa"/>
              <w:bottom w:w="70" w:type="dxa"/>
              <w:right w:w="130" w:type="dxa"/>
            </w:tcMar>
            <w:vAlign w:val="top"/>
          </w:tcPr>
          <w:p>
            <w:pPr>
              <w:spacing w:before="0" w:after="0" w:line="240" w:lineRule="auto"/>
            </w:pPr>
            <w:r>
              <w:rPr>
                <w:rFonts w:ascii="Calibri" w:hAnsi="Calibri"/>
                <w:b/>
                <w:i w:val="0"/>
                <w:color w:val="2B2B28"/>
                <w:sz w:val="20"/>
              </w:rPr>
              <w:t>Rounding at the bottom, or drifting into end-range hip flexion</w:t>
            </w:r>
          </w:p>
        </w:tc>
      </w:tr>
      <w:tr>
        <w:tc>
          <w:tcPr>
            <w:tcW w:type="dxa" w:w="2300"/>
            <w:tcMar>
              <w:top w:w="70" w:type="dxa"/>
              <w:left w:w="130" w:type="dxa"/>
              <w:bottom w:w="70" w:type="dxa"/>
              <w:right w:w="130" w:type="dxa"/>
            </w:tcMar>
            <w:vAlign w:val="top"/>
          </w:tcPr>
          <w:p>
            <w:pPr>
              <w:spacing w:before="0" w:after="0" w:line="240" w:lineRule="auto"/>
            </w:pPr>
            <w:r>
              <w:rPr>
                <w:rFonts w:ascii="Calibri" w:hAnsi="Calibri"/>
                <w:b/>
                <w:i w:val="0"/>
                <w:color w:val="2B2B28"/>
                <w:sz w:val="20"/>
              </w:rPr>
              <w:t>Hip thrust</w:t>
            </w:r>
          </w:p>
        </w:tc>
        <w:tc>
          <w:tcPr>
            <w:tcW w:type="dxa" w:w="3550"/>
            <w:tcMar>
              <w:top w:w="70" w:type="dxa"/>
              <w:left w:w="130" w:type="dxa"/>
              <w:bottom w:w="70" w:type="dxa"/>
              <w:right w:w="130" w:type="dxa"/>
            </w:tcMar>
            <w:vAlign w:val="top"/>
          </w:tcPr>
          <w:p>
            <w:pPr>
              <w:spacing w:before="0" w:after="0" w:line="240" w:lineRule="auto"/>
            </w:pPr>
            <w:r>
              <w:rPr>
                <w:rFonts w:ascii="Calibri" w:hAnsi="Calibri"/>
                <w:b/>
                <w:i w:val="0"/>
                <w:color w:val="2B2B28"/>
                <w:sz w:val="20"/>
              </w:rPr>
              <w:t>“Ribs down, tuck, squeeze at the top — chin to chest”</w:t>
            </w:r>
          </w:p>
        </w:tc>
        <w:tc>
          <w:tcPr>
            <w:tcW w:type="dxa" w:w="3500"/>
            <w:tcMar>
              <w:top w:w="70" w:type="dxa"/>
              <w:left w:w="130" w:type="dxa"/>
              <w:bottom w:w="70" w:type="dxa"/>
              <w:right w:w="130" w:type="dxa"/>
            </w:tcMar>
            <w:vAlign w:val="top"/>
          </w:tcPr>
          <w:p>
            <w:pPr>
              <w:spacing w:before="0" w:after="0" w:line="240" w:lineRule="auto"/>
            </w:pPr>
            <w:r>
              <w:rPr>
                <w:rFonts w:ascii="Calibri" w:hAnsi="Calibri"/>
                <w:b/>
                <w:i w:val="0"/>
                <w:color w:val="2B2B28"/>
                <w:sz w:val="20"/>
              </w:rPr>
              <w:t>Arching into hip hyperextension at lockout — the anterior hip’s worst position</w:t>
            </w:r>
          </w:p>
        </w:tc>
      </w:tr>
      <w:tr>
        <w:tc>
          <w:tcPr>
            <w:tcW w:type="dxa" w:w="2300"/>
            <w:tcMar>
              <w:top w:w="70" w:type="dxa"/>
              <w:left w:w="130" w:type="dxa"/>
              <w:bottom w:w="70" w:type="dxa"/>
              <w:right w:w="130" w:type="dxa"/>
            </w:tcMar>
            <w:vAlign w:val="top"/>
          </w:tcPr>
          <w:p>
            <w:pPr>
              <w:spacing w:before="0" w:after="0" w:line="240" w:lineRule="auto"/>
            </w:pPr>
            <w:r>
              <w:rPr>
                <w:rFonts w:ascii="Calibri" w:hAnsi="Calibri"/>
                <w:b/>
                <w:i w:val="0"/>
                <w:color w:val="2B2B28"/>
                <w:sz w:val="20"/>
              </w:rPr>
              <w:t>Lateral step-up</w:t>
            </w:r>
          </w:p>
        </w:tc>
        <w:tc>
          <w:tcPr>
            <w:tcW w:type="dxa" w:w="3550"/>
            <w:tcMar>
              <w:top w:w="70" w:type="dxa"/>
              <w:left w:w="130" w:type="dxa"/>
              <w:bottom w:w="70" w:type="dxa"/>
              <w:right w:w="130" w:type="dxa"/>
            </w:tcMar>
            <w:vAlign w:val="top"/>
          </w:tcPr>
          <w:p>
            <w:pPr>
              <w:spacing w:before="0" w:after="0" w:line="240" w:lineRule="auto"/>
            </w:pPr>
            <w:r>
              <w:rPr>
                <w:rFonts w:ascii="Calibri" w:hAnsi="Calibri"/>
                <w:b/>
                <w:i w:val="0"/>
                <w:color w:val="2B2B28"/>
                <w:sz w:val="20"/>
              </w:rPr>
              <w:t>“Push the floor away, pelvis level, no hip drop”</w:t>
            </w:r>
          </w:p>
        </w:tc>
        <w:tc>
          <w:tcPr>
            <w:tcW w:type="dxa" w:w="3500"/>
            <w:tcMar>
              <w:top w:w="70" w:type="dxa"/>
              <w:left w:w="130" w:type="dxa"/>
              <w:bottom w:w="70" w:type="dxa"/>
              <w:right w:w="130" w:type="dxa"/>
            </w:tcMar>
            <w:vAlign w:val="top"/>
          </w:tcPr>
          <w:p>
            <w:pPr>
              <w:spacing w:before="0" w:after="0" w:line="240" w:lineRule="auto"/>
            </w:pPr>
            <w:r>
              <w:rPr>
                <w:rFonts w:ascii="Calibri" w:hAnsi="Calibri"/>
                <w:b/>
                <w:i w:val="0"/>
                <w:color w:val="2B2B28"/>
                <w:sz w:val="20"/>
              </w:rPr>
              <w:t>Trendelenburg drop; knee caving inward</w:t>
            </w:r>
          </w:p>
        </w:tc>
      </w:tr>
      <w:tr>
        <w:tc>
          <w:tcPr>
            <w:tcW w:type="dxa" w:w="2300"/>
            <w:tcMar>
              <w:top w:w="70" w:type="dxa"/>
              <w:left w:w="130" w:type="dxa"/>
              <w:bottom w:w="70" w:type="dxa"/>
              <w:right w:w="130" w:type="dxa"/>
            </w:tcMar>
            <w:vAlign w:val="top"/>
          </w:tcPr>
          <w:p>
            <w:pPr>
              <w:spacing w:before="0" w:after="0" w:line="240" w:lineRule="auto"/>
            </w:pPr>
            <w:r>
              <w:rPr>
                <w:rFonts w:ascii="Calibri" w:hAnsi="Calibri"/>
                <w:b/>
                <w:i w:val="0"/>
                <w:color w:val="2B2B28"/>
                <w:sz w:val="20"/>
              </w:rPr>
              <w:t>Split squat</w:t>
            </w:r>
          </w:p>
        </w:tc>
        <w:tc>
          <w:tcPr>
            <w:tcW w:type="dxa" w:w="3550"/>
            <w:tcMar>
              <w:top w:w="70" w:type="dxa"/>
              <w:left w:w="130" w:type="dxa"/>
              <w:bottom w:w="70" w:type="dxa"/>
              <w:right w:w="130" w:type="dxa"/>
            </w:tcMar>
            <w:vAlign w:val="top"/>
          </w:tcPr>
          <w:p>
            <w:pPr>
              <w:spacing w:before="0" w:after="0" w:line="240" w:lineRule="auto"/>
            </w:pPr>
            <w:r>
              <w:rPr>
                <w:rFonts w:ascii="Calibri" w:hAnsi="Calibri"/>
                <w:b/>
                <w:i w:val="0"/>
                <w:color w:val="2B2B28"/>
                <w:sz w:val="20"/>
              </w:rPr>
              <w:t>“Down like an elevator, back knee to the floor, torso tall”</w:t>
            </w:r>
          </w:p>
        </w:tc>
        <w:tc>
          <w:tcPr>
            <w:tcW w:type="dxa" w:w="3500"/>
            <w:tcMar>
              <w:top w:w="70" w:type="dxa"/>
              <w:left w:w="130" w:type="dxa"/>
              <w:bottom w:w="70" w:type="dxa"/>
              <w:right w:w="130" w:type="dxa"/>
            </w:tcMar>
            <w:vAlign w:val="top"/>
          </w:tcPr>
          <w:p>
            <w:pPr>
              <w:spacing w:before="0" w:after="0" w:line="240" w:lineRule="auto"/>
            </w:pPr>
            <w:r>
              <w:rPr>
                <w:rFonts w:ascii="Calibri" w:hAnsi="Calibri"/>
                <w:b/>
                <w:i w:val="0"/>
                <w:color w:val="2B2B28"/>
                <w:sz w:val="20"/>
              </w:rPr>
              <w:t>Front-knee valgus; loading the strong side to hide the gap</w:t>
            </w:r>
          </w:p>
        </w:tc>
      </w:tr>
    </w:tbl>
    <w:p>
      <w:pPr>
        <w:spacing w:after="40"/>
      </w:pPr>
    </w:p>
    <w:p>
      <w:pPr>
        <w:spacing w:before="0" w:after="160" w:line="269" w:lineRule="auto"/>
      </w:pPr>
      <w:r>
        <w:rPr>
          <w:rFonts w:ascii="Calibri" w:hAnsi="Calibri"/>
          <w:b w:val="0"/>
          <w:i w:val="0"/>
          <w:color w:val="2B2B28"/>
          <w:sz w:val="22"/>
        </w:rPr>
        <w:t>Write your cues before the session and log which ones landed — that record is coaching evidence, and it’s the difference between “I prescribed a hip thrust” and “I coached this athlete to hip-thrust safely on a hip that punishes hyperextension.”</w:t>
      </w:r>
    </w:p>
    <w:tbl>
      <w:tblPr>
        <w:tblW w:type="auto" w:w="0"/>
        <w:tblLook w:firstColumn="1" w:firstRow="1" w:lastColumn="0" w:lastRow="0" w:noHBand="0" w:noVBand="1" w:val="04A0"/>
        <w:tblW w:w="9350" w:type="dxa"/>
        <w:tblLayout w:type="fixed"/>
        <w:tblBorders>
          <w:top w:val="single" w:sz="12" w:space="0" w:color="2A5C45"/>
          <w:left w:val="single" w:sz="24" w:space="0" w:color="C4522A"/>
          <w:bottom w:val="single" w:sz="12" w:space="0" w:color="2A5C45"/>
          <w:right w:val="none" w:sz="0" w:space="0" w:color="FFFFFF"/>
          <w:insideH w:val="none" w:sz="0" w:space="0" w:color="FFFFFF"/>
          <w:insideV w:val="none" w:sz="0" w:space="0" w:color="FFFFFF"/>
        </w:tblBorders>
      </w:tblPr>
      <w:tblGrid>
        <w:gridCol w:w="9350"/>
      </w:tblGrid>
      <w:tr>
        <w:tc>
          <w:tcPr>
            <w:tcW w:type="dxa" w:w="9350"/>
            <w:shd w:val="clear" w:color="auto" w:fill="EDEAE4"/>
            <w:tcMar>
              <w:top w:w="150" w:type="dxa"/>
              <w:left w:w="230" w:type="dxa"/>
              <w:bottom w:w="150" w:type="dxa"/>
              <w:right w:w="180" w:type="dxa"/>
            </w:tcMar>
          </w:tcPr>
          <w:p>
            <w:pPr>
              <w:spacing w:before="0" w:after="80" w:line="240" w:lineRule="auto"/>
            </w:pPr>
            <w:r>
              <w:rPr>
                <w:rFonts w:ascii="Calibri" w:hAnsi="Calibri"/>
                <w:b/>
                <w:i w:val="0"/>
                <w:color w:val="C4522A"/>
                <w:sz w:val="22"/>
              </w:rPr>
              <w:t>MENTOR MOMENT 3</w:t>
            </w:r>
          </w:p>
          <w:p>
            <w:pPr>
              <w:spacing w:before="0" w:after="80" w:line="269" w:lineRule="auto"/>
            </w:pPr>
            <w:r>
              <w:rPr>
                <w:rFonts w:ascii="Calibri" w:hAnsi="Calibri"/>
                <w:b/>
                <w:color w:val="2A5C45"/>
                <w:sz w:val="22"/>
              </w:rPr>
              <w:t xml:space="preserve">The situation: </w:t>
            </w:r>
            <w:r>
              <w:rPr>
                <w:rFonts w:ascii="Calibri" w:hAnsi="Calibri"/>
                <w:b w:val="0"/>
                <w:i w:val="0"/>
                <w:color w:val="2B2B28"/>
                <w:sz w:val="22"/>
              </w:rPr>
              <w:t>Week 14. Gates are passing, everything trends well, and the athlete — a lifelong lifter who misses his old training — wants to put a heavy barbell back on his back and squat deep, “just like before.”</w:t>
            </w:r>
          </w:p>
          <w:p>
            <w:pPr>
              <w:spacing w:before="0" w:after="80" w:line="269" w:lineRule="auto"/>
            </w:pPr>
            <w:r>
              <w:rPr>
                <w:rFonts w:ascii="Calibri" w:hAnsi="Calibri"/>
                <w:b/>
                <w:color w:val="2A5C45"/>
                <w:sz w:val="22"/>
              </w:rPr>
              <w:t xml:space="preserve">What most coaches do: </w:t>
            </w:r>
            <w:r>
              <w:rPr>
                <w:rFonts w:ascii="Calibri" w:hAnsi="Calibri"/>
                <w:b w:val="0"/>
                <w:i w:val="0"/>
                <w:color w:val="2B2B28"/>
                <w:sz w:val="22"/>
              </w:rPr>
              <w:t>Give it to him. He’s strong, he feels good, and deep squatting is normal training for a normal lifter.</w:t>
            </w:r>
          </w:p>
          <w:p>
            <w:pPr>
              <w:spacing w:before="0" w:after="80" w:line="269" w:lineRule="auto"/>
            </w:pPr>
            <w:r>
              <w:rPr>
                <w:rFonts w:ascii="Calibri" w:hAnsi="Calibri"/>
                <w:b/>
                <w:color w:val="2A5C45"/>
                <w:sz w:val="22"/>
              </w:rPr>
              <w:t xml:space="preserve">The elite thinking: </w:t>
            </w:r>
            <w:r>
              <w:rPr>
                <w:rFonts w:ascii="Calibri" w:hAnsi="Calibri"/>
                <w:b w:val="0"/>
                <w:i w:val="0"/>
                <w:color w:val="2B2B28"/>
                <w:sz w:val="22"/>
              </w:rPr>
              <w:t>You don’t argue with how he feels; you put the anatomy and his own data on the table. Deep flexion under an axial load is the one position his hip has flagged from day one, and a bar on the back drives exactly that. You explain edge-loading in plain words — “at the bottom of a deep squat, a shallow socket loads the labrum right at its worst corner” — and then you give him a yes inside the no: he can squat, today, to a box at a depth his hip passes, front-loaded to cut the flexion demand, and you’ll add depth the week his tests say he’s earned it. Lifelong lifters rarely want to skip training; they want to feel like they’re training again. Give them legitimate loading they can be proud of.</w:t>
            </w:r>
          </w:p>
          <w:p>
            <w:pPr>
              <w:spacing w:before="0" w:after="80" w:line="269" w:lineRule="auto"/>
            </w:pPr>
            <w:r>
              <w:rPr>
                <w:rFonts w:ascii="Calibri" w:hAnsi="Calibri"/>
                <w:b/>
                <w:color w:val="2A5C45"/>
                <w:sz w:val="22"/>
              </w:rPr>
              <w:t xml:space="preserve">The shift: </w:t>
            </w:r>
            <w:r>
              <w:rPr>
                <w:rFonts w:ascii="Calibri" w:hAnsi="Calibri"/>
                <w:b w:val="0"/>
                <w:i w:val="0"/>
                <w:color w:val="2B2B28"/>
                <w:sz w:val="22"/>
              </w:rPr>
              <w:t>Your job is his hip for the next decade, not his ego for the next session. Hold the depth gate, but always hand him a heavy thing he’s allowed to do.</w:t>
            </w:r>
          </w:p>
        </w:tc>
      </w:tr>
    </w:tbl>
    <w:p>
      <w:pPr>
        <w:spacing w:after="40"/>
      </w:pPr>
    </w:p>
    <w:p>
      <w:pPr>
        <w:pStyle w:val="Heading1"/>
        <w:spacing w:before="320" w:after="100" w:line="240" w:lineRule="auto"/>
      </w:pPr>
      <w:r>
        <w:rPr>
          <w:rFonts w:ascii="Calibri" w:hAnsi="Calibri"/>
          <w:b/>
          <w:i w:val="0"/>
          <w:color w:val="C4522A"/>
          <w:sz w:val="30"/>
        </w:rPr>
        <w:t>Step 5 — Monitor the Week, Not Just the Phase</w:t>
      </w:r>
    </w:p>
    <w:p>
      <w:pPr>
        <w:spacing w:before="0" w:after="160" w:line="269" w:lineRule="auto"/>
      </w:pPr>
      <w:r>
        <w:rPr>
          <w:rFonts w:ascii="Calibri" w:hAnsi="Calibri"/>
          <w:b w:val="0"/>
          <w:i w:val="0"/>
          <w:color w:val="2B2B28"/>
          <w:sz w:val="22"/>
        </w:rPr>
        <w:t>Phase gates are the big decisions; weekly monitoring is how you avoid needing emergency ones. Every week, the same short set gets logged: sessions completed versus planned, average session RPE, the worst daily hip or groin pain and its trend, any instability sensation (a single yes here is worth a phone call), sleep, general readiness, and the one coaching focus you gave him that week. Multiply session RPE by duration and you have a crude but honest internal load number — and here you add the court, because two or three padel sessions are real hip load whether or not he logs them. Its job is not precision, it is catching spikes, because load spikes are how well-managed hips quietly become badly-managed ones.</w:t>
      </w:r>
    </w:p>
    <w:p>
      <w:pPr>
        <w:spacing w:before="0" w:after="160" w:line="269" w:lineRule="auto"/>
      </w:pPr>
      <w:r>
        <w:rPr>
          <w:rFonts w:ascii="Calibri" w:hAnsi="Calibri"/>
          <w:b w:val="0"/>
          <w:i w:val="0"/>
          <w:color w:val="2B2B28"/>
          <w:sz w:val="22"/>
        </w:rPr>
        <w:t>Why so light-touch? Because monitoring only works if it actually happens, and athletes abandon heavy daily questionnaires by week three. A weekly rhythm he can sustain beats a daily one he ignores. If you already run a coaching system with weekly logs and check-ins — as you do — this slots straight into it: the pain and instability notes live in the athlete-specific monitoring section, and the status flags catch anything that needs action. Two hard scheduling rules live here too, because they prevent more flares than any exercise choice: never put his heaviest hinge day the day before a match, and keep at least one clear day between his two lower-body sessions.</w:t>
      </w:r>
    </w:p>
    <w:p>
      <w:pPr>
        <w:spacing w:before="0" w:after="160" w:line="269" w:lineRule="auto"/>
      </w:pPr>
      <w:r>
        <w:rPr>
          <w:rFonts w:ascii="Calibri" w:hAnsi="Calibri"/>
          <w:b w:val="0"/>
          <w:i w:val="0"/>
          <w:color w:val="2B2B28"/>
          <w:sz w:val="22"/>
        </w:rPr>
        <w:t>And here is the case-study secret hiding inside the boring weekly log: assessors distrust smooth stories. The weeks where readiness dipped, a match ran long, pain ticked up and you pulled the next session back — those entries are the visible evidence of coaching judgement, which is the actual thing being assessed. Log the mess. The mess is the portfolio.</w:t>
      </w:r>
    </w:p>
    <w:p>
      <w:pPr>
        <w:pStyle w:val="Heading2"/>
        <w:spacing w:before="220" w:after="60" w:line="240" w:lineRule="auto"/>
      </w:pPr>
      <w:r>
        <w:rPr>
          <w:rFonts w:ascii="Calibri" w:hAnsi="Calibri"/>
          <w:b/>
          <w:i w:val="0"/>
          <w:color w:val="2A5C45"/>
          <w:sz w:val="25"/>
        </w:rPr>
        <w:t>When it flares — the setback protocol (write it before you need it)</w:t>
      </w:r>
    </w:p>
    <w:p>
      <w:pPr>
        <w:spacing w:before="0" w:after="160" w:line="269" w:lineRule="auto"/>
      </w:pPr>
      <w:r>
        <w:rPr>
          <w:rFonts w:ascii="Calibri" w:hAnsi="Calibri"/>
          <w:b w:val="0"/>
          <w:i w:val="0"/>
          <w:color w:val="2B2B28"/>
          <w:sz w:val="22"/>
        </w:rPr>
        <w:t>Flares happen; a programme that never has one was too timid to have worked. What separates a professional from an amateur is having the response written down before the flare, so the athlete acts on a plan instead of panicking or pushing through. Give him this, on a card (Form 13): if the hip flares — sharp groin pain, a new pinch, swelling around the joint, a sense of it shifting, or pain clearly worse the next morning — he drops to relative rest for 24–48 hours (keep moving, offload the provoker), not complete rest, and messages you the same day. You regress the offending exposure by one rung on the ladder, hold there until it’s quiet by the morning-after rule for two to three sessions, then re-approach at that lower rung. If it flares twice at the same rung, or any instability sensation appears, it goes to the physio — not back into the programme. The rule underneath all of it: a flare is information, not failure. It tells you the dose beat the tissue’s current capacity — and because the connective tissue that stabilises this hip adapts more slowly than the muscle around it, patience is the strategy, not the consolation prize.</w:t>
      </w:r>
    </w:p>
    <w:p>
      <w:pPr>
        <w:pStyle w:val="Heading1"/>
        <w:spacing w:before="320" w:after="100" w:line="240" w:lineRule="auto"/>
      </w:pPr>
      <w:r>
        <w:rPr>
          <w:rFonts w:ascii="Calibri" w:hAnsi="Calibri"/>
          <w:b/>
          <w:i w:val="0"/>
          <w:color w:val="C4522A"/>
          <w:sz w:val="30"/>
        </w:rPr>
        <w:t>Step 6 — The Return Decision: A Continuum, Shared</w:t>
      </w:r>
    </w:p>
    <w:p>
      <w:pPr>
        <w:spacing w:before="0" w:after="160" w:line="269" w:lineRule="auto"/>
      </w:pPr>
      <w:r>
        <w:rPr>
          <w:rFonts w:ascii="Calibri" w:hAnsi="Calibri"/>
          <w:b w:val="0"/>
          <w:i w:val="0"/>
          <w:color w:val="2B2B28"/>
          <w:sz w:val="22"/>
        </w:rPr>
        <w:t>“Return to sport” is not a door he walks through; it is a corridor with three stages, and naming them prevents the most common late-stage mistake. Return to participation: full training, modified match exposure. Return to sport: competing again at some level. Return to performance: competing at or beyond his pre-injury level. An athlete who has hit for two weeks of practice has not “returned” — he has entered the corridor. Plan match exposure like you planned everything else: shorter formats before long ones, one match before back-to-back match days, friendly hits before competitive ones.</w:t>
      </w:r>
    </w:p>
    <w:p>
      <w:pPr>
        <w:spacing w:before="0" w:after="160" w:line="269" w:lineRule="auto"/>
      </w:pPr>
      <w:r>
        <w:rPr>
          <w:rFonts w:ascii="Calibri" w:hAnsi="Calibri"/>
          <w:b w:val="0"/>
          <w:i w:val="0"/>
          <w:color w:val="2B2B28"/>
          <w:sz w:val="22"/>
        </w:rPr>
        <w:t>The decision itself is shared, and deliberately so. The clinician confirms the medical side — and for this hip, that the joint has stayed stable under the loading you built. You bring the criteria sheet — every gate passed, with dates and numbers. And the athlete brings the piece no dynamometer measures: whether he trusts the hip in the deep, rotated positions the sport will throw at him unannounced. Ask him directly, every court week, zero to ten: “How confident are you loading the hip at full stretch, at full intent?” We track this because fear changes movement — an athlete guarding his hip moves differently, and different movement under fatigue is how new injuries get manufactured. A hip that tests strong but is not trusted is not ready, and the reverse is equally true.</w:t>
      </w:r>
    </w:p>
    <w:p>
      <w:pPr>
        <w:spacing w:before="0" w:after="160" w:line="269" w:lineRule="auto"/>
      </w:pPr>
      <w:r>
        <w:rPr>
          <w:rFonts w:ascii="Calibri" w:hAnsi="Calibri"/>
          <w:b w:val="0"/>
          <w:i w:val="0"/>
          <w:color w:val="2B2B28"/>
          <w:sz w:val="22"/>
        </w:rPr>
        <w:t>One honest thing to say out loud in this final conversation, because it is true and he deserves to hear it: this is the management of a permanent structural situation, not the cure of a temporary one. Return to performance is entirely realistic — but the strength work that built his active socket is not a phase he graduates from, it is maintenance he keeps for as long as he plays. The dynamic stabilisers are doing the passive joint’s missing job now, and they will keep doing it only as long as they stay strong. Frame that not as bad news but as ownership: he now knows exactly what keeps him on court.</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3600"/>
        <w:gridCol w:w="5750"/>
      </w:tblGrid>
      <w:tr>
        <w:tc>
          <w:tcPr>
            <w:tcW w:type="dxa" w:w="36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Final return-to-competition criteria</w:t>
            </w:r>
          </w:p>
        </w:tc>
        <w:tc>
          <w:tcPr>
            <w:tcW w:type="dxa" w:w="57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Why it earns its place</w:t>
            </w:r>
          </w:p>
        </w:tc>
      </w:tr>
      <w:tr>
        <w:tc>
          <w:tcPr>
            <w:tcW w:type="dxa" w:w="3600"/>
            <w:tcMar>
              <w:top w:w="70" w:type="dxa"/>
              <w:left w:w="130" w:type="dxa"/>
              <w:bottom w:w="70" w:type="dxa"/>
              <w:right w:w="130" w:type="dxa"/>
            </w:tcMar>
            <w:vAlign w:val="top"/>
          </w:tcPr>
          <w:p>
            <w:pPr>
              <w:spacing w:before="0" w:after="0" w:line="240" w:lineRule="auto"/>
            </w:pPr>
            <w:r>
              <w:rPr>
                <w:rFonts w:ascii="Calibri" w:hAnsi="Calibri"/>
                <w:b/>
                <w:i w:val="0"/>
                <w:color w:val="2B2B28"/>
                <w:sz w:val="20"/>
              </w:rPr>
              <w:t>Pain ≤2 across full training and match weeks, incl. next-day reports</w:t>
            </w:r>
          </w:p>
        </w:tc>
        <w:tc>
          <w:tcPr>
            <w:tcW w:type="dxa" w:w="5750"/>
            <w:tcMar>
              <w:top w:w="70" w:type="dxa"/>
              <w:left w:w="130" w:type="dxa"/>
              <w:bottom w:w="70" w:type="dxa"/>
              <w:right w:w="130" w:type="dxa"/>
            </w:tcMar>
            <w:vAlign w:val="top"/>
          </w:tcPr>
          <w:p>
            <w:pPr>
              <w:spacing w:before="0" w:after="0" w:line="240" w:lineRule="auto"/>
            </w:pPr>
            <w:r>
              <w:rPr>
                <w:rFonts w:ascii="Calibri" w:hAnsi="Calibri"/>
                <w:b/>
                <w:i w:val="0"/>
                <w:color w:val="2B2B28"/>
                <w:sz w:val="20"/>
              </w:rPr>
              <w:t>The hip tolerates the sport’s real weekly dose — deep and rotational loading included — not just single good days</w:t>
            </w:r>
          </w:p>
        </w:tc>
      </w:tr>
      <w:tr>
        <w:tc>
          <w:tcPr>
            <w:tcW w:type="dxa" w:w="3600"/>
            <w:tcMar>
              <w:top w:w="70" w:type="dxa"/>
              <w:left w:w="130" w:type="dxa"/>
              <w:bottom w:w="70" w:type="dxa"/>
              <w:right w:w="130" w:type="dxa"/>
            </w:tcMar>
            <w:vAlign w:val="top"/>
          </w:tcPr>
          <w:p>
            <w:pPr>
              <w:spacing w:before="0" w:after="0" w:line="240" w:lineRule="auto"/>
            </w:pPr>
            <w:r>
              <w:rPr>
                <w:rFonts w:ascii="Calibri" w:hAnsi="Calibri"/>
                <w:b/>
                <w:i w:val="0"/>
                <w:color w:val="2B2B28"/>
                <w:sz w:val="20"/>
              </w:rPr>
              <w:t>Dynamic control symmetrical: level pelvis under single-leg load, clean deceleration and cutting mechanics</w:t>
            </w:r>
          </w:p>
        </w:tc>
        <w:tc>
          <w:tcPr>
            <w:tcW w:type="dxa" w:w="5750"/>
            <w:tcMar>
              <w:top w:w="70" w:type="dxa"/>
              <w:left w:w="130" w:type="dxa"/>
              <w:bottom w:w="70" w:type="dxa"/>
              <w:right w:w="130" w:type="dxa"/>
            </w:tcMar>
            <w:vAlign w:val="top"/>
          </w:tcPr>
          <w:p>
            <w:pPr>
              <w:spacing w:before="0" w:after="0" w:line="240" w:lineRule="auto"/>
            </w:pPr>
            <w:r>
              <w:rPr>
                <w:rFonts w:ascii="Calibri" w:hAnsi="Calibri"/>
                <w:b/>
                <w:i w:val="0"/>
                <w:color w:val="2B2B28"/>
                <w:sz w:val="20"/>
              </w:rPr>
              <w:t>The active socket holds under exactly the tasks that threaten it</w:t>
            </w:r>
          </w:p>
        </w:tc>
      </w:tr>
      <w:tr>
        <w:tc>
          <w:tcPr>
            <w:tcW w:type="dxa" w:w="3600"/>
            <w:tcMar>
              <w:top w:w="70" w:type="dxa"/>
              <w:left w:w="130" w:type="dxa"/>
              <w:bottom w:w="70" w:type="dxa"/>
              <w:right w:w="130" w:type="dxa"/>
            </w:tcMar>
            <w:vAlign w:val="top"/>
          </w:tcPr>
          <w:p>
            <w:pPr>
              <w:spacing w:before="0" w:after="0" w:line="240" w:lineRule="auto"/>
            </w:pPr>
            <w:r>
              <w:rPr>
                <w:rFonts w:ascii="Calibri" w:hAnsi="Calibri"/>
                <w:b/>
                <w:i w:val="0"/>
                <w:color w:val="2B2B28"/>
                <w:sz w:val="20"/>
              </w:rPr>
              <w:t>Stabiliser strength (abduction, ER, adduction) at healthy-population targets, not merely symmetrical</w:t>
            </w:r>
          </w:p>
        </w:tc>
        <w:tc>
          <w:tcPr>
            <w:tcW w:type="dxa" w:w="5750"/>
            <w:tcMar>
              <w:top w:w="70" w:type="dxa"/>
              <w:left w:w="130" w:type="dxa"/>
              <w:bottom w:w="70" w:type="dxa"/>
              <w:right w:w="130" w:type="dxa"/>
            </w:tcMar>
            <w:vAlign w:val="top"/>
          </w:tcPr>
          <w:p>
            <w:pPr>
              <w:spacing w:before="0" w:after="0" w:line="240" w:lineRule="auto"/>
            </w:pPr>
            <w:r>
              <w:rPr>
                <w:rFonts w:ascii="Calibri" w:hAnsi="Calibri"/>
                <w:b/>
                <w:i w:val="0"/>
                <w:color w:val="2B2B28"/>
                <w:sz w:val="20"/>
              </w:rPr>
              <w:t>Bilateral dysplasia means “equal to the other hip” can still be under-built; we hold to an absolute standard</w:t>
            </w:r>
          </w:p>
        </w:tc>
      </w:tr>
      <w:tr>
        <w:tc>
          <w:tcPr>
            <w:tcW w:type="dxa" w:w="3600"/>
            <w:tcMar>
              <w:top w:w="70" w:type="dxa"/>
              <w:left w:w="130" w:type="dxa"/>
              <w:bottom w:w="70" w:type="dxa"/>
              <w:right w:w="130" w:type="dxa"/>
            </w:tcMar>
            <w:vAlign w:val="top"/>
          </w:tcPr>
          <w:p>
            <w:pPr>
              <w:spacing w:before="0" w:after="0" w:line="240" w:lineRule="auto"/>
            </w:pPr>
            <w:r>
              <w:rPr>
                <w:rFonts w:ascii="Calibri" w:hAnsi="Calibri"/>
                <w:b/>
                <w:i w:val="0"/>
                <w:color w:val="2B2B28"/>
                <w:sz w:val="20"/>
              </w:rPr>
              <w:t>Zero instability episodes across the full return phase</w:t>
            </w:r>
          </w:p>
        </w:tc>
        <w:tc>
          <w:tcPr>
            <w:tcW w:type="dxa" w:w="5750"/>
            <w:tcMar>
              <w:top w:w="70" w:type="dxa"/>
              <w:left w:w="130" w:type="dxa"/>
              <w:bottom w:w="70" w:type="dxa"/>
              <w:right w:w="130" w:type="dxa"/>
            </w:tcMar>
            <w:vAlign w:val="top"/>
          </w:tcPr>
          <w:p>
            <w:pPr>
              <w:spacing w:before="0" w:after="0" w:line="240" w:lineRule="auto"/>
            </w:pPr>
            <w:r>
              <w:rPr>
                <w:rFonts w:ascii="Calibri" w:hAnsi="Calibri"/>
                <w:b/>
                <w:i w:val="0"/>
                <w:color w:val="2B2B28"/>
                <w:sz w:val="20"/>
              </w:rPr>
              <w:t>The joint has stayed centred under progressive load — the core assumption of conservative management, evidenced</w:t>
            </w:r>
          </w:p>
        </w:tc>
      </w:tr>
      <w:tr>
        <w:tc>
          <w:tcPr>
            <w:tcW w:type="dxa" w:w="3600"/>
            <w:tcMar>
              <w:top w:w="70" w:type="dxa"/>
              <w:left w:w="130" w:type="dxa"/>
              <w:bottom w:w="70" w:type="dxa"/>
              <w:right w:w="130" w:type="dxa"/>
            </w:tcMar>
            <w:vAlign w:val="top"/>
          </w:tcPr>
          <w:p>
            <w:pPr>
              <w:spacing w:before="0" w:after="0" w:line="240" w:lineRule="auto"/>
            </w:pPr>
            <w:r>
              <w:rPr>
                <w:rFonts w:ascii="Calibri" w:hAnsi="Calibri"/>
                <w:b/>
                <w:i w:val="0"/>
                <w:color w:val="2B2B28"/>
                <w:sz w:val="20"/>
              </w:rPr>
              <w:t>Full graded return-to-court programme completed, deep and reactive positions included</w:t>
            </w:r>
          </w:p>
        </w:tc>
        <w:tc>
          <w:tcPr>
            <w:tcW w:type="dxa" w:w="5750"/>
            <w:tcMar>
              <w:top w:w="70" w:type="dxa"/>
              <w:left w:w="130" w:type="dxa"/>
              <w:bottom w:w="70" w:type="dxa"/>
              <w:right w:w="130" w:type="dxa"/>
            </w:tcMar>
            <w:vAlign w:val="top"/>
          </w:tcPr>
          <w:p>
            <w:pPr>
              <w:spacing w:before="0" w:after="0" w:line="240" w:lineRule="auto"/>
            </w:pPr>
            <w:r>
              <w:rPr>
                <w:rFonts w:ascii="Calibri" w:hAnsi="Calibri"/>
                <w:b/>
                <w:i w:val="0"/>
                <w:color w:val="2B2B28"/>
                <w:sz w:val="20"/>
              </w:rPr>
              <w:t>The specific demands have been rehearsed at competition intensity</w:t>
            </w:r>
          </w:p>
        </w:tc>
      </w:tr>
      <w:tr>
        <w:tc>
          <w:tcPr>
            <w:tcW w:type="dxa" w:w="3600"/>
            <w:tcMar>
              <w:top w:w="70" w:type="dxa"/>
              <w:left w:w="130" w:type="dxa"/>
              <w:bottom w:w="70" w:type="dxa"/>
              <w:right w:w="130" w:type="dxa"/>
            </w:tcMar>
            <w:vAlign w:val="top"/>
          </w:tcPr>
          <w:p>
            <w:pPr>
              <w:spacing w:before="0" w:after="0" w:line="240" w:lineRule="auto"/>
            </w:pPr>
            <w:r>
              <w:rPr>
                <w:rFonts w:ascii="Calibri" w:hAnsi="Calibri"/>
                <w:b/>
                <w:i w:val="0"/>
                <w:color w:val="2B2B28"/>
                <w:sz w:val="20"/>
              </w:rPr>
              <w:t>Athlete confidence ≥8/10 at full intent; HAGOS at target</w:t>
            </w:r>
          </w:p>
        </w:tc>
        <w:tc>
          <w:tcPr>
            <w:tcW w:type="dxa" w:w="5750"/>
            <w:tcMar>
              <w:top w:w="70" w:type="dxa"/>
              <w:left w:w="130" w:type="dxa"/>
              <w:bottom w:w="70" w:type="dxa"/>
              <w:right w:w="130" w:type="dxa"/>
            </w:tcMar>
            <w:vAlign w:val="top"/>
          </w:tcPr>
          <w:p>
            <w:pPr>
              <w:spacing w:before="0" w:after="0" w:line="240" w:lineRule="auto"/>
            </w:pPr>
            <w:r>
              <w:rPr>
                <w:rFonts w:ascii="Calibri" w:hAnsi="Calibri"/>
                <w:b/>
                <w:i w:val="0"/>
                <w:color w:val="2B2B28"/>
                <w:sz w:val="20"/>
              </w:rPr>
              <w:t>He trusts the hip — movement stays honest under pressure</w:t>
            </w:r>
          </w:p>
        </w:tc>
      </w:tr>
      <w:tr>
        <w:tc>
          <w:tcPr>
            <w:tcW w:type="dxa" w:w="3600"/>
            <w:tcMar>
              <w:top w:w="70" w:type="dxa"/>
              <w:left w:w="130" w:type="dxa"/>
              <w:bottom w:w="70" w:type="dxa"/>
              <w:right w:w="130" w:type="dxa"/>
            </w:tcMar>
            <w:vAlign w:val="top"/>
          </w:tcPr>
          <w:p>
            <w:pPr>
              <w:spacing w:before="0" w:after="0" w:line="240" w:lineRule="auto"/>
            </w:pPr>
            <w:r>
              <w:rPr>
                <w:rFonts w:ascii="Calibri" w:hAnsi="Calibri"/>
                <w:b/>
                <w:i w:val="0"/>
                <w:color w:val="2B2B28"/>
                <w:sz w:val="20"/>
              </w:rPr>
              <w:t>Written clinician sign-off, filed in the collaboration log</w:t>
            </w:r>
          </w:p>
        </w:tc>
        <w:tc>
          <w:tcPr>
            <w:tcW w:type="dxa" w:w="5750"/>
            <w:tcMar>
              <w:top w:w="70" w:type="dxa"/>
              <w:left w:w="130" w:type="dxa"/>
              <w:bottom w:w="70" w:type="dxa"/>
              <w:right w:w="130" w:type="dxa"/>
            </w:tcMar>
            <w:vAlign w:val="top"/>
          </w:tcPr>
          <w:p>
            <w:pPr>
              <w:spacing w:before="0" w:after="0" w:line="240" w:lineRule="auto"/>
            </w:pPr>
            <w:r>
              <w:rPr>
                <w:rFonts w:ascii="Calibri" w:hAnsi="Calibri"/>
                <w:b/>
                <w:i w:val="0"/>
                <w:color w:val="2B2B28"/>
                <w:sz w:val="20"/>
              </w:rPr>
              <w:t>Shared decision, documented; your scope stayed clean to the last day</w:t>
            </w:r>
          </w:p>
        </w:tc>
      </w:tr>
    </w:tbl>
    <w:p>
      <w:pPr>
        <w:spacing w:after="40"/>
      </w:pPr>
    </w:p>
    <w:p>
      <w:pPr>
        <w:pStyle w:val="Heading2"/>
        <w:spacing w:before="220" w:after="60" w:line="240" w:lineRule="auto"/>
      </w:pPr>
      <w:r>
        <w:rPr>
          <w:rFonts w:ascii="Calibri" w:hAnsi="Calibri"/>
          <w:b/>
          <w:i w:val="0"/>
          <w:color w:val="2A5C45"/>
          <w:sz w:val="25"/>
        </w:rPr>
        <w:t>Beyond return: return to performance, and the programme that never ends</w:t>
      </w:r>
    </w:p>
    <w:p>
      <w:pPr>
        <w:spacing w:before="0" w:after="160" w:line="269" w:lineRule="auto"/>
      </w:pPr>
      <w:r>
        <w:rPr>
          <w:rFonts w:ascii="Calibri" w:hAnsi="Calibri"/>
          <w:b w:val="0"/>
          <w:i w:val="0"/>
          <w:color w:val="2B2B28"/>
          <w:sz w:val="22"/>
        </w:rPr>
        <w:t xml:space="preserve">Crossing the return-to-competition line is not the end of your job; it is the handover from rehab to development. Two things follow it. First, </w:t>
      </w:r>
      <w:r>
        <w:rPr>
          <w:rFonts w:ascii="Calibri" w:hAnsi="Calibri"/>
          <w:b/>
          <w:i w:val="0"/>
          <w:color w:val="2B2B28"/>
          <w:sz w:val="22"/>
        </w:rPr>
        <w:t>return to performance</w:t>
      </w:r>
      <w:r>
        <w:rPr>
          <w:rFonts w:ascii="Calibri" w:hAnsi="Calibri"/>
          <w:b w:val="0"/>
          <w:i w:val="0"/>
          <w:color w:val="2B2B28"/>
          <w:sz w:val="22"/>
        </w:rPr>
        <w:t xml:space="preserve"> — you don’t stop at “back to where he was,” you build him past it: the injury bought six months of focused physical preparation, and a well-served athlete comes back more robust, stronger and better-braced than the version that got hurt. Fold the gains into a normal periodised programme with real performance goals. Second — and this is specific to a permanent structural situation — </w:t>
      </w:r>
      <w:r>
        <w:rPr>
          <w:rFonts w:ascii="Calibri" w:hAnsi="Calibri"/>
          <w:b/>
          <w:i w:val="0"/>
          <w:color w:val="2B2B28"/>
          <w:sz w:val="22"/>
        </w:rPr>
        <w:t>the maintenance programme that never ends.</w:t>
      </w:r>
      <w:r>
        <w:rPr>
          <w:rFonts w:ascii="Calibri" w:hAnsi="Calibri"/>
          <w:b w:val="0"/>
          <w:i w:val="0"/>
          <w:color w:val="2B2B28"/>
          <w:sz w:val="22"/>
        </w:rPr>
        <w:t xml:space="preserve"> The dynamic stability you built is doing the passive work his dysplastic socket never will, and it holds only as long as it is trained. So a distilled version of the stability work — the glute-med, the lateral chain, the trunk control — becomes permanent prehab, two or three short doses a week, for as long as he plays. Frame it as ownership, not a life sentence: he now knows exactly what keeps him on court, and it is a handful of things he can run himself.</w:t>
      </w:r>
    </w:p>
    <w:p>
      <w:pPr>
        <w:pStyle w:val="Heading1"/>
        <w:spacing w:before="320" w:after="100" w:line="240" w:lineRule="auto"/>
      </w:pPr>
      <w:r>
        <w:rPr>
          <w:rFonts w:ascii="Calibri" w:hAnsi="Calibri"/>
          <w:b/>
          <w:i w:val="0"/>
          <w:color w:val="C4522A"/>
          <w:sz w:val="30"/>
        </w:rPr>
        <w:t>Step 7 — Writing It Up: For the UKSCA, and for the Job Market</w:t>
      </w:r>
    </w:p>
    <w:p>
      <w:pPr>
        <w:spacing w:before="0" w:after="160" w:line="269" w:lineRule="auto"/>
      </w:pPr>
      <w:r>
        <w:rPr>
          <w:rFonts w:ascii="Calibri" w:hAnsi="Calibri"/>
          <w:b w:val="0"/>
          <w:i w:val="0"/>
          <w:color w:val="2B2B28"/>
          <w:sz w:val="22"/>
        </w:rPr>
        <w:t>If you documented as you went, the write-up is assembly, not archaeology. The UKSCA case study wants, in order: evidence you understood the sport and analysed its demands; an objective assessment of the athlete interpreted against those demands; a programme rationale that connects the two; an overview of the full macrocycle with detailed evidence from at least a three-month block of completed work; proof the programme integrated with the medical (and where relevant technical) team; your monitoring approach; and outcomes. Notice something? Those are exactly the steps you just ran, in exactly that order. The method is the write-up. And this particular case has a rationale assessors love, because the whole thing turns on one non-obvious decision — recognising that a dysplastic labral tear must be coached toward stability, not mobility — and every later choice inherits its authority from that call.</w:t>
      </w:r>
    </w:p>
    <w:p>
      <w:pPr>
        <w:spacing w:before="0" w:after="160" w:line="269" w:lineRule="auto"/>
      </w:pPr>
      <w:r>
        <w:rPr>
          <w:rFonts w:ascii="Calibri" w:hAnsi="Calibri"/>
          <w:b w:val="0"/>
          <w:i w:val="0"/>
          <w:color w:val="2B2B28"/>
          <w:sz w:val="22"/>
        </w:rPr>
        <w:t>The known failure patterns, so you can steer around them: presenting planned rather than completed work; presenting a programme someone else wrote; results too clean to believe; a team instead of an individual; and no visible collaboration with medical staff. Every one of those is prevented in week zero, not fixed in the final week — which is why Step 0 of this document exists.</w:t>
      </w:r>
    </w:p>
    <w:p>
      <w:pPr>
        <w:pStyle w:val="Heading2"/>
        <w:spacing w:before="220" w:after="60" w:line="240" w:lineRule="auto"/>
      </w:pPr>
      <w:r>
        <w:rPr>
          <w:rFonts w:ascii="Calibri" w:hAnsi="Calibri"/>
          <w:b/>
          <w:i w:val="0"/>
          <w:color w:val="2A5C45"/>
          <w:sz w:val="25"/>
        </w:rPr>
        <w:t>Three things assessors look for that coaches skip</w:t>
      </w:r>
    </w:p>
    <w:p>
      <w:pPr>
        <w:spacing w:before="0" w:after="160" w:line="269" w:lineRule="auto"/>
      </w:pPr>
      <w:r>
        <w:rPr>
          <w:rFonts w:ascii="Calibri" w:hAnsi="Calibri"/>
          <w:b/>
          <w:i w:val="0"/>
          <w:color w:val="2B2B28"/>
          <w:sz w:val="22"/>
        </w:rPr>
        <w:t>Reflect, in writing.</w:t>
      </w:r>
      <w:r>
        <w:rPr>
          <w:rFonts w:ascii="Calibri" w:hAnsi="Calibri"/>
          <w:b w:val="0"/>
          <w:i w:val="0"/>
          <w:color w:val="2B2B28"/>
          <w:sz w:val="22"/>
        </w:rPr>
        <w:t xml:space="preserve"> The UKSCA is assessing judgement, and judgement is most visible in honest reflection: what you planned, what actually happened, what you changed and why, and what you would do differently next time. Keep a short reflective note at every phase gate (Form 15) — the week five that went sideways and what it taught you is worth more than any smooth month.</w:t>
      </w:r>
    </w:p>
    <w:p>
      <w:pPr>
        <w:spacing w:before="0" w:after="160" w:line="269" w:lineRule="auto"/>
      </w:pPr>
      <w:r>
        <w:rPr>
          <w:rFonts w:ascii="Calibri" w:hAnsi="Calibri"/>
          <w:b/>
          <w:i w:val="0"/>
          <w:color w:val="2B2B28"/>
          <w:sz w:val="22"/>
        </w:rPr>
        <w:t>Evaluate, don’t just monitor.</w:t>
      </w:r>
      <w:r>
        <w:rPr>
          <w:rFonts w:ascii="Calibri" w:hAnsi="Calibri"/>
          <w:b w:val="0"/>
          <w:i w:val="0"/>
          <w:color w:val="2B2B28"/>
          <w:sz w:val="22"/>
        </w:rPr>
        <w:t xml:space="preserve"> Logging data is not the same as interpreting it. Close the loop: did the programme achieve its aims? Put the before-and-after numbers side by side, show the trend, and write the “so what” — this worked, this didn’t, here is my read. A case that presents data without evaluating it reads as unfinished.</w:t>
      </w:r>
    </w:p>
    <w:p>
      <w:pPr>
        <w:spacing w:before="0" w:after="160" w:line="269" w:lineRule="auto"/>
      </w:pPr>
      <w:r>
        <w:rPr>
          <w:rFonts w:ascii="Calibri" w:hAnsi="Calibri"/>
          <w:b/>
          <w:i w:val="0"/>
          <w:color w:val="2B2B28"/>
          <w:sz w:val="22"/>
        </w:rPr>
        <w:t>Reference as you reason.</w:t>
      </w:r>
      <w:r>
        <w:rPr>
          <w:rFonts w:ascii="Calibri" w:hAnsi="Calibri"/>
          <w:b w:val="0"/>
          <w:i w:val="0"/>
          <w:color w:val="2B2B28"/>
          <w:sz w:val="22"/>
        </w:rPr>
        <w:t xml:space="preserve"> Move the evidence from a reading list into the argument itself: when you justify a choice, cite the work behind it, and log each source as you go (Form 14). A rationale underpinned by named evidence is the difference between opinion and professional practice.</w:t>
      </w:r>
    </w:p>
    <w:p>
      <w:pPr>
        <w:spacing w:before="0" w:after="160" w:line="269" w:lineRule="auto"/>
      </w:pPr>
      <w:r>
        <w:rPr>
          <w:rFonts w:ascii="Calibri" w:hAnsi="Calibri"/>
          <w:b w:val="0"/>
          <w:i w:val="0"/>
          <w:color w:val="2B2B28"/>
          <w:sz w:val="22"/>
        </w:rPr>
        <w:t xml:space="preserve">And one last thing a mentor owes you: the case study is not the whole accreditation. The UKSCA also runs a </w:t>
      </w:r>
      <w:r>
        <w:rPr>
          <w:rFonts w:ascii="Calibri" w:hAnsi="Calibri"/>
          <w:b/>
          <w:i w:val="0"/>
          <w:color w:val="2B2B28"/>
          <w:sz w:val="22"/>
        </w:rPr>
        <w:t>practical assessment</w:t>
      </w:r>
      <w:r>
        <w:rPr>
          <w:rFonts w:ascii="Calibri" w:hAnsi="Calibri"/>
          <w:b w:val="0"/>
          <w:i w:val="0"/>
          <w:color w:val="2B2B28"/>
          <w:sz w:val="22"/>
        </w:rPr>
        <w:t xml:space="preserve"> of your coaching across exercise categories — lifting and its derivatives, plyometrics, speed and more — delivered live in front of an assessor. This document builds the case-study half; the practical half is earned in the room, coaching real lifts under a real assessor’s eye. Prepare for both.</w:t>
      </w:r>
    </w:p>
    <w:p>
      <w:pPr>
        <w:pStyle w:val="Heading2"/>
        <w:spacing w:before="220" w:after="60" w:line="240" w:lineRule="auto"/>
      </w:pPr>
      <w:r>
        <w:rPr>
          <w:rFonts w:ascii="Calibri" w:hAnsi="Calibri"/>
          <w:b/>
          <w:i w:val="0"/>
          <w:color w:val="2A5C45"/>
          <w:sz w:val="25"/>
        </w:rPr>
        <w:t>Translating the case for a CV or interview</w:t>
      </w:r>
    </w:p>
    <w:p>
      <w:pPr>
        <w:spacing w:before="0" w:after="160" w:line="269" w:lineRule="auto"/>
      </w:pPr>
      <w:r>
        <w:rPr>
          <w:rFonts w:ascii="Calibri" w:hAnsi="Calibri"/>
          <w:b w:val="0"/>
          <w:i w:val="0"/>
          <w:color w:val="2B2B28"/>
          <w:sz w:val="22"/>
        </w:rPr>
        <w:t>The employer version is the same story compressed to one breath: context, action, measured result. A template to adapt once the real numbers exist:</w:t>
      </w:r>
    </w:p>
    <w:p>
      <w:pPr>
        <w:spacing w:before="40" w:after="160" w:line="269" w:lineRule="auto"/>
        <w:ind w:left="432" w:right="288"/>
        <w:pBdr>
          <w:bottom w:val="single" w:sz="4" w:space="4" w:color="2A5C45"/>
        </w:pBdr>
      </w:pPr>
      <w:r>
        <w:rPr>
          <w:rFonts w:ascii="Calibri" w:hAnsi="Calibri"/>
          <w:b w:val="0"/>
          <w:i/>
          <w:color w:val="2B2B28"/>
          <w:sz w:val="22"/>
        </w:rPr>
        <w:t>“Designed and delivered a criteria-based, conservative return-to-sport programme for a [level] padel player with a hip labral tear on acetabular dysplasia, in collaboration with the treating physiotherapist; prioritised dynamic hip stability over mobility, and returned the athlete to full competition in [X] months with hip-abduction strength restored from [a] to [b] and no instability episodes at [Y]-month follow-up.”</w:t>
      </w:r>
    </w:p>
    <w:p>
      <w:pPr>
        <w:spacing w:before="0" w:after="160" w:line="269" w:lineRule="auto"/>
      </w:pPr>
      <w:r>
        <w:rPr>
          <w:rFonts w:ascii="Calibri" w:hAnsi="Calibri"/>
          <w:b w:val="0"/>
          <w:i w:val="0"/>
          <w:color w:val="2B2B28"/>
          <w:sz w:val="22"/>
        </w:rPr>
        <w:t>Every bracket in that sentence is filled by a number your documentation system captured — which is the final argument for building the system before the athlete, not after. And to close where we opened: that sentence may only ever be written about a real athlete you actually took through this. The method in this document is yours to keep; the case has to be earned on the floor. When it is, it will be worth more than any template — including this one.</w:t>
      </w:r>
    </w:p>
    <w:p>
      <w:pPr>
        <w:pStyle w:val="Heading1"/>
        <w:spacing w:before="320" w:after="100" w:line="240" w:lineRule="auto"/>
      </w:pPr>
      <w:r>
        <w:rPr>
          <w:rFonts w:ascii="Calibri" w:hAnsi="Calibri"/>
          <w:b/>
          <w:i w:val="0"/>
          <w:color w:val="C4522A"/>
          <w:sz w:val="30"/>
        </w:rPr>
        <w:t>Where to Go Deeper</w:t>
      </w:r>
    </w:p>
    <w:p>
      <w:pPr>
        <w:spacing w:before="0" w:after="160" w:line="269" w:lineRule="auto"/>
      </w:pPr>
      <w:r>
        <w:rPr>
          <w:rFonts w:ascii="Calibri" w:hAnsi="Calibri"/>
          <w:b w:val="0"/>
          <w:i w:val="0"/>
          <w:color w:val="2B2B28"/>
          <w:sz w:val="22"/>
        </w:rPr>
        <w:t>Search these names and frameworks when you want the primary sources behind the decisions above:</w:t>
      </w:r>
    </w:p>
    <w:p>
      <w:pPr>
        <w:pStyle w:val="ListBullet"/>
        <w:spacing w:before="0" w:after="80" w:line="269" w:lineRule="auto"/>
      </w:pPr>
      <w:r>
        <w:rPr>
          <w:rFonts w:ascii="Calibri" w:hAnsi="Calibri"/>
          <w:b w:val="0"/>
          <w:i w:val="0"/>
          <w:color w:val="2B2B28"/>
          <w:sz w:val="22"/>
        </w:rPr>
        <w:t>The Warwick Agreement on femoroacetabular impingement (FAI) syndrome — read it partly for what it covers and partly to understand why the dysplastic hip is the different case that needs opposite handling.</w:t>
      </w:r>
    </w:p>
    <w:p>
      <w:pPr>
        <w:pStyle w:val="ListBullet"/>
        <w:spacing w:before="0" w:after="80" w:line="269" w:lineRule="auto"/>
      </w:pPr>
      <w:r>
        <w:rPr>
          <w:rFonts w:ascii="Calibri" w:hAnsi="Calibri"/>
          <w:b w:val="0"/>
          <w:i w:val="0"/>
          <w:color w:val="2B2B28"/>
          <w:sz w:val="22"/>
        </w:rPr>
        <w:t>The literature on acetabular dysplasia and hip instability — the lateral centre-edge angle, under-coverage, and why a dysplastic labrum is overloaded rather than impinged (Wiberg’s angle; the work of Reiman, Jacobsen and colleagues).</w:t>
      </w:r>
    </w:p>
    <w:p>
      <w:pPr>
        <w:pStyle w:val="ListBullet"/>
        <w:spacing w:before="0" w:after="80" w:line="269" w:lineRule="auto"/>
      </w:pPr>
      <w:r>
        <w:rPr>
          <w:rFonts w:ascii="Calibri" w:hAnsi="Calibri"/>
          <w:b w:val="0"/>
          <w:i w:val="0"/>
          <w:color w:val="2B2B28"/>
          <w:sz w:val="22"/>
        </w:rPr>
        <w:t>The acetabular labrum’s role — the suction seal and fluid pressurisation (Ferguson, Philippon, Nepple).</w:t>
      </w:r>
    </w:p>
    <w:p>
      <w:pPr>
        <w:pStyle w:val="ListBullet"/>
        <w:spacing w:before="0" w:after="80" w:line="269" w:lineRule="auto"/>
      </w:pPr>
      <w:r>
        <w:rPr>
          <w:rFonts w:ascii="Calibri" w:hAnsi="Calibri"/>
          <w:b w:val="0"/>
          <w:i w:val="0"/>
          <w:color w:val="2B2B28"/>
          <w:sz w:val="22"/>
        </w:rPr>
        <w:t>The Doha agreement on groin pain in athletes, and clinical guidelines for non-arthritic hip pain (Enseki, Kemp) — for classification and rehab structure.</w:t>
      </w:r>
    </w:p>
    <w:p>
      <w:pPr>
        <w:pStyle w:val="ListBullet"/>
        <w:spacing w:before="0" w:after="80" w:line="269" w:lineRule="auto"/>
      </w:pPr>
      <w:r>
        <w:rPr>
          <w:rFonts w:ascii="Calibri" w:hAnsi="Calibri"/>
          <w:b w:val="0"/>
          <w:i w:val="0"/>
          <w:color w:val="2B2B28"/>
          <w:sz w:val="22"/>
        </w:rPr>
        <w:t>Thorborg’s work on adductor strength, the Copenhagen exercise, and the HAGOS outcome measure.</w:t>
      </w:r>
    </w:p>
    <w:p>
      <w:pPr>
        <w:pStyle w:val="ListBullet"/>
        <w:spacing w:before="0" w:after="80" w:line="269" w:lineRule="auto"/>
      </w:pPr>
      <w:r>
        <w:rPr>
          <w:rFonts w:ascii="Calibri" w:hAnsi="Calibri"/>
          <w:b w:val="0"/>
          <w:i w:val="0"/>
          <w:color w:val="2B2B28"/>
          <w:sz w:val="22"/>
        </w:rPr>
        <w:t>Return-to-sport criteria after hip and groin injury (Kemp, Reiman) — the criteria logic behind Phase 4.</w:t>
      </w:r>
    </w:p>
    <w:p>
      <w:pPr>
        <w:pStyle w:val="ListBullet"/>
        <w:spacing w:before="0" w:after="80" w:line="269" w:lineRule="auto"/>
      </w:pPr>
      <w:r>
        <w:rPr>
          <w:rFonts w:ascii="Calibri" w:hAnsi="Calibri"/>
          <w:b w:val="0"/>
          <w:i w:val="0"/>
          <w:color w:val="2B2B28"/>
          <w:sz w:val="22"/>
        </w:rPr>
        <w:t>The 2016 Bern consensus on return to sport — the return-to-participation / sport / performance continuum and shared decision-making.</w:t>
      </w:r>
    </w:p>
    <w:p>
      <w:pPr>
        <w:pStyle w:val="Heading1"/>
        <w:spacing w:before="320" w:after="100" w:line="240" w:lineRule="auto"/>
      </w:pPr>
      <w:r>
        <w:rPr>
          <w:rFonts w:ascii="Calibri" w:hAnsi="Calibri"/>
          <w:b/>
          <w:i w:val="0"/>
          <w:color w:val="C4522A"/>
          <w:sz w:val="30"/>
        </w:rPr>
        <w:t>Appendix A — One-Page Working Checklist</w:t>
      </w:r>
    </w:p>
    <w:p>
      <w:pPr>
        <w:pStyle w:val="Heading2"/>
        <w:spacing w:before="220" w:after="60" w:line="240" w:lineRule="auto"/>
      </w:pPr>
      <w:r>
        <w:rPr>
          <w:rFonts w:ascii="Calibri" w:hAnsi="Calibri"/>
          <w:b/>
          <w:i w:val="0"/>
          <w:color w:val="2A5C45"/>
          <w:sz w:val="25"/>
        </w:rPr>
        <w:t>Day zero</w:t>
      </w:r>
    </w:p>
    <w:p>
      <w:pPr>
        <w:pStyle w:val="ListBullet"/>
        <w:spacing w:before="0" w:after="80" w:line="269" w:lineRule="auto"/>
      </w:pPr>
      <w:r>
        <w:rPr>
          <w:rFonts w:ascii="Calibri" w:hAnsi="Calibri"/>
          <w:b w:val="0"/>
          <w:i w:val="0"/>
          <w:color w:val="2B2B28"/>
          <w:sz w:val="22"/>
        </w:rPr>
        <w:t>Written diagnosis, bony morphology (dysplasia confirmed), contraindications, and red-flag list from the clinician</w:t>
      </w:r>
    </w:p>
    <w:p>
      <w:pPr>
        <w:pStyle w:val="ListBullet"/>
        <w:spacing w:before="0" w:after="80" w:line="269" w:lineRule="auto"/>
      </w:pPr>
      <w:r>
        <w:rPr>
          <w:rFonts w:ascii="Calibri" w:hAnsi="Calibri"/>
          <w:b w:val="0"/>
          <w:i w:val="0"/>
          <w:color w:val="2B2B28"/>
          <w:sz w:val="22"/>
        </w:rPr>
        <w:t>Athlete written consent — data recording, sharing with medical team, anonymised portfolio use</w:t>
      </w:r>
    </w:p>
    <w:p>
      <w:pPr>
        <w:pStyle w:val="ListBullet"/>
        <w:spacing w:before="0" w:after="80" w:line="269" w:lineRule="auto"/>
      </w:pPr>
      <w:r>
        <w:rPr>
          <w:rFonts w:ascii="Calibri" w:hAnsi="Calibri"/>
          <w:b w:val="0"/>
          <w:i w:val="0"/>
          <w:color w:val="2B2B28"/>
          <w:sz w:val="22"/>
        </w:rPr>
        <w:t>Baseline battery booked; documentation system open; collaboration log started (entry #1: the clinician call)</w:t>
      </w:r>
    </w:p>
    <w:p>
      <w:pPr>
        <w:pStyle w:val="Heading2"/>
        <w:spacing w:before="220" w:after="60" w:line="240" w:lineRule="auto"/>
      </w:pPr>
      <w:r>
        <w:rPr>
          <w:rFonts w:ascii="Calibri" w:hAnsi="Calibri"/>
          <w:b/>
          <w:i w:val="0"/>
          <w:color w:val="2A5C45"/>
          <w:sz w:val="25"/>
        </w:rPr>
        <w:t>Every phase gate</w:t>
      </w:r>
    </w:p>
    <w:p>
      <w:pPr>
        <w:pStyle w:val="ListBullet"/>
        <w:spacing w:before="0" w:after="80" w:line="269" w:lineRule="auto"/>
      </w:pPr>
      <w:r>
        <w:rPr>
          <w:rFonts w:ascii="Calibri" w:hAnsi="Calibri"/>
          <w:b w:val="0"/>
          <w:i w:val="0"/>
          <w:color w:val="2B2B28"/>
          <w:sz w:val="22"/>
        </w:rPr>
        <w:t>Full retest of the hip battery, same conditions as baseline, results side-by-side, read on absolute terms not just symmetry</w:t>
      </w:r>
    </w:p>
    <w:p>
      <w:pPr>
        <w:pStyle w:val="ListBullet"/>
        <w:spacing w:before="0" w:after="80" w:line="269" w:lineRule="auto"/>
      </w:pPr>
      <w:r>
        <w:rPr>
          <w:rFonts w:ascii="Calibri" w:hAnsi="Calibri"/>
          <w:b w:val="0"/>
          <w:i w:val="0"/>
          <w:color w:val="2B2B28"/>
          <w:sz w:val="22"/>
        </w:rPr>
        <w:t>Every exit criterion met — if not, step back one exposure level and note the response</w:t>
      </w:r>
    </w:p>
    <w:p>
      <w:pPr>
        <w:pStyle w:val="ListBullet"/>
        <w:spacing w:before="0" w:after="80" w:line="269" w:lineRule="auto"/>
      </w:pPr>
      <w:r>
        <w:rPr>
          <w:rFonts w:ascii="Calibri" w:hAnsi="Calibri"/>
          <w:b w:val="0"/>
          <w:i w:val="0"/>
          <w:color w:val="2B2B28"/>
          <w:sz w:val="22"/>
        </w:rPr>
        <w:t>Clinician informed of the progression; entry added to the collaboration log</w:t>
      </w:r>
    </w:p>
    <w:p>
      <w:pPr>
        <w:pStyle w:val="ListBullet"/>
        <w:spacing w:before="0" w:after="80" w:line="269" w:lineRule="auto"/>
      </w:pPr>
      <w:r>
        <w:rPr>
          <w:rFonts w:ascii="Calibri" w:hAnsi="Calibri"/>
          <w:b w:val="0"/>
          <w:i w:val="0"/>
          <w:color w:val="2B2B28"/>
          <w:sz w:val="22"/>
        </w:rPr>
        <w:t>Global battery (CMJ, jumps, med-ball) checked — the rest of the athlete is holding or improving</w:t>
      </w:r>
    </w:p>
    <w:p>
      <w:pPr>
        <w:pStyle w:val="Heading2"/>
        <w:spacing w:before="220" w:after="60" w:line="240" w:lineRule="auto"/>
      </w:pPr>
      <w:r>
        <w:rPr>
          <w:rFonts w:ascii="Calibri" w:hAnsi="Calibri"/>
          <w:b/>
          <w:i w:val="0"/>
          <w:color w:val="2A5C45"/>
          <w:sz w:val="25"/>
        </w:rPr>
        <w:t>Weekly, without exception</w:t>
      </w:r>
    </w:p>
    <w:p>
      <w:pPr>
        <w:pStyle w:val="ListBullet"/>
        <w:spacing w:before="0" w:after="80" w:line="269" w:lineRule="auto"/>
      </w:pPr>
      <w:r>
        <w:rPr>
          <w:rFonts w:ascii="Calibri" w:hAnsi="Calibri"/>
          <w:b w:val="0"/>
          <w:i w:val="0"/>
          <w:color w:val="2B2B28"/>
          <w:sz w:val="22"/>
        </w:rPr>
        <w:t>Sessions completed, sRPE (court load included), worst daily hip/groin pain and trend, any instability sensation, sleep, readiness, one focus given</w:t>
      </w:r>
    </w:p>
    <w:p>
      <w:pPr>
        <w:pStyle w:val="ListBullet"/>
        <w:spacing w:before="0" w:after="80" w:line="269" w:lineRule="auto"/>
      </w:pPr>
      <w:r>
        <w:rPr>
          <w:rFonts w:ascii="Calibri" w:hAnsi="Calibri"/>
          <w:b w:val="0"/>
          <w:i w:val="0"/>
          <w:color w:val="2B2B28"/>
          <w:sz w:val="22"/>
        </w:rPr>
        <w:t>Traffic-light check on every next-morning report; regress on red, note on amber; instability sensation goes straight to the physio</w:t>
      </w:r>
    </w:p>
    <w:p>
      <w:pPr>
        <w:pStyle w:val="ListBullet"/>
        <w:spacing w:before="0" w:after="80" w:line="269" w:lineRule="auto"/>
      </w:pPr>
      <w:r>
        <w:rPr>
          <w:rFonts w:ascii="Calibri" w:hAnsi="Calibri"/>
          <w:b w:val="0"/>
          <w:i w:val="0"/>
          <w:color w:val="2B2B28"/>
          <w:sz w:val="22"/>
        </w:rPr>
        <w:t>Heavy hinge never the day before a match; one clear day between lower sessions</w:t>
      </w:r>
    </w:p>
    <w:p>
      <w:pPr>
        <w:pStyle w:val="Heading2"/>
        <w:spacing w:before="220" w:after="60" w:line="240" w:lineRule="auto"/>
      </w:pPr>
      <w:r>
        <w:rPr>
          <w:rFonts w:ascii="Calibri" w:hAnsi="Calibri"/>
          <w:b/>
          <w:i w:val="0"/>
          <w:color w:val="2A5C45"/>
          <w:sz w:val="25"/>
        </w:rPr>
        <w:t>Final return</w:t>
      </w:r>
    </w:p>
    <w:p>
      <w:pPr>
        <w:pStyle w:val="ListBullet"/>
        <w:spacing w:before="0" w:after="80" w:line="269" w:lineRule="auto"/>
      </w:pPr>
      <w:r>
        <w:rPr>
          <w:rFonts w:ascii="Calibri" w:hAnsi="Calibri"/>
          <w:b w:val="0"/>
          <w:i w:val="0"/>
          <w:color w:val="2B2B28"/>
          <w:sz w:val="22"/>
        </w:rPr>
        <w:t>All return-to-competition criteria met, with dates and numbers on one sheet</w:t>
      </w:r>
    </w:p>
    <w:p>
      <w:pPr>
        <w:pStyle w:val="ListBullet"/>
        <w:spacing w:before="0" w:after="80" w:line="269" w:lineRule="auto"/>
      </w:pPr>
      <w:r>
        <w:rPr>
          <w:rFonts w:ascii="Calibri" w:hAnsi="Calibri"/>
          <w:b w:val="0"/>
          <w:i w:val="0"/>
          <w:color w:val="2B2B28"/>
          <w:sz w:val="22"/>
        </w:rPr>
        <w:t>Clinician sign-off in writing; athlete confidence ≥8/10; staged match plan agreed</w:t>
      </w:r>
    </w:p>
    <w:p>
      <w:pPr>
        <w:pStyle w:val="ListBullet"/>
        <w:spacing w:before="0" w:after="80" w:line="269" w:lineRule="auto"/>
      </w:pPr>
      <w:r>
        <w:rPr>
          <w:rFonts w:ascii="Calibri" w:hAnsi="Calibri"/>
          <w:b w:val="0"/>
          <w:i w:val="0"/>
          <w:color w:val="2B2B28"/>
          <w:sz w:val="22"/>
        </w:rPr>
        <w:t>Case file assembled: needs analysis, baseline, rationale, phase records, logs, outcomes, reflection — and the maintenance plan he keeps for good</w:t>
      </w:r>
    </w:p>
    <w:p>
      <w:pPr>
        <w:pStyle w:val="Heading1"/>
        <w:spacing w:before="320" w:after="100" w:line="240" w:lineRule="auto"/>
      </w:pPr>
      <w:r>
        <w:rPr>
          <w:rFonts w:ascii="Calibri" w:hAnsi="Calibri"/>
          <w:b/>
          <w:i w:val="0"/>
          <w:color w:val="C4522A"/>
          <w:sz w:val="30"/>
        </w:rPr>
        <w:t>Appendix B — The Forms, Ready to Use</w:t>
      </w:r>
    </w:p>
    <w:p>
      <w:pPr>
        <w:spacing w:before="0" w:after="160" w:line="269" w:lineRule="auto"/>
      </w:pPr>
      <w:r>
        <w:rPr>
          <w:rFonts w:ascii="Calibri" w:hAnsi="Calibri"/>
          <w:b w:val="0"/>
          <w:i w:val="0"/>
          <w:color w:val="2B2B28"/>
          <w:sz w:val="22"/>
        </w:rPr>
        <w:t>Everything the document asked you to “document” is here as a form you can copy straight onto paper or into a spreadsheet. Fill the blanks; keep every version. The example rows (marked “ex.”) show what a real, honest, slightly-bumpy record looks like — copy the format, not the numbers.</w:t>
      </w:r>
    </w:p>
    <w:p>
      <w:pPr>
        <w:pStyle w:val="Heading2"/>
        <w:spacing w:before="220" w:after="60" w:line="240" w:lineRule="auto"/>
      </w:pPr>
      <w:r>
        <w:rPr>
          <w:rFonts w:ascii="Calibri" w:hAnsi="Calibri"/>
          <w:b/>
          <w:i w:val="0"/>
          <w:color w:val="2A5C45"/>
          <w:sz w:val="25"/>
        </w:rPr>
        <w:t>Form 1 — Medical clearance &amp; contraindications (fill this from the clinician call)</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650"/>
        <w:gridCol w:w="6700"/>
      </w:tblGrid>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Athlete / date</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Clinician name &amp; contact</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Exact diagnosis</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superior acetabular labral tear, right hip</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Bony morphology (the key one)</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bilateral acetabular dysplasia, right worse; lateral centre-edge angle ___°; any instability? Y / N</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Positions / loads off-limits — and until when</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no end-range flexion, no deep loaded squat, no aggressive stretching</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Red-flag symptoms → send back to clinician</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joint shifting/clunking, locking, new night pain, numbness</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Rehab phase criteria &amp; rough timeline</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What he does in rehab each week</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Preferred contact method &amp; frequency</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Is surgery on the table? What would tip us toward it?</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recurrent instability, failure to progress → PAO / labral repair opinion</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Clinician signature / date</w:t>
            </w:r>
          </w:p>
        </w:tc>
        <w:tc>
          <w:tcPr>
            <w:tcW w:type="dxa" w:w="6700"/>
            <w:tcMar>
              <w:top w:w="70" w:type="dxa"/>
              <w:left w:w="130" w:type="dxa"/>
              <w:bottom w:w="70" w:type="dxa"/>
              <w:right w:w="130" w:type="dxa"/>
            </w:tcMar>
            <w:vAlign w:val="top"/>
          </w:tcPr>
          <w:p>
            <w:pPr>
              <w:spacing w:before="0" w:after="0" w:line="240" w:lineRule="auto"/>
            </w:pPr>
          </w:p>
        </w:tc>
      </w:tr>
    </w:tbl>
    <w:p>
      <w:pPr>
        <w:spacing w:after="40"/>
      </w:pPr>
    </w:p>
    <w:p>
      <w:pPr>
        <w:pStyle w:val="Heading2"/>
        <w:spacing w:before="220" w:after="60" w:line="240" w:lineRule="auto"/>
      </w:pPr>
      <w:r>
        <w:rPr>
          <w:rFonts w:ascii="Calibri" w:hAnsi="Calibri"/>
          <w:b/>
          <w:i w:val="0"/>
          <w:color w:val="2A5C45"/>
          <w:sz w:val="25"/>
        </w:rPr>
        <w:t>Form 2 — Athlete consent (sample wording — adapt and sign)</w:t>
      </w:r>
    </w:p>
    <w:p>
      <w:pPr>
        <w:spacing w:before="0" w:after="160" w:line="269" w:lineRule="auto"/>
      </w:pPr>
      <w:r>
        <w:rPr>
          <w:rFonts w:ascii="Calibri" w:hAnsi="Calibri"/>
          <w:b w:val="0"/>
          <w:i w:val="0"/>
          <w:color w:val="2B2B28"/>
          <w:sz w:val="22"/>
        </w:rPr>
        <w:t>“I, [athlete name], agree that [coach name] may record my training, testing and health information for the purpose of designing and monitoring my programme; may share relevant information with my treating medical team; and may use my information, in an anonymised form, for professional development, accreditation (including UKSCA) and portfolio purposes. I understand I can withdraw this consent at any time.”</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650"/>
        <w:gridCol w:w="6700"/>
      </w:tblGrid>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Athlete signature / date</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Coach signature / date</w:t>
            </w:r>
          </w:p>
        </w:tc>
        <w:tc>
          <w:tcPr>
            <w:tcW w:type="dxa" w:w="6700"/>
            <w:tcMar>
              <w:top w:w="70" w:type="dxa"/>
              <w:left w:w="130" w:type="dxa"/>
              <w:bottom w:w="70" w:type="dxa"/>
              <w:right w:w="130" w:type="dxa"/>
            </w:tcMar>
            <w:vAlign w:val="top"/>
          </w:tcPr>
          <w:p>
            <w:pPr>
              <w:spacing w:before="0" w:after="0" w:line="240" w:lineRule="auto"/>
            </w:pPr>
          </w:p>
        </w:tc>
      </w:tr>
    </w:tbl>
    <w:p>
      <w:pPr>
        <w:spacing w:after="40"/>
      </w:pPr>
    </w:p>
    <w:p>
      <w:pPr>
        <w:pStyle w:val="Heading2"/>
        <w:spacing w:before="220" w:after="60" w:line="240" w:lineRule="auto"/>
      </w:pPr>
      <w:r>
        <w:rPr>
          <w:rFonts w:ascii="Calibri" w:hAnsi="Calibri"/>
          <w:b/>
          <w:i w:val="0"/>
          <w:color w:val="2A5C45"/>
          <w:sz w:val="25"/>
        </w:rPr>
        <w:t>Form 3 — Baseline testing record sheet (repeat identically every 4 weeks)</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3050"/>
        <w:gridCol w:w="1500"/>
        <w:gridCol w:w="1500"/>
        <w:gridCol w:w="1400"/>
        <w:gridCol w:w="1900"/>
      </w:tblGrid>
      <w:tr>
        <w:tc>
          <w:tcPr>
            <w:tcW w:type="dxa" w:w="30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Test</w:t>
            </w:r>
          </w:p>
        </w:tc>
        <w:tc>
          <w:tcPr>
            <w:tcW w:type="dxa" w:w="15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Injured (R)</w:t>
            </w:r>
          </w:p>
        </w:tc>
        <w:tc>
          <w:tcPr>
            <w:tcW w:type="dxa" w:w="15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Other (L)</w:t>
            </w:r>
          </w:p>
        </w:tc>
        <w:tc>
          <w:tcPr>
            <w:tcW w:type="dxa" w:w="14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Symmetry %</w:t>
            </w:r>
          </w:p>
        </w:tc>
        <w:tc>
          <w:tcPr>
            <w:tcW w:type="dxa" w:w="19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Date / notes</w:t>
            </w: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Pain NRS — rest / night / loaded</w:t>
            </w:r>
          </w:p>
        </w:tc>
        <w:tc>
          <w:tcPr>
            <w:tcW w:type="dxa" w:w="150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t>
            </w: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Hip flexion / IR / ER (degrees)</w:t>
            </w:r>
          </w:p>
        </w:tc>
        <w:tc>
          <w:tcPr>
            <w:tcW w:type="dxa" w:w="150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00"/>
            <w:tcMar>
              <w:top w:w="70" w:type="dxa"/>
              <w:left w:w="130" w:type="dxa"/>
              <w:bottom w:w="70" w:type="dxa"/>
              <w:right w:w="130" w:type="dxa"/>
            </w:tcMar>
            <w:vAlign w:val="top"/>
          </w:tcPr>
          <w:p>
            <w:pPr>
              <w:spacing w:before="0" w:after="0" w:line="240" w:lineRule="auto"/>
            </w:pP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Abduction strength (kg)</w:t>
            </w:r>
          </w:p>
        </w:tc>
        <w:tc>
          <w:tcPr>
            <w:tcW w:type="dxa" w:w="150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00"/>
            <w:tcMar>
              <w:top w:w="70" w:type="dxa"/>
              <w:left w:w="130" w:type="dxa"/>
              <w:bottom w:w="70" w:type="dxa"/>
              <w:right w:w="130" w:type="dxa"/>
            </w:tcMar>
            <w:vAlign w:val="top"/>
          </w:tcPr>
          <w:p>
            <w:pPr>
              <w:spacing w:before="0" w:after="0" w:line="240" w:lineRule="auto"/>
            </w:pP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Adduction strength (kg)</w:t>
            </w:r>
          </w:p>
        </w:tc>
        <w:tc>
          <w:tcPr>
            <w:tcW w:type="dxa" w:w="150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00"/>
            <w:tcMar>
              <w:top w:w="70" w:type="dxa"/>
              <w:left w:w="130" w:type="dxa"/>
              <w:bottom w:w="70" w:type="dxa"/>
              <w:right w:w="130" w:type="dxa"/>
            </w:tcMar>
            <w:vAlign w:val="top"/>
          </w:tcPr>
          <w:p>
            <w:pPr>
              <w:spacing w:before="0" w:after="0" w:line="240" w:lineRule="auto"/>
            </w:pP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Extension / ext. rotation strength (kg)</w:t>
            </w:r>
          </w:p>
        </w:tc>
        <w:tc>
          <w:tcPr>
            <w:tcW w:type="dxa" w:w="150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00"/>
            <w:tcMar>
              <w:top w:w="70" w:type="dxa"/>
              <w:left w:w="130" w:type="dxa"/>
              <w:bottom w:w="70" w:type="dxa"/>
              <w:right w:w="130" w:type="dxa"/>
            </w:tcMar>
            <w:vAlign w:val="top"/>
          </w:tcPr>
          <w:p>
            <w:pPr>
              <w:spacing w:before="0" w:after="0" w:line="240" w:lineRule="auto"/>
            </w:pP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Adduction : abduction ratio</w:t>
            </w:r>
          </w:p>
        </w:tc>
        <w:tc>
          <w:tcPr>
            <w:tcW w:type="dxa" w:w="150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t>
            </w: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Single-leg stance / step-down (pass–fail + note)</w:t>
            </w:r>
          </w:p>
        </w:tc>
        <w:tc>
          <w:tcPr>
            <w:tcW w:type="dxa" w:w="150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t>
            </w: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Copenhagen reps / side-plank hold (s)</w:t>
            </w:r>
          </w:p>
        </w:tc>
        <w:tc>
          <w:tcPr>
            <w:tcW w:type="dxa" w:w="150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00"/>
            <w:tcMar>
              <w:top w:w="70" w:type="dxa"/>
              <w:left w:w="130" w:type="dxa"/>
              <w:bottom w:w="70" w:type="dxa"/>
              <w:right w:w="130" w:type="dxa"/>
            </w:tcMar>
            <w:vAlign w:val="top"/>
          </w:tcPr>
          <w:p>
            <w:pPr>
              <w:spacing w:before="0" w:after="0" w:line="240" w:lineRule="auto"/>
            </w:pP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Single-leg hop-and-hold (quality, from mid-phase)</w:t>
            </w:r>
          </w:p>
        </w:tc>
        <w:tc>
          <w:tcPr>
            <w:tcW w:type="dxa" w:w="150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00"/>
            <w:tcMar>
              <w:top w:w="70" w:type="dxa"/>
              <w:left w:w="130" w:type="dxa"/>
              <w:bottom w:w="70" w:type="dxa"/>
              <w:right w:w="130" w:type="dxa"/>
            </w:tcMar>
            <w:vAlign w:val="top"/>
          </w:tcPr>
          <w:p>
            <w:pPr>
              <w:spacing w:before="0" w:after="0" w:line="240" w:lineRule="auto"/>
            </w:pP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HAGOS (each subscale /100)</w:t>
            </w:r>
          </w:p>
        </w:tc>
        <w:tc>
          <w:tcPr>
            <w:tcW w:type="dxa" w:w="150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t>
            </w: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CMJ height / broad jump (global)</w:t>
            </w:r>
          </w:p>
        </w:tc>
        <w:tc>
          <w:tcPr>
            <w:tcW w:type="dxa" w:w="150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00"/>
            <w:tcMar>
              <w:top w:w="70" w:type="dxa"/>
              <w:left w:w="130" w:type="dxa"/>
              <w:bottom w:w="70" w:type="dxa"/>
              <w:right w:w="130" w:type="dxa"/>
            </w:tcMar>
            <w:vAlign w:val="top"/>
          </w:tcPr>
          <w:p>
            <w:pPr>
              <w:spacing w:before="0" w:after="0" w:line="240" w:lineRule="auto"/>
            </w:pPr>
          </w:p>
        </w:tc>
        <w:tc>
          <w:tcPr>
            <w:tcW w:type="dxa" w:w="1900"/>
            <w:tcMar>
              <w:top w:w="70" w:type="dxa"/>
              <w:left w:w="130" w:type="dxa"/>
              <w:bottom w:w="70" w:type="dxa"/>
              <w:right w:w="130" w:type="dxa"/>
            </w:tcMar>
            <w:vAlign w:val="top"/>
          </w:tcPr>
          <w:p>
            <w:pPr>
              <w:spacing w:before="0" w:after="0" w:line="240" w:lineRule="auto"/>
            </w:pPr>
          </w:p>
        </w:tc>
      </w:tr>
    </w:tbl>
    <w:p>
      <w:pPr>
        <w:spacing w:after="40"/>
      </w:pPr>
    </w:p>
    <w:p>
      <w:pPr>
        <w:spacing w:before="0" w:after="140" w:line="269" w:lineRule="auto"/>
      </w:pPr>
      <w:r>
        <w:rPr>
          <w:rFonts w:ascii="Calibri" w:hAnsi="Calibri"/>
          <w:b w:val="0"/>
          <w:i/>
          <w:color w:val="6B6B66"/>
          <w:sz w:val="20"/>
        </w:rPr>
        <w:t>Worked example (right hip, week 1): abduction 30 kg vs left 37 kg = 81% — below target, top priority. Single-leg stance: pelvis drops on the right, trunk lurches — positive Trendelenburg, that’s the first thing we fix. End-range flexion: not tested (dysplastic instability, per physio). This is honest, unflattering baseline data — exactly what you want on day one.</w:t>
      </w:r>
    </w:p>
    <w:p>
      <w:pPr>
        <w:pStyle w:val="Heading2"/>
        <w:spacing w:before="220" w:after="60" w:line="240" w:lineRule="auto"/>
      </w:pPr>
      <w:r>
        <w:rPr>
          <w:rFonts w:ascii="Calibri" w:hAnsi="Calibri"/>
          <w:b/>
          <w:i w:val="0"/>
          <w:color w:val="2A5C45"/>
          <w:sz w:val="25"/>
        </w:rPr>
        <w:t>Form 4 — Weekly monitoring log</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850"/>
        <w:gridCol w:w="1650"/>
        <w:gridCol w:w="1650"/>
        <w:gridCol w:w="1150"/>
        <w:gridCol w:w="1450"/>
        <w:gridCol w:w="2600"/>
      </w:tblGrid>
      <w:tr>
        <w:tc>
          <w:tcPr>
            <w:tcW w:type="dxa" w:w="8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Week</w:t>
            </w:r>
          </w:p>
        </w:tc>
        <w:tc>
          <w:tcPr>
            <w:tcW w:type="dxa" w:w="16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Sessions done/plan · avg sRPE</w:t>
            </w:r>
          </w:p>
        </w:tc>
        <w:tc>
          <w:tcPr>
            <w:tcW w:type="dxa" w:w="16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Worst daily hip pain (0–10) &amp; trend</w:t>
            </w:r>
          </w:p>
        </w:tc>
        <w:tc>
          <w:tcPr>
            <w:tcW w:type="dxa" w:w="11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Instability sensation?</w:t>
            </w:r>
          </w:p>
        </w:tc>
        <w:tc>
          <w:tcPr>
            <w:tcW w:type="dxa" w:w="14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Sleep / readiness (1–10)</w:t>
            </w:r>
          </w:p>
        </w:tc>
        <w:tc>
          <w:tcPr>
            <w:tcW w:type="dxa" w:w="26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Coaching focus + flags / action</w:t>
            </w:r>
          </w:p>
        </w:tc>
      </w:tr>
      <w:tr>
        <w:trPr>
          <w:trHeight w:val="300" w:hRule="atLeast"/>
        </w:trPr>
        <w:tc>
          <w:tcPr>
            <w:tcW w:type="dxa" w:w="8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1 (ex.)</w:t>
            </w:r>
          </w:p>
        </w:tc>
        <w:tc>
          <w:tcPr>
            <w:tcW w:type="dxa" w:w="16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4/4 · RPE 6</w:t>
            </w:r>
          </w:p>
        </w:tc>
        <w:tc>
          <w:tcPr>
            <w:tcW w:type="dxa" w:w="16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2, steady</w:t>
            </w:r>
          </w:p>
        </w:tc>
        <w:tc>
          <w:tcPr>
            <w:tcW w:type="dxa" w:w="11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No</w:t>
            </w:r>
          </w:p>
        </w:tc>
        <w:tc>
          <w:tcPr>
            <w:tcW w:type="dxa" w:w="14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7 / 7</w:t>
            </w:r>
          </w:p>
        </w:tc>
        <w:tc>
          <w:tcPr>
            <w:tcW w:type="dxa" w:w="26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Calibrate loads, own the single-leg stance. Green.</w:t>
            </w:r>
          </w:p>
        </w:tc>
      </w:tr>
      <w:tr>
        <w:trPr>
          <w:trHeight w:val="300" w:hRule="atLeast"/>
        </w:trPr>
        <w:tc>
          <w:tcPr>
            <w:tcW w:type="dxa" w:w="8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5 (ex.)</w:t>
            </w:r>
          </w:p>
        </w:tc>
        <w:tc>
          <w:tcPr>
            <w:tcW w:type="dxa" w:w="16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2/4 · RPE 8</w:t>
            </w:r>
          </w:p>
        </w:tc>
        <w:tc>
          <w:tcPr>
            <w:tcW w:type="dxa" w:w="16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4, up after a long match Sat</w:t>
            </w:r>
          </w:p>
        </w:tc>
        <w:tc>
          <w:tcPr>
            <w:tcW w:type="dxa" w:w="11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No</w:t>
            </w:r>
          </w:p>
        </w:tc>
        <w:tc>
          <w:tcPr>
            <w:tcW w:type="dxa" w:w="14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5 / 4</w:t>
            </w:r>
          </w:p>
        </w:tc>
        <w:tc>
          <w:tcPr>
            <w:tcW w:type="dxa" w:w="26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Match ran to 3 sets — pulled Mon lower day, added a recovery day. Amber, watched.</w:t>
            </w:r>
          </w:p>
        </w:tc>
      </w:tr>
      <w:tr>
        <w:trPr>
          <w:trHeight w:val="300" w:hRule="atLeast"/>
        </w:trPr>
        <w:tc>
          <w:tcPr>
            <w:tcW w:type="dxa" w:w="850"/>
            <w:tcMar>
              <w:top w:w="70" w:type="dxa"/>
              <w:left w:w="130" w:type="dxa"/>
              <w:bottom w:w="70" w:type="dxa"/>
              <w:right w:w="130" w:type="dxa"/>
            </w:tcMar>
            <w:vAlign w:val="top"/>
          </w:tcPr>
          <w:p>
            <w:pPr>
              <w:spacing w:before="0" w:after="0" w:line="240" w:lineRule="auto"/>
            </w:pPr>
          </w:p>
        </w:tc>
        <w:tc>
          <w:tcPr>
            <w:tcW w:type="dxa" w:w="1650"/>
            <w:tcMar>
              <w:top w:w="70" w:type="dxa"/>
              <w:left w:w="130" w:type="dxa"/>
              <w:bottom w:w="70" w:type="dxa"/>
              <w:right w:w="130" w:type="dxa"/>
            </w:tcMar>
            <w:vAlign w:val="top"/>
          </w:tcPr>
          <w:p>
            <w:pPr>
              <w:spacing w:before="0" w:after="0" w:line="240" w:lineRule="auto"/>
            </w:pPr>
          </w:p>
        </w:tc>
        <w:tc>
          <w:tcPr>
            <w:tcW w:type="dxa" w:w="1650"/>
            <w:tcMar>
              <w:top w:w="70" w:type="dxa"/>
              <w:left w:w="130" w:type="dxa"/>
              <w:bottom w:w="70" w:type="dxa"/>
              <w:right w:w="130" w:type="dxa"/>
            </w:tcMar>
            <w:vAlign w:val="top"/>
          </w:tcPr>
          <w:p>
            <w:pPr>
              <w:spacing w:before="0" w:after="0" w:line="240" w:lineRule="auto"/>
            </w:pPr>
          </w:p>
        </w:tc>
        <w:tc>
          <w:tcPr>
            <w:tcW w:type="dxa" w:w="1150"/>
            <w:tcMar>
              <w:top w:w="70" w:type="dxa"/>
              <w:left w:w="130" w:type="dxa"/>
              <w:bottom w:w="70" w:type="dxa"/>
              <w:right w:w="130" w:type="dxa"/>
            </w:tcMar>
            <w:vAlign w:val="top"/>
          </w:tcPr>
          <w:p>
            <w:pPr>
              <w:spacing w:before="0" w:after="0" w:line="240" w:lineRule="auto"/>
            </w:pPr>
          </w:p>
        </w:tc>
        <w:tc>
          <w:tcPr>
            <w:tcW w:type="dxa" w:w="1450"/>
            <w:tcMar>
              <w:top w:w="70" w:type="dxa"/>
              <w:left w:w="130" w:type="dxa"/>
              <w:bottom w:w="70" w:type="dxa"/>
              <w:right w:w="130" w:type="dxa"/>
            </w:tcMar>
            <w:vAlign w:val="top"/>
          </w:tcPr>
          <w:p>
            <w:pPr>
              <w:spacing w:before="0" w:after="0" w:line="240" w:lineRule="auto"/>
            </w:pPr>
          </w:p>
        </w:tc>
        <w:tc>
          <w:tcPr>
            <w:tcW w:type="dxa" w:w="2600"/>
            <w:tcMar>
              <w:top w:w="70" w:type="dxa"/>
              <w:left w:w="130" w:type="dxa"/>
              <w:bottom w:w="70" w:type="dxa"/>
              <w:right w:w="130" w:type="dxa"/>
            </w:tcMar>
            <w:vAlign w:val="top"/>
          </w:tcPr>
          <w:p>
            <w:pPr>
              <w:spacing w:before="0" w:after="0" w:line="240" w:lineRule="auto"/>
            </w:pPr>
          </w:p>
        </w:tc>
      </w:tr>
      <w:tr>
        <w:trPr>
          <w:trHeight w:val="300" w:hRule="atLeast"/>
        </w:trPr>
        <w:tc>
          <w:tcPr>
            <w:tcW w:type="dxa" w:w="850"/>
            <w:tcMar>
              <w:top w:w="70" w:type="dxa"/>
              <w:left w:w="130" w:type="dxa"/>
              <w:bottom w:w="70" w:type="dxa"/>
              <w:right w:w="130" w:type="dxa"/>
            </w:tcMar>
            <w:vAlign w:val="top"/>
          </w:tcPr>
          <w:p>
            <w:pPr>
              <w:spacing w:before="0" w:after="0" w:line="240" w:lineRule="auto"/>
            </w:pPr>
          </w:p>
        </w:tc>
        <w:tc>
          <w:tcPr>
            <w:tcW w:type="dxa" w:w="1650"/>
            <w:tcMar>
              <w:top w:w="70" w:type="dxa"/>
              <w:left w:w="130" w:type="dxa"/>
              <w:bottom w:w="70" w:type="dxa"/>
              <w:right w:w="130" w:type="dxa"/>
            </w:tcMar>
            <w:vAlign w:val="top"/>
          </w:tcPr>
          <w:p>
            <w:pPr>
              <w:spacing w:before="0" w:after="0" w:line="240" w:lineRule="auto"/>
            </w:pPr>
          </w:p>
        </w:tc>
        <w:tc>
          <w:tcPr>
            <w:tcW w:type="dxa" w:w="1650"/>
            <w:tcMar>
              <w:top w:w="70" w:type="dxa"/>
              <w:left w:w="130" w:type="dxa"/>
              <w:bottom w:w="70" w:type="dxa"/>
              <w:right w:w="130" w:type="dxa"/>
            </w:tcMar>
            <w:vAlign w:val="top"/>
          </w:tcPr>
          <w:p>
            <w:pPr>
              <w:spacing w:before="0" w:after="0" w:line="240" w:lineRule="auto"/>
            </w:pPr>
          </w:p>
        </w:tc>
        <w:tc>
          <w:tcPr>
            <w:tcW w:type="dxa" w:w="1150"/>
            <w:tcMar>
              <w:top w:w="70" w:type="dxa"/>
              <w:left w:w="130" w:type="dxa"/>
              <w:bottom w:w="70" w:type="dxa"/>
              <w:right w:w="130" w:type="dxa"/>
            </w:tcMar>
            <w:vAlign w:val="top"/>
          </w:tcPr>
          <w:p>
            <w:pPr>
              <w:spacing w:before="0" w:after="0" w:line="240" w:lineRule="auto"/>
            </w:pPr>
          </w:p>
        </w:tc>
        <w:tc>
          <w:tcPr>
            <w:tcW w:type="dxa" w:w="1450"/>
            <w:tcMar>
              <w:top w:w="70" w:type="dxa"/>
              <w:left w:w="130" w:type="dxa"/>
              <w:bottom w:w="70" w:type="dxa"/>
              <w:right w:w="130" w:type="dxa"/>
            </w:tcMar>
            <w:vAlign w:val="top"/>
          </w:tcPr>
          <w:p>
            <w:pPr>
              <w:spacing w:before="0" w:after="0" w:line="240" w:lineRule="auto"/>
            </w:pPr>
          </w:p>
        </w:tc>
        <w:tc>
          <w:tcPr>
            <w:tcW w:type="dxa" w:w="2600"/>
            <w:tcMar>
              <w:top w:w="70" w:type="dxa"/>
              <w:left w:w="130" w:type="dxa"/>
              <w:bottom w:w="70" w:type="dxa"/>
              <w:right w:w="130" w:type="dxa"/>
            </w:tcMar>
            <w:vAlign w:val="top"/>
          </w:tcPr>
          <w:p>
            <w:pPr>
              <w:spacing w:before="0" w:after="0" w:line="240" w:lineRule="auto"/>
            </w:pPr>
          </w:p>
        </w:tc>
      </w:tr>
      <w:tr>
        <w:trPr>
          <w:trHeight w:val="300" w:hRule="atLeast"/>
        </w:trPr>
        <w:tc>
          <w:tcPr>
            <w:tcW w:type="dxa" w:w="850"/>
            <w:tcMar>
              <w:top w:w="70" w:type="dxa"/>
              <w:left w:w="130" w:type="dxa"/>
              <w:bottom w:w="70" w:type="dxa"/>
              <w:right w:w="130" w:type="dxa"/>
            </w:tcMar>
            <w:vAlign w:val="top"/>
          </w:tcPr>
          <w:p>
            <w:pPr>
              <w:spacing w:before="0" w:after="0" w:line="240" w:lineRule="auto"/>
            </w:pPr>
          </w:p>
        </w:tc>
        <w:tc>
          <w:tcPr>
            <w:tcW w:type="dxa" w:w="1650"/>
            <w:tcMar>
              <w:top w:w="70" w:type="dxa"/>
              <w:left w:w="130" w:type="dxa"/>
              <w:bottom w:w="70" w:type="dxa"/>
              <w:right w:w="130" w:type="dxa"/>
            </w:tcMar>
            <w:vAlign w:val="top"/>
          </w:tcPr>
          <w:p>
            <w:pPr>
              <w:spacing w:before="0" w:after="0" w:line="240" w:lineRule="auto"/>
            </w:pPr>
          </w:p>
        </w:tc>
        <w:tc>
          <w:tcPr>
            <w:tcW w:type="dxa" w:w="1650"/>
            <w:tcMar>
              <w:top w:w="70" w:type="dxa"/>
              <w:left w:w="130" w:type="dxa"/>
              <w:bottom w:w="70" w:type="dxa"/>
              <w:right w:w="130" w:type="dxa"/>
            </w:tcMar>
            <w:vAlign w:val="top"/>
          </w:tcPr>
          <w:p>
            <w:pPr>
              <w:spacing w:before="0" w:after="0" w:line="240" w:lineRule="auto"/>
            </w:pPr>
          </w:p>
        </w:tc>
        <w:tc>
          <w:tcPr>
            <w:tcW w:type="dxa" w:w="1150"/>
            <w:tcMar>
              <w:top w:w="70" w:type="dxa"/>
              <w:left w:w="130" w:type="dxa"/>
              <w:bottom w:w="70" w:type="dxa"/>
              <w:right w:w="130" w:type="dxa"/>
            </w:tcMar>
            <w:vAlign w:val="top"/>
          </w:tcPr>
          <w:p>
            <w:pPr>
              <w:spacing w:before="0" w:after="0" w:line="240" w:lineRule="auto"/>
            </w:pPr>
          </w:p>
        </w:tc>
        <w:tc>
          <w:tcPr>
            <w:tcW w:type="dxa" w:w="1450"/>
            <w:tcMar>
              <w:top w:w="70" w:type="dxa"/>
              <w:left w:w="130" w:type="dxa"/>
              <w:bottom w:w="70" w:type="dxa"/>
              <w:right w:w="130" w:type="dxa"/>
            </w:tcMar>
            <w:vAlign w:val="top"/>
          </w:tcPr>
          <w:p>
            <w:pPr>
              <w:spacing w:before="0" w:after="0" w:line="240" w:lineRule="auto"/>
            </w:pPr>
          </w:p>
        </w:tc>
        <w:tc>
          <w:tcPr>
            <w:tcW w:type="dxa" w:w="2600"/>
            <w:tcMar>
              <w:top w:w="70" w:type="dxa"/>
              <w:left w:w="130" w:type="dxa"/>
              <w:bottom w:w="70" w:type="dxa"/>
              <w:right w:w="130" w:type="dxa"/>
            </w:tcMar>
            <w:vAlign w:val="top"/>
          </w:tcPr>
          <w:p>
            <w:pPr>
              <w:spacing w:before="0" w:after="0" w:line="240" w:lineRule="auto"/>
            </w:pPr>
          </w:p>
        </w:tc>
      </w:tr>
    </w:tbl>
    <w:p>
      <w:pPr>
        <w:spacing w:after="40"/>
      </w:pPr>
    </w:p>
    <w:p>
      <w:pPr>
        <w:spacing w:before="0" w:after="140" w:line="269" w:lineRule="auto"/>
      </w:pPr>
      <w:r>
        <w:rPr>
          <w:rFonts w:ascii="Calibri" w:hAnsi="Calibri"/>
          <w:b w:val="0"/>
          <w:i/>
          <w:color w:val="6B6B66"/>
          <w:sz w:val="20"/>
        </w:rPr>
        <w:t>Note the week 5 row: that is “the mess.” A dipped, honestly-logged week with a sensible response is the single most credible thing in a case file — log it, don’t hide it.</w:t>
      </w:r>
    </w:p>
    <w:p>
      <w:pPr>
        <w:pStyle w:val="Heading2"/>
        <w:spacing w:before="220" w:after="60" w:line="240" w:lineRule="auto"/>
      </w:pPr>
      <w:r>
        <w:rPr>
          <w:rFonts w:ascii="Calibri" w:hAnsi="Calibri"/>
          <w:b/>
          <w:i w:val="0"/>
          <w:color w:val="2A5C45"/>
          <w:sz w:val="25"/>
        </w:rPr>
        <w:t>Form 5 — Collaboration log (every exchange with the medical team)</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1150"/>
        <w:gridCol w:w="1700"/>
        <w:gridCol w:w="1050"/>
        <w:gridCol w:w="3550"/>
        <w:gridCol w:w="1900"/>
      </w:tblGrid>
      <w:tr>
        <w:tc>
          <w:tcPr>
            <w:tcW w:type="dxa" w:w="11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Date</w:t>
            </w:r>
          </w:p>
        </w:tc>
        <w:tc>
          <w:tcPr>
            <w:tcW w:type="dxa" w:w="17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With whom</w:t>
            </w:r>
          </w:p>
        </w:tc>
        <w:tc>
          <w:tcPr>
            <w:tcW w:type="dxa" w:w="10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How</w:t>
            </w:r>
          </w:p>
        </w:tc>
        <w:tc>
          <w:tcPr>
            <w:tcW w:type="dxa" w:w="35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Summary of exchange</w:t>
            </w:r>
          </w:p>
        </w:tc>
        <w:tc>
          <w:tcPr>
            <w:tcW w:type="dxa" w:w="19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Action / next</w:t>
            </w:r>
          </w:p>
        </w:tc>
      </w:tr>
      <w:tr>
        <w:trPr>
          <w:trHeight w:val="300" w:hRule="atLeast"/>
        </w:trPr>
        <w:tc>
          <w:tcPr>
            <w:tcW w:type="dxa" w:w="11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(ex.)</w:t>
            </w:r>
          </w:p>
        </w:tc>
        <w:tc>
          <w:tcPr>
            <w:tcW w:type="dxa" w:w="1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Physio, R. Karimi</w:t>
            </w:r>
          </w:p>
        </w:tc>
        <w:tc>
          <w:tcPr>
            <w:tcW w:type="dxa" w:w="1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Call</w:t>
            </w:r>
          </w:p>
        </w:tc>
        <w:tc>
          <w:tcPr>
            <w:tcW w:type="dxa" w:w="35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Confirmed dysplasia R&gt;L, no loaded end-range flexion, instability sensation = stop</w:t>
            </w:r>
          </w:p>
        </w:tc>
        <w:tc>
          <w:tcPr>
            <w:tcW w:type="dxa" w:w="1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Built exclusion list; retest in 4 wks</w:t>
            </w:r>
          </w:p>
        </w:tc>
      </w:tr>
      <w:tr>
        <w:trPr>
          <w:trHeight w:val="300" w:hRule="atLeast"/>
        </w:trPr>
        <w:tc>
          <w:tcPr>
            <w:tcW w:type="dxa" w:w="1150"/>
            <w:tcMar>
              <w:top w:w="70" w:type="dxa"/>
              <w:left w:w="130" w:type="dxa"/>
              <w:bottom w:w="70" w:type="dxa"/>
              <w:right w:w="130" w:type="dxa"/>
            </w:tcMar>
            <w:vAlign w:val="top"/>
          </w:tcPr>
          <w:p>
            <w:pPr>
              <w:spacing w:before="0" w:after="0" w:line="240" w:lineRule="auto"/>
            </w:pPr>
          </w:p>
        </w:tc>
        <w:tc>
          <w:tcPr>
            <w:tcW w:type="dxa" w:w="1700"/>
            <w:tcMar>
              <w:top w:w="70" w:type="dxa"/>
              <w:left w:w="130" w:type="dxa"/>
              <w:bottom w:w="70" w:type="dxa"/>
              <w:right w:w="130" w:type="dxa"/>
            </w:tcMar>
            <w:vAlign w:val="top"/>
          </w:tcPr>
          <w:p>
            <w:pPr>
              <w:spacing w:before="0" w:after="0" w:line="240" w:lineRule="auto"/>
            </w:pPr>
          </w:p>
        </w:tc>
        <w:tc>
          <w:tcPr>
            <w:tcW w:type="dxa" w:w="1050"/>
            <w:tcMar>
              <w:top w:w="70" w:type="dxa"/>
              <w:left w:w="130" w:type="dxa"/>
              <w:bottom w:w="70" w:type="dxa"/>
              <w:right w:w="130" w:type="dxa"/>
            </w:tcMar>
            <w:vAlign w:val="top"/>
          </w:tcPr>
          <w:p>
            <w:pPr>
              <w:spacing w:before="0" w:after="0" w:line="240" w:lineRule="auto"/>
            </w:pPr>
          </w:p>
        </w:tc>
        <w:tc>
          <w:tcPr>
            <w:tcW w:type="dxa" w:w="3550"/>
            <w:tcMar>
              <w:top w:w="70" w:type="dxa"/>
              <w:left w:w="130" w:type="dxa"/>
              <w:bottom w:w="70" w:type="dxa"/>
              <w:right w:w="130" w:type="dxa"/>
            </w:tcMar>
            <w:vAlign w:val="top"/>
          </w:tcPr>
          <w:p>
            <w:pPr>
              <w:spacing w:before="0" w:after="0" w:line="240" w:lineRule="auto"/>
            </w:pP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1150"/>
            <w:tcMar>
              <w:top w:w="70" w:type="dxa"/>
              <w:left w:w="130" w:type="dxa"/>
              <w:bottom w:w="70" w:type="dxa"/>
              <w:right w:w="130" w:type="dxa"/>
            </w:tcMar>
            <w:vAlign w:val="top"/>
          </w:tcPr>
          <w:p>
            <w:pPr>
              <w:spacing w:before="0" w:after="0" w:line="240" w:lineRule="auto"/>
            </w:pPr>
          </w:p>
        </w:tc>
        <w:tc>
          <w:tcPr>
            <w:tcW w:type="dxa" w:w="1700"/>
            <w:tcMar>
              <w:top w:w="70" w:type="dxa"/>
              <w:left w:w="130" w:type="dxa"/>
              <w:bottom w:w="70" w:type="dxa"/>
              <w:right w:w="130" w:type="dxa"/>
            </w:tcMar>
            <w:vAlign w:val="top"/>
          </w:tcPr>
          <w:p>
            <w:pPr>
              <w:spacing w:before="0" w:after="0" w:line="240" w:lineRule="auto"/>
            </w:pPr>
          </w:p>
        </w:tc>
        <w:tc>
          <w:tcPr>
            <w:tcW w:type="dxa" w:w="1050"/>
            <w:tcMar>
              <w:top w:w="70" w:type="dxa"/>
              <w:left w:w="130" w:type="dxa"/>
              <w:bottom w:w="70" w:type="dxa"/>
              <w:right w:w="130" w:type="dxa"/>
            </w:tcMar>
            <w:vAlign w:val="top"/>
          </w:tcPr>
          <w:p>
            <w:pPr>
              <w:spacing w:before="0" w:after="0" w:line="240" w:lineRule="auto"/>
            </w:pPr>
          </w:p>
        </w:tc>
        <w:tc>
          <w:tcPr>
            <w:tcW w:type="dxa" w:w="3550"/>
            <w:tcMar>
              <w:top w:w="70" w:type="dxa"/>
              <w:left w:w="130" w:type="dxa"/>
              <w:bottom w:w="70" w:type="dxa"/>
              <w:right w:w="130" w:type="dxa"/>
            </w:tcMar>
            <w:vAlign w:val="top"/>
          </w:tcPr>
          <w:p>
            <w:pPr>
              <w:spacing w:before="0" w:after="0" w:line="240" w:lineRule="auto"/>
            </w:pP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1150"/>
            <w:tcMar>
              <w:top w:w="70" w:type="dxa"/>
              <w:left w:w="130" w:type="dxa"/>
              <w:bottom w:w="70" w:type="dxa"/>
              <w:right w:w="130" w:type="dxa"/>
            </w:tcMar>
            <w:vAlign w:val="top"/>
          </w:tcPr>
          <w:p>
            <w:pPr>
              <w:spacing w:before="0" w:after="0" w:line="240" w:lineRule="auto"/>
            </w:pPr>
          </w:p>
        </w:tc>
        <w:tc>
          <w:tcPr>
            <w:tcW w:type="dxa" w:w="1700"/>
            <w:tcMar>
              <w:top w:w="70" w:type="dxa"/>
              <w:left w:w="130" w:type="dxa"/>
              <w:bottom w:w="70" w:type="dxa"/>
              <w:right w:w="130" w:type="dxa"/>
            </w:tcMar>
            <w:vAlign w:val="top"/>
          </w:tcPr>
          <w:p>
            <w:pPr>
              <w:spacing w:before="0" w:after="0" w:line="240" w:lineRule="auto"/>
            </w:pPr>
          </w:p>
        </w:tc>
        <w:tc>
          <w:tcPr>
            <w:tcW w:type="dxa" w:w="1050"/>
            <w:tcMar>
              <w:top w:w="70" w:type="dxa"/>
              <w:left w:w="130" w:type="dxa"/>
              <w:bottom w:w="70" w:type="dxa"/>
              <w:right w:w="130" w:type="dxa"/>
            </w:tcMar>
            <w:vAlign w:val="top"/>
          </w:tcPr>
          <w:p>
            <w:pPr>
              <w:spacing w:before="0" w:after="0" w:line="240" w:lineRule="auto"/>
            </w:pPr>
          </w:p>
        </w:tc>
        <w:tc>
          <w:tcPr>
            <w:tcW w:type="dxa" w:w="3550"/>
            <w:tcMar>
              <w:top w:w="70" w:type="dxa"/>
              <w:left w:w="130" w:type="dxa"/>
              <w:bottom w:w="70" w:type="dxa"/>
              <w:right w:w="130" w:type="dxa"/>
            </w:tcMar>
            <w:vAlign w:val="top"/>
          </w:tcPr>
          <w:p>
            <w:pPr>
              <w:spacing w:before="0" w:after="0" w:line="240" w:lineRule="auto"/>
            </w:pPr>
          </w:p>
        </w:tc>
        <w:tc>
          <w:tcPr>
            <w:tcW w:type="dxa" w:w="1900"/>
            <w:tcMar>
              <w:top w:w="70" w:type="dxa"/>
              <w:left w:w="130" w:type="dxa"/>
              <w:bottom w:w="70" w:type="dxa"/>
              <w:right w:w="130" w:type="dxa"/>
            </w:tcMar>
            <w:vAlign w:val="top"/>
          </w:tcPr>
          <w:p>
            <w:pPr>
              <w:spacing w:before="0" w:after="0" w:line="240" w:lineRule="auto"/>
            </w:pPr>
          </w:p>
        </w:tc>
      </w:tr>
    </w:tbl>
    <w:p>
      <w:pPr>
        <w:spacing w:after="40"/>
      </w:pPr>
    </w:p>
    <w:p>
      <w:pPr>
        <w:pStyle w:val="Heading2"/>
        <w:spacing w:before="220" w:after="60" w:line="240" w:lineRule="auto"/>
      </w:pPr>
      <w:r>
        <w:rPr>
          <w:rFonts w:ascii="Calibri" w:hAnsi="Calibri"/>
          <w:b/>
          <w:i w:val="0"/>
          <w:color w:val="2A5C45"/>
          <w:sz w:val="25"/>
        </w:rPr>
        <w:t>Form 6 — Phase-gate sign-off (one per gate)</w:t>
      </w:r>
    </w:p>
    <w:p>
      <w:pPr>
        <w:spacing w:before="0" w:after="160" w:line="269" w:lineRule="auto"/>
      </w:pPr>
      <w:r>
        <w:rPr>
          <w:rFonts w:ascii="Calibri" w:hAnsi="Calibri"/>
          <w:b w:val="0"/>
          <w:i w:val="0"/>
          <w:color w:val="2B2B28"/>
          <w:sz w:val="22"/>
        </w:rPr>
        <w:t>Phase passed: ______   → moving to Phase: ______   Date: ____________</w:t>
      </w:r>
    </w:p>
    <w:p>
      <w:pPr>
        <w:spacing w:before="0" w:after="60" w:line="269" w:lineRule="auto"/>
        <w:ind w:left="432" w:hanging="432"/>
      </w:pPr>
      <w:r>
        <w:rPr>
          <w:rFonts w:ascii="Calibri" w:hAnsi="Calibri"/>
          <w:b w:val="0"/>
          <w:i w:val="0"/>
          <w:color w:val="2B2B28"/>
          <w:sz w:val="22"/>
        </w:rPr>
        <w:t>☐   Full battery retested, same conditions as baseline, results side-by-side</w:t>
      </w:r>
    </w:p>
    <w:p>
      <w:pPr>
        <w:spacing w:before="0" w:after="60" w:line="269" w:lineRule="auto"/>
        <w:ind w:left="432" w:hanging="432"/>
      </w:pPr>
      <w:r>
        <w:rPr>
          <w:rFonts w:ascii="Calibri" w:hAnsi="Calibri"/>
          <w:b w:val="0"/>
          <w:i w:val="0"/>
          <w:color w:val="2B2B28"/>
          <w:sz w:val="22"/>
        </w:rPr>
        <w:t>☐   Every exit criterion for this phase met (list them from Step 4 and tick each)</w:t>
      </w:r>
    </w:p>
    <w:p>
      <w:pPr>
        <w:spacing w:before="0" w:after="60" w:line="269" w:lineRule="auto"/>
        <w:ind w:left="432" w:hanging="432"/>
      </w:pPr>
      <w:r>
        <w:rPr>
          <w:rFonts w:ascii="Calibri" w:hAnsi="Calibri"/>
          <w:b w:val="0"/>
          <w:i w:val="0"/>
          <w:color w:val="2B2B28"/>
          <w:sz w:val="22"/>
        </w:rPr>
        <w:t>☐   Read on absolute terms, not symmetry alone (bilateral dysplasia caveat applied)</w:t>
      </w:r>
    </w:p>
    <w:p>
      <w:pPr>
        <w:spacing w:before="0" w:after="60" w:line="269" w:lineRule="auto"/>
        <w:ind w:left="432" w:hanging="432"/>
      </w:pPr>
      <w:r>
        <w:rPr>
          <w:rFonts w:ascii="Calibri" w:hAnsi="Calibri"/>
          <w:b w:val="0"/>
          <w:i w:val="0"/>
          <w:color w:val="2B2B28"/>
          <w:sz w:val="22"/>
        </w:rPr>
        <w:t>☐   Global battery (CMJ / jumps) holding or improving</w:t>
      </w:r>
    </w:p>
    <w:p>
      <w:pPr>
        <w:spacing w:before="0" w:after="60" w:line="269" w:lineRule="auto"/>
        <w:ind w:left="432" w:hanging="432"/>
      </w:pPr>
      <w:r>
        <w:rPr>
          <w:rFonts w:ascii="Calibri" w:hAnsi="Calibri"/>
          <w:b w:val="0"/>
          <w:i w:val="0"/>
          <w:color w:val="2B2B28"/>
          <w:sz w:val="22"/>
        </w:rPr>
        <w:t>☐   Clinician informed; collaboration log updated</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650"/>
        <w:gridCol w:w="6700"/>
      </w:tblGrid>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If a criterion FAILED: which, and the response</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abduction only 84% → held Phase 2, added lateral-chain volume, re-test 2 wks</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Coach signature / date</w:t>
            </w:r>
          </w:p>
        </w:tc>
        <w:tc>
          <w:tcPr>
            <w:tcW w:type="dxa" w:w="6700"/>
            <w:tcMar>
              <w:top w:w="70" w:type="dxa"/>
              <w:left w:w="130" w:type="dxa"/>
              <w:bottom w:w="70" w:type="dxa"/>
              <w:right w:w="130" w:type="dxa"/>
            </w:tcMar>
            <w:vAlign w:val="top"/>
          </w:tcPr>
          <w:p>
            <w:pPr>
              <w:spacing w:before="0" w:after="0" w:line="240" w:lineRule="auto"/>
            </w:pPr>
          </w:p>
        </w:tc>
      </w:tr>
    </w:tbl>
    <w:p>
      <w:pPr>
        <w:spacing w:after="40"/>
      </w:pPr>
    </w:p>
    <w:p>
      <w:pPr>
        <w:pStyle w:val="Heading2"/>
        <w:spacing w:before="220" w:after="60" w:line="240" w:lineRule="auto"/>
      </w:pPr>
      <w:r>
        <w:rPr>
          <w:rFonts w:ascii="Calibri" w:hAnsi="Calibri"/>
          <w:b/>
          <w:i w:val="0"/>
          <w:color w:val="2A5C45"/>
          <w:sz w:val="25"/>
        </w:rPr>
        <w:t>Form 7 — Return-to-competition sign-off</w:t>
      </w:r>
    </w:p>
    <w:p>
      <w:pPr>
        <w:spacing w:before="0" w:after="60" w:line="269" w:lineRule="auto"/>
        <w:ind w:left="432" w:hanging="432"/>
      </w:pPr>
      <w:r>
        <w:rPr>
          <w:rFonts w:ascii="Calibri" w:hAnsi="Calibri"/>
          <w:b w:val="0"/>
          <w:i w:val="0"/>
          <w:color w:val="2B2B28"/>
          <w:sz w:val="22"/>
        </w:rPr>
        <w:t>☐   Pain ≤2 across full training AND match weeks, next-day reports included</w:t>
      </w:r>
    </w:p>
    <w:p>
      <w:pPr>
        <w:spacing w:before="0" w:after="60" w:line="269" w:lineRule="auto"/>
        <w:ind w:left="432" w:hanging="432"/>
      </w:pPr>
      <w:r>
        <w:rPr>
          <w:rFonts w:ascii="Calibri" w:hAnsi="Calibri"/>
          <w:b w:val="0"/>
          <w:i w:val="0"/>
          <w:color w:val="2B2B28"/>
          <w:sz w:val="22"/>
        </w:rPr>
        <w:t>☐   Dynamic control symmetrical — level pelvis on one leg, clean deceleration/cutting</w:t>
      </w:r>
    </w:p>
    <w:p>
      <w:pPr>
        <w:spacing w:before="0" w:after="60" w:line="269" w:lineRule="auto"/>
        <w:ind w:left="432" w:hanging="432"/>
      </w:pPr>
      <w:r>
        <w:rPr>
          <w:rFonts w:ascii="Calibri" w:hAnsi="Calibri"/>
          <w:b w:val="0"/>
          <w:i w:val="0"/>
          <w:color w:val="2B2B28"/>
          <w:sz w:val="22"/>
        </w:rPr>
        <w:t>☐   Stabiliser strength (abduction / ER / adduction) at healthy-population targets</w:t>
      </w:r>
    </w:p>
    <w:p>
      <w:pPr>
        <w:spacing w:before="0" w:after="60" w:line="269" w:lineRule="auto"/>
        <w:ind w:left="432" w:hanging="432"/>
      </w:pPr>
      <w:r>
        <w:rPr>
          <w:rFonts w:ascii="Calibri" w:hAnsi="Calibri"/>
          <w:b w:val="0"/>
          <w:i w:val="0"/>
          <w:color w:val="2B2B28"/>
          <w:sz w:val="22"/>
        </w:rPr>
        <w:t>☐   Zero instability episodes across the entire return phase</w:t>
      </w:r>
    </w:p>
    <w:p>
      <w:pPr>
        <w:spacing w:before="0" w:after="60" w:line="269" w:lineRule="auto"/>
        <w:ind w:left="432" w:hanging="432"/>
      </w:pPr>
      <w:r>
        <w:rPr>
          <w:rFonts w:ascii="Calibri" w:hAnsi="Calibri"/>
          <w:b w:val="0"/>
          <w:i w:val="0"/>
          <w:color w:val="2B2B28"/>
          <w:sz w:val="22"/>
        </w:rPr>
        <w:t>☐   Full graded return-to-court programme completed — deep &amp; reactive positions included</w:t>
      </w:r>
    </w:p>
    <w:p>
      <w:pPr>
        <w:spacing w:before="0" w:after="60" w:line="269" w:lineRule="auto"/>
        <w:ind w:left="432" w:hanging="432"/>
      </w:pPr>
      <w:r>
        <w:rPr>
          <w:rFonts w:ascii="Calibri" w:hAnsi="Calibri"/>
          <w:b w:val="0"/>
          <w:i w:val="0"/>
          <w:color w:val="2B2B28"/>
          <w:sz w:val="22"/>
        </w:rPr>
        <w:t>☐   Athlete confidence ≥8/10 at full intent; HAGOS at target</w:t>
      </w:r>
    </w:p>
    <w:p>
      <w:pPr>
        <w:spacing w:before="0" w:after="60" w:line="269" w:lineRule="auto"/>
        <w:ind w:left="432" w:hanging="432"/>
      </w:pPr>
      <w:r>
        <w:rPr>
          <w:rFonts w:ascii="Calibri" w:hAnsi="Calibri"/>
          <w:b w:val="0"/>
          <w:i w:val="0"/>
          <w:color w:val="2B2B28"/>
          <w:sz w:val="22"/>
        </w:rPr>
        <w:t>☐   Written clinician sign-off filed; staged match plan agreed</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650"/>
        <w:gridCol w:w="6700"/>
      </w:tblGrid>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Athlete confidence (0–10) at full intent</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Staged match plan (first exposure → build-up)</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doubles, groundstroke game, 1 match wk1 → build over 4 wks</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Clinician sign-off / date</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Coach sign-off / date</w:t>
            </w:r>
          </w:p>
        </w:tc>
        <w:tc>
          <w:tcPr>
            <w:tcW w:type="dxa" w:w="6700"/>
            <w:tcMar>
              <w:top w:w="70" w:type="dxa"/>
              <w:left w:w="130" w:type="dxa"/>
              <w:bottom w:w="70" w:type="dxa"/>
              <w:right w:w="130" w:type="dxa"/>
            </w:tcMar>
            <w:vAlign w:val="top"/>
          </w:tcPr>
          <w:p>
            <w:pPr>
              <w:spacing w:before="0" w:after="0" w:line="240" w:lineRule="auto"/>
            </w:pPr>
          </w:p>
        </w:tc>
      </w:tr>
    </w:tbl>
    <w:p>
      <w:pPr>
        <w:spacing w:after="40"/>
      </w:pPr>
    </w:p>
    <w:p>
      <w:pPr>
        <w:pStyle w:val="Heading2"/>
        <w:spacing w:before="220" w:after="60" w:line="240" w:lineRule="auto"/>
      </w:pPr>
      <w:r>
        <w:rPr>
          <w:rFonts w:ascii="Calibri" w:hAnsi="Calibri"/>
          <w:b/>
          <w:i w:val="0"/>
          <w:color w:val="2A5C45"/>
          <w:sz w:val="25"/>
        </w:rPr>
        <w:t>Form 8 — Session log (the quick daily one)</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1150"/>
        <w:gridCol w:w="3100"/>
        <w:gridCol w:w="850"/>
        <w:gridCol w:w="2350"/>
        <w:gridCol w:w="1900"/>
      </w:tblGrid>
      <w:tr>
        <w:tc>
          <w:tcPr>
            <w:tcW w:type="dxa" w:w="11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Date</w:t>
            </w:r>
          </w:p>
        </w:tc>
        <w:tc>
          <w:tcPr>
            <w:tcW w:type="dxa" w:w="31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Main work &amp; loads</w:t>
            </w:r>
          </w:p>
        </w:tc>
        <w:tc>
          <w:tcPr>
            <w:tcW w:type="dxa" w:w="8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sRPE</w:t>
            </w:r>
          </w:p>
        </w:tc>
        <w:tc>
          <w:tcPr>
            <w:tcW w:type="dxa" w:w="23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Pain — during / next morning</w:t>
            </w:r>
          </w:p>
        </w:tc>
        <w:tc>
          <w:tcPr>
            <w:tcW w:type="dxa" w:w="19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Notes</w:t>
            </w:r>
          </w:p>
        </w:tc>
      </w:tr>
      <w:tr>
        <w:trPr>
          <w:trHeight w:val="300" w:hRule="atLeast"/>
        </w:trPr>
        <w:tc>
          <w:tcPr>
            <w:tcW w:type="dxa" w:w="1150"/>
            <w:tcMar>
              <w:top w:w="70" w:type="dxa"/>
              <w:left w:w="130" w:type="dxa"/>
              <w:bottom w:w="70" w:type="dxa"/>
              <w:right w:w="130" w:type="dxa"/>
            </w:tcMar>
            <w:vAlign w:val="top"/>
          </w:tcPr>
          <w:p>
            <w:pPr>
              <w:spacing w:before="0" w:after="0" w:line="240" w:lineRule="auto"/>
            </w:pPr>
          </w:p>
        </w:tc>
        <w:tc>
          <w:tcPr>
            <w:tcW w:type="dxa" w:w="3100"/>
            <w:tcMar>
              <w:top w:w="70" w:type="dxa"/>
              <w:left w:w="130" w:type="dxa"/>
              <w:bottom w:w="70" w:type="dxa"/>
              <w:right w:w="130" w:type="dxa"/>
            </w:tcMar>
            <w:vAlign w:val="top"/>
          </w:tcPr>
          <w:p>
            <w:pPr>
              <w:spacing w:before="0" w:after="0" w:line="240" w:lineRule="auto"/>
            </w:pPr>
          </w:p>
        </w:tc>
        <w:tc>
          <w:tcPr>
            <w:tcW w:type="dxa" w:w="850"/>
            <w:tcMar>
              <w:top w:w="70" w:type="dxa"/>
              <w:left w:w="130" w:type="dxa"/>
              <w:bottom w:w="70" w:type="dxa"/>
              <w:right w:w="130" w:type="dxa"/>
            </w:tcMar>
            <w:vAlign w:val="top"/>
          </w:tcPr>
          <w:p>
            <w:pPr>
              <w:spacing w:before="0" w:after="0" w:line="240" w:lineRule="auto"/>
            </w:pPr>
          </w:p>
        </w:tc>
        <w:tc>
          <w:tcPr>
            <w:tcW w:type="dxa" w:w="23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t>
            </w: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1150"/>
            <w:tcMar>
              <w:top w:w="70" w:type="dxa"/>
              <w:left w:w="130" w:type="dxa"/>
              <w:bottom w:w="70" w:type="dxa"/>
              <w:right w:w="130" w:type="dxa"/>
            </w:tcMar>
            <w:vAlign w:val="top"/>
          </w:tcPr>
          <w:p>
            <w:pPr>
              <w:spacing w:before="0" w:after="0" w:line="240" w:lineRule="auto"/>
            </w:pPr>
          </w:p>
        </w:tc>
        <w:tc>
          <w:tcPr>
            <w:tcW w:type="dxa" w:w="3100"/>
            <w:tcMar>
              <w:top w:w="70" w:type="dxa"/>
              <w:left w:w="130" w:type="dxa"/>
              <w:bottom w:w="70" w:type="dxa"/>
              <w:right w:w="130" w:type="dxa"/>
            </w:tcMar>
            <w:vAlign w:val="top"/>
          </w:tcPr>
          <w:p>
            <w:pPr>
              <w:spacing w:before="0" w:after="0" w:line="240" w:lineRule="auto"/>
            </w:pPr>
          </w:p>
        </w:tc>
        <w:tc>
          <w:tcPr>
            <w:tcW w:type="dxa" w:w="850"/>
            <w:tcMar>
              <w:top w:w="70" w:type="dxa"/>
              <w:left w:w="130" w:type="dxa"/>
              <w:bottom w:w="70" w:type="dxa"/>
              <w:right w:w="130" w:type="dxa"/>
            </w:tcMar>
            <w:vAlign w:val="top"/>
          </w:tcPr>
          <w:p>
            <w:pPr>
              <w:spacing w:before="0" w:after="0" w:line="240" w:lineRule="auto"/>
            </w:pPr>
          </w:p>
        </w:tc>
        <w:tc>
          <w:tcPr>
            <w:tcW w:type="dxa" w:w="23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t>
            </w: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1150"/>
            <w:tcMar>
              <w:top w:w="70" w:type="dxa"/>
              <w:left w:w="130" w:type="dxa"/>
              <w:bottom w:w="70" w:type="dxa"/>
              <w:right w:w="130" w:type="dxa"/>
            </w:tcMar>
            <w:vAlign w:val="top"/>
          </w:tcPr>
          <w:p>
            <w:pPr>
              <w:spacing w:before="0" w:after="0" w:line="240" w:lineRule="auto"/>
            </w:pPr>
          </w:p>
        </w:tc>
        <w:tc>
          <w:tcPr>
            <w:tcW w:type="dxa" w:w="3100"/>
            <w:tcMar>
              <w:top w:w="70" w:type="dxa"/>
              <w:left w:w="130" w:type="dxa"/>
              <w:bottom w:w="70" w:type="dxa"/>
              <w:right w:w="130" w:type="dxa"/>
            </w:tcMar>
            <w:vAlign w:val="top"/>
          </w:tcPr>
          <w:p>
            <w:pPr>
              <w:spacing w:before="0" w:after="0" w:line="240" w:lineRule="auto"/>
            </w:pPr>
          </w:p>
        </w:tc>
        <w:tc>
          <w:tcPr>
            <w:tcW w:type="dxa" w:w="850"/>
            <w:tcMar>
              <w:top w:w="70" w:type="dxa"/>
              <w:left w:w="130" w:type="dxa"/>
              <w:bottom w:w="70" w:type="dxa"/>
              <w:right w:w="130" w:type="dxa"/>
            </w:tcMar>
            <w:vAlign w:val="top"/>
          </w:tcPr>
          <w:p>
            <w:pPr>
              <w:spacing w:before="0" w:after="0" w:line="240" w:lineRule="auto"/>
            </w:pPr>
          </w:p>
        </w:tc>
        <w:tc>
          <w:tcPr>
            <w:tcW w:type="dxa" w:w="23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t>
            </w:r>
          </w:p>
        </w:tc>
        <w:tc>
          <w:tcPr>
            <w:tcW w:type="dxa" w:w="1900"/>
            <w:tcMar>
              <w:top w:w="70" w:type="dxa"/>
              <w:left w:w="130" w:type="dxa"/>
              <w:bottom w:w="70" w:type="dxa"/>
              <w:right w:w="130" w:type="dxa"/>
            </w:tcMar>
            <w:vAlign w:val="top"/>
          </w:tcPr>
          <w:p>
            <w:pPr>
              <w:spacing w:before="0" w:after="0" w:line="240" w:lineRule="auto"/>
            </w:pPr>
          </w:p>
        </w:tc>
      </w:tr>
    </w:tbl>
    <w:p>
      <w:pPr>
        <w:spacing w:after="40"/>
      </w:pPr>
    </w:p>
    <w:p>
      <w:pPr>
        <w:spacing w:before="0" w:after="140" w:line="269" w:lineRule="auto"/>
      </w:pPr>
      <w:r>
        <w:rPr>
          <w:rFonts w:ascii="Calibri" w:hAnsi="Calibri"/>
          <w:b w:val="0"/>
          <w:i/>
          <w:color w:val="6B6B66"/>
          <w:sz w:val="20"/>
        </w:rPr>
        <w:t>The “next morning” half of the pain column is the honest one — irritated hip tissue often answers late, so the 24-hour report steers the next session more than anything he felt mid-set.</w:t>
      </w:r>
    </w:p>
    <w:p>
      <w:pPr>
        <w:pStyle w:val="Heading2"/>
        <w:spacing w:before="220" w:after="60" w:line="240" w:lineRule="auto"/>
      </w:pPr>
      <w:r>
        <w:rPr>
          <w:rFonts w:ascii="Calibri" w:hAnsi="Calibri"/>
          <w:b/>
          <w:i w:val="0"/>
          <w:color w:val="2A5C45"/>
          <w:sz w:val="25"/>
        </w:rPr>
        <w:t>Form 9 — Shared-care agreement (sign this with the physio before loading)</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650"/>
        <w:gridCol w:w="6700"/>
      </w:tblGrid>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Athlete / date</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Who owns what</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rehab exposures = physio; strength &amp; return-to-court load = coach; the joint = shared</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Combined weekly load ceiling</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total hard lower-body exposures (rehab + gym + court) ≤ __ / week</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Shared traffic-light — agreed meaning of amber &amp; red</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Who holds the progression veto</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physio, on any gate progression</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Weekly touchpoint (day / method)</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Physio signature / date</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Coach signature / date</w:t>
            </w:r>
          </w:p>
        </w:tc>
        <w:tc>
          <w:tcPr>
            <w:tcW w:type="dxa" w:w="6700"/>
            <w:tcMar>
              <w:top w:w="70" w:type="dxa"/>
              <w:left w:w="130" w:type="dxa"/>
              <w:bottom w:w="70" w:type="dxa"/>
              <w:right w:w="130" w:type="dxa"/>
            </w:tcMar>
            <w:vAlign w:val="top"/>
          </w:tcPr>
          <w:p>
            <w:pPr>
              <w:spacing w:before="0" w:after="0" w:line="240" w:lineRule="auto"/>
            </w:pPr>
          </w:p>
        </w:tc>
      </w:tr>
    </w:tbl>
    <w:p>
      <w:pPr>
        <w:spacing w:after="40"/>
      </w:pPr>
    </w:p>
    <w:p>
      <w:pPr>
        <w:pStyle w:val="Heading2"/>
        <w:spacing w:before="220" w:after="60" w:line="240" w:lineRule="auto"/>
      </w:pPr>
      <w:r>
        <w:rPr>
          <w:rFonts w:ascii="Calibri" w:hAnsi="Calibri"/>
          <w:b/>
          <w:i w:val="0"/>
          <w:color w:val="2A5C45"/>
          <w:sz w:val="25"/>
        </w:rPr>
        <w:t>Form 10 — Health screen, risk assessment &amp; emergency action plan</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650"/>
        <w:gridCol w:w="6700"/>
      </w:tblGrid>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Health screen (PAR-Q) done / any flags</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Medications / relevant history</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Environment &amp; exercise risk assessment</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floor, equipment, load caps, spotting — hazards and the control for each</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Emergency action plan</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stop → assess → first aid → who to call → nearest A&amp;E</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Emergency contact (name / number)</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Insurance in place (policy / expiry)</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Data protection &amp; consent confirmed</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health data stored securely; shared only with consent</w:t>
            </w:r>
          </w:p>
        </w:tc>
      </w:tr>
    </w:tbl>
    <w:p>
      <w:pPr>
        <w:spacing w:after="40"/>
      </w:pPr>
    </w:p>
    <w:p>
      <w:pPr>
        <w:pStyle w:val="Heading2"/>
        <w:spacing w:before="220" w:after="60" w:line="240" w:lineRule="auto"/>
      </w:pPr>
      <w:r>
        <w:rPr>
          <w:rFonts w:ascii="Calibri" w:hAnsi="Calibri"/>
          <w:b/>
          <w:i w:val="0"/>
          <w:color w:val="2A5C45"/>
          <w:sz w:val="25"/>
        </w:rPr>
        <w:t>Form 11 — Referral network (fill before you need it)</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650"/>
        <w:gridCol w:w="6700"/>
      </w:tblGrid>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Physiotherapist</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name / contact</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GP / sports physician</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name / contact</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Dietitian (refer, don’t stray)</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name / contact</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Sport psychologist</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name / contact</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S&amp;C mentor / other</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name / contact</w:t>
            </w:r>
          </w:p>
        </w:tc>
      </w:tr>
    </w:tbl>
    <w:p>
      <w:pPr>
        <w:spacing w:after="40"/>
      </w:pPr>
    </w:p>
    <w:p>
      <w:pPr>
        <w:pStyle w:val="Heading2"/>
        <w:spacing w:before="220" w:after="60" w:line="240" w:lineRule="auto"/>
      </w:pPr>
      <w:r>
        <w:rPr>
          <w:rFonts w:ascii="Calibri" w:hAnsi="Calibri"/>
          <w:b/>
          <w:i w:val="0"/>
          <w:color w:val="2A5C45"/>
          <w:sz w:val="25"/>
        </w:rPr>
        <w:t>Form 12 — Session plan (worked example — one session)</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1250"/>
        <w:gridCol w:w="2500"/>
        <w:gridCol w:w="1900"/>
        <w:gridCol w:w="2200"/>
        <w:gridCol w:w="1500"/>
      </w:tblGrid>
      <w:tr>
        <w:tc>
          <w:tcPr>
            <w:tcW w:type="dxa" w:w="12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Block</w:t>
            </w:r>
          </w:p>
        </w:tc>
        <w:tc>
          <w:tcPr>
            <w:tcW w:type="dxa" w:w="25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Exercise</w:t>
            </w:r>
          </w:p>
        </w:tc>
        <w:tc>
          <w:tcPr>
            <w:tcW w:type="dxa" w:w="19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Sets × reps @ effort</w:t>
            </w:r>
          </w:p>
        </w:tc>
        <w:tc>
          <w:tcPr>
            <w:tcW w:type="dxa" w:w="22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Coaching focus</w:t>
            </w:r>
          </w:p>
        </w:tc>
        <w:tc>
          <w:tcPr>
            <w:tcW w:type="dxa" w:w="15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Notes</w:t>
            </w:r>
          </w:p>
        </w:tc>
      </w:tr>
      <w:tr>
        <w:trPr>
          <w:trHeight w:val="300" w:hRule="atLeast"/>
        </w:trPr>
        <w:tc>
          <w:tcPr>
            <w:tcW w:type="dxa" w:w="12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Prep</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Squat-to-stand · banded abduction · dead bug</w:t>
            </w:r>
          </w:p>
        </w:tc>
        <w:tc>
          <w:tcPr>
            <w:tcW w:type="dxa" w:w="1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2 rounds</w:t>
            </w:r>
          </w:p>
        </w:tc>
        <w:tc>
          <w:tcPr>
            <w:tcW w:type="dxa" w:w="2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Own the range you have</w:t>
            </w:r>
          </w:p>
        </w:tc>
        <w:tc>
          <w:tcPr>
            <w:tcW w:type="dxa" w:w="1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Daily hip prep</w:t>
            </w:r>
          </w:p>
        </w:tc>
      </w:tr>
      <w:tr>
        <w:trPr>
          <w:trHeight w:val="300" w:hRule="atLeast"/>
        </w:trPr>
        <w:tc>
          <w:tcPr>
            <w:tcW w:type="dxa" w:w="12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Main</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Hip-safe RDL</w:t>
            </w:r>
          </w:p>
        </w:tc>
        <w:tc>
          <w:tcPr>
            <w:tcW w:type="dxa" w:w="1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4 × 6 @ RPE 7</w:t>
            </w:r>
          </w:p>
        </w:tc>
        <w:tc>
          <w:tcPr>
            <w:tcW w:type="dxa" w:w="2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Hips to the wall, flat back</w:t>
            </w:r>
          </w:p>
        </w:tc>
        <w:tc>
          <w:tcPr>
            <w:tcW w:type="dxa" w:w="1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+load at 8 clean</w:t>
            </w:r>
          </w:p>
        </w:tc>
      </w:tr>
      <w:tr>
        <w:trPr>
          <w:trHeight w:val="300" w:hRule="atLeast"/>
        </w:trPr>
        <w:tc>
          <w:tcPr>
            <w:tcW w:type="dxa" w:w="12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Stability</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Lateral step-up (right first)</w:t>
            </w:r>
          </w:p>
        </w:tc>
        <w:tc>
          <w:tcPr>
            <w:tcW w:type="dxa" w:w="1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3 × 8 / side</w:t>
            </w:r>
          </w:p>
        </w:tc>
        <w:tc>
          <w:tcPr>
            <w:tcW w:type="dxa" w:w="2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Pelvis level, no drop</w:t>
            </w:r>
          </w:p>
        </w:tc>
        <w:tc>
          <w:tcPr>
            <w:tcW w:type="dxa" w:w="1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Right sets the dose</w:t>
            </w:r>
          </w:p>
        </w:tc>
      </w:tr>
      <w:tr>
        <w:trPr>
          <w:trHeight w:val="300" w:hRule="atLeast"/>
        </w:trPr>
        <w:tc>
          <w:tcPr>
            <w:tcW w:type="dxa" w:w="12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Accessory</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Copenhagen (short) · side plank</w:t>
            </w:r>
          </w:p>
        </w:tc>
        <w:tc>
          <w:tcPr>
            <w:tcW w:type="dxa" w:w="1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2–3 sets</w:t>
            </w:r>
          </w:p>
        </w:tc>
        <w:tc>
          <w:tcPr>
            <w:tcW w:type="dxa" w:w="2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Slow, controlled</w:t>
            </w:r>
          </w:p>
        </w:tc>
        <w:tc>
          <w:tcPr>
            <w:tcW w:type="dxa" w:w="1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Adductor + lateral chain</w:t>
            </w:r>
          </w:p>
        </w:tc>
      </w:tr>
      <w:tr>
        <w:trPr>
          <w:trHeight w:val="300" w:hRule="atLeast"/>
        </w:trPr>
        <w:tc>
          <w:tcPr>
            <w:tcW w:type="dxa" w:w="12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Condition</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Bike, hip-safe range</w:t>
            </w:r>
          </w:p>
        </w:tc>
        <w:tc>
          <w:tcPr>
            <w:tcW w:type="dxa" w:w="1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8 min tempo</w:t>
            </w:r>
          </w:p>
        </w:tc>
        <w:tc>
          <w:tcPr>
            <w:tcW w:type="dxa" w:w="2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Nose-breathe, easy</w:t>
            </w:r>
          </w:p>
        </w:tc>
        <w:tc>
          <w:tcPr>
            <w:tcW w:type="dxa" w:w="1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Hold the aerobic base</w:t>
            </w:r>
          </w:p>
        </w:tc>
      </w:tr>
      <w:tr>
        <w:trPr>
          <w:trHeight w:val="300" w:hRule="atLeast"/>
        </w:trPr>
        <w:tc>
          <w:tcPr>
            <w:tcW w:type="dxa" w:w="12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Down</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Walk · trunk breathing</w:t>
            </w:r>
          </w:p>
        </w:tc>
        <w:tc>
          <w:tcPr>
            <w:tcW w:type="dxa" w:w="1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5 min</w:t>
            </w:r>
          </w:p>
        </w:tc>
        <w:tc>
          <w:tcPr>
            <w:tcW w:type="dxa" w:w="2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t>
            </w:r>
          </w:p>
        </w:tc>
        <w:tc>
          <w:tcPr>
            <w:tcW w:type="dxa" w:w="1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Log pain during / next AM</w:t>
            </w:r>
          </w:p>
        </w:tc>
      </w:tr>
    </w:tbl>
    <w:p>
      <w:pPr>
        <w:spacing w:after="40"/>
      </w:pPr>
    </w:p>
    <w:p>
      <w:pPr>
        <w:pStyle w:val="Heading2"/>
        <w:spacing w:before="220" w:after="60" w:line="240" w:lineRule="auto"/>
      </w:pPr>
      <w:r>
        <w:rPr>
          <w:rFonts w:ascii="Calibri" w:hAnsi="Calibri"/>
          <w:b/>
          <w:i w:val="0"/>
          <w:color w:val="2A5C45"/>
          <w:sz w:val="25"/>
        </w:rPr>
        <w:t>Form 13 — Flare / setback plan (copy onto a card for the athlete)</w:t>
      </w:r>
    </w:p>
    <w:p>
      <w:pPr>
        <w:spacing w:before="0" w:after="160" w:line="269" w:lineRule="auto"/>
      </w:pPr>
      <w:r>
        <w:rPr>
          <w:rFonts w:ascii="Calibri" w:hAnsi="Calibri"/>
          <w:b w:val="0"/>
          <w:i w:val="0"/>
          <w:color w:val="2B2B28"/>
          <w:sz w:val="22"/>
        </w:rPr>
        <w:t>If the hip flares — sharp groin pain, a new pinch, swelling, a sense of it shifting, or pain clearly worse the next morning:</w:t>
      </w:r>
    </w:p>
    <w:p>
      <w:pPr>
        <w:spacing w:before="0" w:after="60" w:line="269" w:lineRule="auto"/>
        <w:ind w:left="432" w:hanging="432"/>
      </w:pPr>
      <w:r>
        <w:rPr>
          <w:rFonts w:ascii="Calibri" w:hAnsi="Calibri"/>
          <w:b w:val="0"/>
          <w:i w:val="0"/>
          <w:color w:val="2B2B28"/>
          <w:sz w:val="22"/>
        </w:rPr>
        <w:t>☐   Relative rest 24–48 h — keep moving, offload the provoker; don’t stop completely and don’t push through</w:t>
      </w:r>
    </w:p>
    <w:p>
      <w:pPr>
        <w:spacing w:before="0" w:after="60" w:line="269" w:lineRule="auto"/>
        <w:ind w:left="432" w:hanging="432"/>
      </w:pPr>
      <w:r>
        <w:rPr>
          <w:rFonts w:ascii="Calibri" w:hAnsi="Calibri"/>
          <w:b w:val="0"/>
          <w:i w:val="0"/>
          <w:color w:val="2B2B28"/>
          <w:sz w:val="22"/>
        </w:rPr>
        <w:t>☐   Message the coach the same day</w:t>
      </w:r>
    </w:p>
    <w:p>
      <w:pPr>
        <w:spacing w:before="0" w:after="60" w:line="269" w:lineRule="auto"/>
        <w:ind w:left="432" w:hanging="432"/>
      </w:pPr>
      <w:r>
        <w:rPr>
          <w:rFonts w:ascii="Calibri" w:hAnsi="Calibri"/>
          <w:b w:val="0"/>
          <w:i w:val="0"/>
          <w:color w:val="2B2B28"/>
          <w:sz w:val="22"/>
        </w:rPr>
        <w:t>☐   Coach regresses the exposure one rung; hold there until quiet by the morning-after rule for 2–3 sessions</w:t>
      </w:r>
    </w:p>
    <w:p>
      <w:pPr>
        <w:spacing w:before="0" w:after="60" w:line="269" w:lineRule="auto"/>
        <w:ind w:left="432" w:hanging="432"/>
      </w:pPr>
      <w:r>
        <w:rPr>
          <w:rFonts w:ascii="Calibri" w:hAnsi="Calibri"/>
          <w:b w:val="0"/>
          <w:i w:val="0"/>
          <w:color w:val="2B2B28"/>
          <w:sz w:val="22"/>
        </w:rPr>
        <w:t>☐   Re-approach at that lower rung</w:t>
      </w:r>
    </w:p>
    <w:p>
      <w:pPr>
        <w:spacing w:before="0" w:after="60" w:line="269" w:lineRule="auto"/>
        <w:ind w:left="432" w:hanging="432"/>
      </w:pPr>
      <w:r>
        <w:rPr>
          <w:rFonts w:ascii="Calibri" w:hAnsi="Calibri"/>
          <w:b w:val="0"/>
          <w:i w:val="0"/>
          <w:color w:val="2B2B28"/>
          <w:sz w:val="22"/>
        </w:rPr>
        <w:t>☐   Flared twice at the same rung, OR any instability sensation → physio, not the programme</w:t>
      </w:r>
    </w:p>
    <w:p>
      <w:pPr>
        <w:pStyle w:val="Heading2"/>
        <w:spacing w:before="220" w:after="60" w:line="240" w:lineRule="auto"/>
      </w:pPr>
      <w:r>
        <w:rPr>
          <w:rFonts w:ascii="Calibri" w:hAnsi="Calibri"/>
          <w:b/>
          <w:i w:val="0"/>
          <w:color w:val="2A5C45"/>
          <w:sz w:val="25"/>
        </w:rPr>
        <w:t>Form 14 — Evidence &amp; reference log (fill as you reason)</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3200"/>
        <w:gridCol w:w="2650"/>
        <w:gridCol w:w="3500"/>
      </w:tblGrid>
      <w:tr>
        <w:tc>
          <w:tcPr>
            <w:tcW w:type="dxa" w:w="32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Decision / claim</w:t>
            </w:r>
          </w:p>
        </w:tc>
        <w:tc>
          <w:tcPr>
            <w:tcW w:type="dxa" w:w="26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Source</w:t>
            </w:r>
          </w:p>
        </w:tc>
        <w:tc>
          <w:tcPr>
            <w:tcW w:type="dxa" w:w="35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How it applied here</w:t>
            </w:r>
          </w:p>
        </w:tc>
      </w:tr>
      <w:tr>
        <w:trPr>
          <w:trHeight w:val="300" w:hRule="atLeast"/>
        </w:trPr>
        <w:tc>
          <w:tcPr>
            <w:tcW w:type="dxa" w:w="3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(ex.) Chase dynamic stability, not mobility</w:t>
            </w:r>
          </w:p>
        </w:tc>
        <w:tc>
          <w:tcPr>
            <w:tcW w:type="dxa" w:w="26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Dysplasia / hip-instability literature</w:t>
            </w:r>
          </w:p>
        </w:tc>
        <w:tc>
          <w:tcPr>
            <w:tcW w:type="dxa" w:w="3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Excluded end-range work; built glute-med &amp; lateral chain</w:t>
            </w:r>
          </w:p>
        </w:tc>
      </w:tr>
      <w:tr>
        <w:trPr>
          <w:trHeight w:val="300" w:hRule="atLeast"/>
        </w:trPr>
        <w:tc>
          <w:tcPr>
            <w:tcW w:type="dxa" w:w="3200"/>
            <w:tcMar>
              <w:top w:w="70" w:type="dxa"/>
              <w:left w:w="130" w:type="dxa"/>
              <w:bottom w:w="70" w:type="dxa"/>
              <w:right w:w="130" w:type="dxa"/>
            </w:tcMar>
            <w:vAlign w:val="top"/>
          </w:tcPr>
          <w:p>
            <w:pPr>
              <w:spacing w:before="0" w:after="0" w:line="240" w:lineRule="auto"/>
            </w:pPr>
          </w:p>
        </w:tc>
        <w:tc>
          <w:tcPr>
            <w:tcW w:type="dxa" w:w="2650"/>
            <w:tcMar>
              <w:top w:w="70" w:type="dxa"/>
              <w:left w:w="130" w:type="dxa"/>
              <w:bottom w:w="70" w:type="dxa"/>
              <w:right w:w="130" w:type="dxa"/>
            </w:tcMar>
            <w:vAlign w:val="top"/>
          </w:tcPr>
          <w:p>
            <w:pPr>
              <w:spacing w:before="0" w:after="0" w:line="240" w:lineRule="auto"/>
            </w:pPr>
          </w:p>
        </w:tc>
        <w:tc>
          <w:tcPr>
            <w:tcW w:type="dxa" w:w="3500"/>
            <w:tcMar>
              <w:top w:w="70" w:type="dxa"/>
              <w:left w:w="130" w:type="dxa"/>
              <w:bottom w:w="70" w:type="dxa"/>
              <w:right w:w="130" w:type="dxa"/>
            </w:tcMar>
            <w:vAlign w:val="top"/>
          </w:tcPr>
          <w:p>
            <w:pPr>
              <w:spacing w:before="0" w:after="0" w:line="240" w:lineRule="auto"/>
            </w:pPr>
          </w:p>
        </w:tc>
      </w:tr>
      <w:tr>
        <w:trPr>
          <w:trHeight w:val="300" w:hRule="atLeast"/>
        </w:trPr>
        <w:tc>
          <w:tcPr>
            <w:tcW w:type="dxa" w:w="3200"/>
            <w:tcMar>
              <w:top w:w="70" w:type="dxa"/>
              <w:left w:w="130" w:type="dxa"/>
              <w:bottom w:w="70" w:type="dxa"/>
              <w:right w:w="130" w:type="dxa"/>
            </w:tcMar>
            <w:vAlign w:val="top"/>
          </w:tcPr>
          <w:p>
            <w:pPr>
              <w:spacing w:before="0" w:after="0" w:line="240" w:lineRule="auto"/>
            </w:pPr>
          </w:p>
        </w:tc>
        <w:tc>
          <w:tcPr>
            <w:tcW w:type="dxa" w:w="2650"/>
            <w:tcMar>
              <w:top w:w="70" w:type="dxa"/>
              <w:left w:w="130" w:type="dxa"/>
              <w:bottom w:w="70" w:type="dxa"/>
              <w:right w:w="130" w:type="dxa"/>
            </w:tcMar>
            <w:vAlign w:val="top"/>
          </w:tcPr>
          <w:p>
            <w:pPr>
              <w:spacing w:before="0" w:after="0" w:line="240" w:lineRule="auto"/>
            </w:pPr>
          </w:p>
        </w:tc>
        <w:tc>
          <w:tcPr>
            <w:tcW w:type="dxa" w:w="3500"/>
            <w:tcMar>
              <w:top w:w="70" w:type="dxa"/>
              <w:left w:w="130" w:type="dxa"/>
              <w:bottom w:w="70" w:type="dxa"/>
              <w:right w:w="130" w:type="dxa"/>
            </w:tcMar>
            <w:vAlign w:val="top"/>
          </w:tcPr>
          <w:p>
            <w:pPr>
              <w:spacing w:before="0" w:after="0" w:line="240" w:lineRule="auto"/>
            </w:pPr>
          </w:p>
        </w:tc>
      </w:tr>
    </w:tbl>
    <w:p>
      <w:pPr>
        <w:spacing w:after="40"/>
      </w:pPr>
    </w:p>
    <w:p>
      <w:pPr>
        <w:pStyle w:val="Heading2"/>
        <w:spacing w:before="220" w:after="60" w:line="240" w:lineRule="auto"/>
      </w:pPr>
      <w:r>
        <w:rPr>
          <w:rFonts w:ascii="Calibri" w:hAnsi="Calibri"/>
          <w:b/>
          <w:i w:val="0"/>
          <w:color w:val="2A5C45"/>
          <w:sz w:val="25"/>
        </w:rPr>
        <w:t>Form 15 — Reflective practice log (one at every phase gate)</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1700"/>
        <w:gridCol w:w="2450"/>
        <w:gridCol w:w="2450"/>
        <w:gridCol w:w="2750"/>
      </w:tblGrid>
      <w:tr>
        <w:tc>
          <w:tcPr>
            <w:tcW w:type="dxa" w:w="17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Date / phase</w:t>
            </w:r>
          </w:p>
        </w:tc>
        <w:tc>
          <w:tcPr>
            <w:tcW w:type="dxa" w:w="24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What I planned</w:t>
            </w:r>
          </w:p>
        </w:tc>
        <w:tc>
          <w:tcPr>
            <w:tcW w:type="dxa" w:w="24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What actually happened</w:t>
            </w:r>
          </w:p>
        </w:tc>
        <w:tc>
          <w:tcPr>
            <w:tcW w:type="dxa" w:w="27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What I changed &amp; what I learned</w:t>
            </w:r>
          </w:p>
        </w:tc>
      </w:tr>
      <w:tr>
        <w:trPr>
          <w:trHeight w:val="300" w:hRule="atLeast"/>
        </w:trPr>
        <w:tc>
          <w:tcPr>
            <w:tcW w:type="dxa" w:w="1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(ex.) End of Phase 2</w:t>
            </w:r>
          </w:p>
        </w:tc>
        <w:tc>
          <w:tcPr>
            <w:tcW w:type="dxa" w:w="24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Progress to single-leg loading</w:t>
            </w:r>
          </w:p>
        </w:tc>
        <w:tc>
          <w:tcPr>
            <w:tcW w:type="dxa" w:w="24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Right-side control lagged; a long match spiked load</w:t>
            </w:r>
          </w:p>
        </w:tc>
        <w:tc>
          <w:tcPr>
            <w:tcW w:type="dxa" w:w="27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Held a week, added lateral-chain volume — court load is real, plan around it</w:t>
            </w:r>
          </w:p>
        </w:tc>
      </w:tr>
      <w:tr>
        <w:trPr>
          <w:trHeight w:val="300" w:hRule="atLeast"/>
        </w:trPr>
        <w:tc>
          <w:tcPr>
            <w:tcW w:type="dxa" w:w="1700"/>
            <w:tcMar>
              <w:top w:w="70" w:type="dxa"/>
              <w:left w:w="130" w:type="dxa"/>
              <w:bottom w:w="70" w:type="dxa"/>
              <w:right w:w="130" w:type="dxa"/>
            </w:tcMar>
            <w:vAlign w:val="top"/>
          </w:tcPr>
          <w:p>
            <w:pPr>
              <w:spacing w:before="0" w:after="0" w:line="240" w:lineRule="auto"/>
            </w:pPr>
          </w:p>
        </w:tc>
        <w:tc>
          <w:tcPr>
            <w:tcW w:type="dxa" w:w="2450"/>
            <w:tcMar>
              <w:top w:w="70" w:type="dxa"/>
              <w:left w:w="130" w:type="dxa"/>
              <w:bottom w:w="70" w:type="dxa"/>
              <w:right w:w="130" w:type="dxa"/>
            </w:tcMar>
            <w:vAlign w:val="top"/>
          </w:tcPr>
          <w:p>
            <w:pPr>
              <w:spacing w:before="0" w:after="0" w:line="240" w:lineRule="auto"/>
            </w:pPr>
          </w:p>
        </w:tc>
        <w:tc>
          <w:tcPr>
            <w:tcW w:type="dxa" w:w="2450"/>
            <w:tcMar>
              <w:top w:w="70" w:type="dxa"/>
              <w:left w:w="130" w:type="dxa"/>
              <w:bottom w:w="70" w:type="dxa"/>
              <w:right w:w="130" w:type="dxa"/>
            </w:tcMar>
            <w:vAlign w:val="top"/>
          </w:tcPr>
          <w:p>
            <w:pPr>
              <w:spacing w:before="0" w:after="0" w:line="240" w:lineRule="auto"/>
            </w:pPr>
          </w:p>
        </w:tc>
        <w:tc>
          <w:tcPr>
            <w:tcW w:type="dxa" w:w="2750"/>
            <w:tcMar>
              <w:top w:w="70" w:type="dxa"/>
              <w:left w:w="130" w:type="dxa"/>
              <w:bottom w:w="70" w:type="dxa"/>
              <w:right w:w="130" w:type="dxa"/>
            </w:tcMar>
            <w:vAlign w:val="top"/>
          </w:tcPr>
          <w:p>
            <w:pPr>
              <w:spacing w:before="0" w:after="0" w:line="240" w:lineRule="auto"/>
            </w:pPr>
          </w:p>
        </w:tc>
      </w:tr>
      <w:tr>
        <w:trPr>
          <w:trHeight w:val="300" w:hRule="atLeast"/>
        </w:trPr>
        <w:tc>
          <w:tcPr>
            <w:tcW w:type="dxa" w:w="1700"/>
            <w:tcMar>
              <w:top w:w="70" w:type="dxa"/>
              <w:left w:w="130" w:type="dxa"/>
              <w:bottom w:w="70" w:type="dxa"/>
              <w:right w:w="130" w:type="dxa"/>
            </w:tcMar>
            <w:vAlign w:val="top"/>
          </w:tcPr>
          <w:p>
            <w:pPr>
              <w:spacing w:before="0" w:after="0" w:line="240" w:lineRule="auto"/>
            </w:pPr>
          </w:p>
        </w:tc>
        <w:tc>
          <w:tcPr>
            <w:tcW w:type="dxa" w:w="2450"/>
            <w:tcMar>
              <w:top w:w="70" w:type="dxa"/>
              <w:left w:w="130" w:type="dxa"/>
              <w:bottom w:w="70" w:type="dxa"/>
              <w:right w:w="130" w:type="dxa"/>
            </w:tcMar>
            <w:vAlign w:val="top"/>
          </w:tcPr>
          <w:p>
            <w:pPr>
              <w:spacing w:before="0" w:after="0" w:line="240" w:lineRule="auto"/>
            </w:pPr>
          </w:p>
        </w:tc>
        <w:tc>
          <w:tcPr>
            <w:tcW w:type="dxa" w:w="2450"/>
            <w:tcMar>
              <w:top w:w="70" w:type="dxa"/>
              <w:left w:w="130" w:type="dxa"/>
              <w:bottom w:w="70" w:type="dxa"/>
              <w:right w:w="130" w:type="dxa"/>
            </w:tcMar>
            <w:vAlign w:val="top"/>
          </w:tcPr>
          <w:p>
            <w:pPr>
              <w:spacing w:before="0" w:after="0" w:line="240" w:lineRule="auto"/>
            </w:pPr>
          </w:p>
        </w:tc>
        <w:tc>
          <w:tcPr>
            <w:tcW w:type="dxa" w:w="2750"/>
            <w:tcMar>
              <w:top w:w="70" w:type="dxa"/>
              <w:left w:w="130" w:type="dxa"/>
              <w:bottom w:w="70" w:type="dxa"/>
              <w:right w:w="130" w:type="dxa"/>
            </w:tcMar>
            <w:vAlign w:val="top"/>
          </w:tcPr>
          <w:p>
            <w:pPr>
              <w:spacing w:before="0" w:after="0" w:line="240" w:lineRule="auto"/>
            </w:pPr>
          </w:p>
        </w:tc>
      </w:tr>
    </w:tbl>
    <w:p>
      <w:pPr>
        <w:spacing w:after="40"/>
      </w:pPr>
    </w:p>
    <w:p>
      <w:pPr>
        <w:spacing w:before="200" w:after="0" w:line="240" w:lineRule="auto"/>
        <w:pBdr>
          <w:bottom w:val="single" w:sz="4" w:space="4" w:color="BFBDB6"/>
        </w:pBdr>
      </w:pPr>
    </w:p>
    <w:p>
      <w:pPr>
        <w:spacing w:before="80" w:after="0" w:line="269" w:lineRule="auto"/>
      </w:pPr>
      <w:r>
        <w:rPr>
          <w:rFonts w:ascii="Calibri" w:hAnsi="Calibri"/>
          <w:b w:val="0"/>
          <w:i/>
          <w:color w:val="6B6B66"/>
          <w:sz w:val="18"/>
        </w:rPr>
        <w:t>AA Performance · Learning Series — internal coach-education document. Method template only; all athlete casework to be documented from real, completed programmes.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Returning the Rotational Athlete — Hip Labral Tear on a Dysplastic Socket</dc:title>
  <dc:subject>Conservative return-to-sport method walkthrough (UKSCA)</dc:subject>
  <dc:creator>AA Performance</dc:creator>
  <cp:keywords/>
  <dc:description>generated by python-docx</dc:description>
  <cp:lastModifiedBy/>
  <cp:revision>1</cp:revision>
  <dcterms:created xsi:type="dcterms:W3CDTF">2013-12-23T23:15:00Z</dcterms:created>
  <dcterms:modified xsi:type="dcterms:W3CDTF">2013-12-23T23:15:00Z</dcterms:modified>
  <cp:category>Learning Series</cp:category>
</cp:coreProperties>
</file>