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pPr>
      <w:r>
        <w:rPr>
          <w:rFonts w:ascii="Calibri" w:hAnsi="Calibri"/>
          <w:b/>
          <w:i w:val="0"/>
          <w:color w:val="6B6B66"/>
          <w:sz w:val="18"/>
        </w:rPr>
        <w:t>AA PERFORMANCE · LEARNING SERIES</w:t>
      </w:r>
    </w:p>
    <w:p>
      <w:pPr>
        <w:spacing w:before="40" w:after="40" w:line="240" w:lineRule="auto"/>
      </w:pPr>
      <w:r>
        <w:rPr>
          <w:rFonts w:ascii="Calibri" w:hAnsi="Calibri"/>
          <w:b/>
          <w:i w:val="0"/>
          <w:color w:val="2A5C45"/>
          <w:sz w:val="44"/>
        </w:rPr>
        <w:t>Coaching Body Recomposition</w:t>
      </w:r>
    </w:p>
    <w:p>
      <w:pPr>
        <w:spacing w:before="0" w:after="80" w:line="240" w:lineRule="auto"/>
      </w:pPr>
      <w:r>
        <w:rPr>
          <w:rFonts w:ascii="Calibri" w:hAnsi="Calibri"/>
          <w:b/>
          <w:i w:val="0"/>
          <w:color w:val="C4522A"/>
          <w:sz w:val="28"/>
        </w:rPr>
        <w:t>Fat Loss and Muscle Gain — The Evidence-Based, Measured Method</w:t>
      </w:r>
    </w:p>
    <w:p>
      <w:pPr>
        <w:spacing w:before="0" w:after="120" w:line="269" w:lineRule="auto"/>
      </w:pPr>
      <w:r>
        <w:rPr>
          <w:rFonts w:ascii="Calibri" w:hAnsi="Calibri"/>
          <w:b w:val="0"/>
          <w:i/>
          <w:color w:val="6B6B66"/>
          <w:sz w:val="22"/>
        </w:rPr>
        <w:t>A mentor's walkthrough for the developing coach: every step from the first consultation to a leaner, stronger, healthier client — and the why behind each one.</w:t>
      </w:r>
    </w:p>
    <w:p>
      <w:pPr>
        <w:spacing w:before="40" w:after="200" w:line="240" w:lineRule="auto"/>
        <w:pBdr>
          <w:bottom w:val="single" w:sz="8" w:space="4" w:color="C4522A"/>
        </w:pBdr>
      </w:pPr>
    </w:p>
    <w:p>
      <w:pPr>
        <w:pStyle w:val="Heading1"/>
        <w:spacing w:before="320" w:after="100" w:line="240" w:lineRule="auto"/>
      </w:pPr>
      <w:r>
        <w:rPr>
          <w:rFonts w:ascii="Calibri" w:hAnsi="Calibri"/>
          <w:b/>
          <w:i w:val="0"/>
          <w:color w:val="C4522A"/>
          <w:sz w:val="30"/>
        </w:rPr>
        <w:t>How to Use This Document</w:t>
      </w:r>
    </w:p>
    <w:p>
      <w:pPr>
        <w:spacing w:before="0" w:after="160" w:line="269" w:lineRule="auto"/>
      </w:pPr>
      <w:r>
        <w:rPr>
          <w:rFonts w:ascii="Calibri" w:hAnsi="Calibri"/>
          <w:b w:val="0"/>
          <w:i w:val="0"/>
          <w:color w:val="2B2B28"/>
          <w:sz w:val="22"/>
        </w:rPr>
        <w:t>This is a method document, not a case study. It teaches the complete process for taking a general-population gym client who wants to lose fat and build muscle from the first consultation to a measurably leaner, stronger, healthier version of himself, documented to a standard a UKSCA assessor would respect. Read it to learn the reasoning. Then, when a real client walks in, run the process on him and record his data.</w:t>
      </w:r>
    </w:p>
    <w:p>
      <w:pPr>
        <w:spacing w:before="0" w:after="160" w:line="269" w:lineRule="auto"/>
      </w:pPr>
      <w:r>
        <w:rPr>
          <w:rFonts w:ascii="Calibri" w:hAnsi="Calibri"/>
          <w:b/>
          <w:i w:val="0"/>
          <w:color w:val="2B2B28"/>
          <w:sz w:val="22"/>
        </w:rPr>
        <w:t>One thing before anything else: the case study is the client, not the template. Assessors fail theoretical work and “too good to be true” results, and experienced employers can smell both. This document makes you ready; the real client, with his real bumpy data — the stalled fortnight, the holiday that undid a week — makes the case. A programme with an honest plateau and a smart response to it reads as more credible than a straight line down, because assessors have coached, and they know straight lines don’t exist.</w:t>
      </w:r>
    </w:p>
    <w:p>
      <w:pPr>
        <w:spacing w:before="0" w:after="160" w:line="269" w:lineRule="auto"/>
      </w:pPr>
      <w:r>
        <w:rPr>
          <w:rFonts w:ascii="Calibri" w:hAnsi="Calibri"/>
          <w:b w:val="0"/>
          <w:i w:val="0"/>
          <w:color w:val="2B2B28"/>
          <w:sz w:val="22"/>
        </w:rPr>
        <w:t xml:space="preserve">A word of honesty this document owes you, because it affects how you present the work. The UKSCA is a strength-and-conditioning body, and its case study is built around preparing an </w:t>
      </w:r>
      <w:r>
        <w:rPr>
          <w:rFonts w:ascii="Calibri" w:hAnsi="Calibri"/>
          <w:b/>
          <w:i w:val="0"/>
          <w:color w:val="2B2B28"/>
          <w:sz w:val="22"/>
        </w:rPr>
        <w:t>athlete</w:t>
      </w:r>
      <w:r>
        <w:rPr>
          <w:rFonts w:ascii="Calibri" w:hAnsi="Calibri"/>
          <w:b w:val="0"/>
          <w:i w:val="0"/>
          <w:color w:val="2B2B28"/>
          <w:sz w:val="22"/>
        </w:rPr>
        <w:t xml:space="preserve"> for a </w:t>
      </w:r>
      <w:r>
        <w:rPr>
          <w:rFonts w:ascii="Calibri" w:hAnsi="Calibri"/>
          <w:b/>
          <w:i w:val="0"/>
          <w:color w:val="2B2B28"/>
          <w:sz w:val="22"/>
        </w:rPr>
        <w:t>sport</w:t>
      </w:r>
      <w:r>
        <w:rPr>
          <w:rFonts w:ascii="Calibri" w:hAnsi="Calibri"/>
          <w:b w:val="0"/>
          <w:i w:val="0"/>
          <w:color w:val="2B2B28"/>
          <w:sz w:val="22"/>
        </w:rPr>
        <w:t xml:space="preserve"> — the needs analysis is normally a sport analysis. A general-population fat-loss client is not the textbook case, so we do not pretend otherwise: we make it defensible by treating the client as an athlete of daily life, anchoring the whole plan in </w:t>
      </w:r>
      <w:r>
        <w:rPr>
          <w:rFonts w:ascii="Calibri" w:hAnsi="Calibri"/>
          <w:b/>
          <w:i w:val="0"/>
          <w:color w:val="2B2B28"/>
          <w:sz w:val="22"/>
        </w:rPr>
        <w:t>measurable physical-capacity and health outcomes</w:t>
      </w:r>
      <w:r>
        <w:rPr>
          <w:rFonts w:ascii="Calibri" w:hAnsi="Calibri"/>
          <w:b w:val="0"/>
          <w:i w:val="0"/>
          <w:color w:val="2B2B28"/>
          <w:sz w:val="22"/>
        </w:rPr>
        <w:t xml:space="preserve"> — strength, work capacity, waist-to-height, blood pressure, resting heart rate — and letting the leaner physique be the visible by-product of a health-and-performance project, not the project itself. Framed that way, everything an assessor actually scores — a real needs analysis, valid testing, a monitored and evaluated programme, professional practice within scope — is present and assessable. (If your goal is purely physique work with no interest in the performance-and-health framing, a physique or nutrition-coaching qualification may fit the evidence better than the UKSCA; this document assumes the health-and-capacity route.)</w:t>
      </w:r>
    </w:p>
    <w:p>
      <w:pPr>
        <w:spacing w:before="0" w:after="160" w:line="269" w:lineRule="auto"/>
      </w:pPr>
      <w:r>
        <w:rPr>
          <w:rFonts w:ascii="Calibri" w:hAnsi="Calibri"/>
          <w:b w:val="0"/>
          <w:i w:val="0"/>
          <w:color w:val="2B2B28"/>
          <w:sz w:val="22"/>
        </w:rPr>
        <w:t>The arc you are about to learn, in one line: screen and set the scope → understand the energy problem → analyse the individual → measure a valid baseline → programme training and nutrition together → monitor the trend, not the day → evaluate and sustain → write it up. Eight moves. Everything else is detail inside those moves. And one truth runs underneath all of them: fat loss and muscle gain pull in opposite directions, and the whole craft is managing that tension, not pretending it away.</w:t>
      </w:r>
    </w:p>
    <w:p>
      <w:pPr>
        <w:pStyle w:val="Heading1"/>
        <w:spacing w:before="320" w:after="100" w:line="240" w:lineRule="auto"/>
      </w:pPr>
      <w:r>
        <w:rPr>
          <w:rFonts w:ascii="Calibri" w:hAnsi="Calibri"/>
          <w:b/>
          <w:i w:val="0"/>
          <w:color w:val="C4522A"/>
          <w:sz w:val="30"/>
        </w:rPr>
        <w:t>Step 0 — Before You Write a Single Rep</w:t>
      </w:r>
    </w:p>
    <w:p>
      <w:pPr>
        <w:spacing w:before="0" w:after="160" w:line="269" w:lineRule="auto"/>
      </w:pPr>
      <w:r>
        <w:rPr>
          <w:rFonts w:ascii="Calibri" w:hAnsi="Calibri"/>
          <w:b w:val="0"/>
          <w:i w:val="0"/>
          <w:color w:val="2B2B28"/>
          <w:sz w:val="22"/>
        </w:rPr>
        <w:t>Start with what you are not. You are a strength and conditioning coach, not a dietitian and not a clinician. That line matters more here than in almost any other kind of coaching, because fat loss lives next door to disordered eating and to genuine medical conditions, and the client cannot always tell you which one he is bringing through the door. You own the training, the general principles of energy balance and protein, the behaviour-change scaffolding, and the monitoring. You do not own medical nutrition therapy, the management of clinical conditions, or the treatment of an eating disorder — those you screen for and refer. Holding that line protects the client, protects you, and is itself a competency an assessor scores.</w:t>
      </w:r>
    </w:p>
    <w:p>
      <w:pPr>
        <w:spacing w:before="0" w:after="160" w:line="269" w:lineRule="auto"/>
      </w:pPr>
      <w:r>
        <w:rPr>
          <w:rFonts w:ascii="Calibri" w:hAnsi="Calibri"/>
          <w:b w:val="0"/>
          <w:i w:val="0"/>
          <w:color w:val="2B2B28"/>
          <w:sz w:val="22"/>
        </w:rPr>
        <w:t>So before any programming, you secure four things:</w:t>
      </w:r>
    </w:p>
    <w:p>
      <w:pPr>
        <w:pStyle w:val="ListBullet"/>
        <w:spacing w:before="0" w:after="80" w:line="269" w:lineRule="auto"/>
      </w:pPr>
      <w:r>
        <w:rPr>
          <w:rFonts w:ascii="Calibri" w:hAnsi="Calibri"/>
          <w:b/>
          <w:i w:val="0"/>
          <w:color w:val="2B2B28"/>
          <w:sz w:val="22"/>
        </w:rPr>
        <w:t>A health screen, in writing</w:t>
      </w:r>
      <w:r>
        <w:rPr>
          <w:rFonts w:ascii="Calibri" w:hAnsi="Calibri"/>
          <w:b w:val="0"/>
          <w:i w:val="0"/>
          <w:color w:val="2B2B28"/>
          <w:sz w:val="22"/>
        </w:rPr>
        <w:t xml:space="preserve"> — a PAR-Q or equivalent, plus a short medical and medication history. A fit-looking client can hide high blood pressure, a thyroid condition, a medication that changes how he responds, or a history you need to know about. If anything flags, you get medical clearance before you load him. Form 1.</w:t>
      </w:r>
    </w:p>
    <w:p>
      <w:pPr>
        <w:pStyle w:val="ListBullet"/>
        <w:spacing w:before="0" w:after="80" w:line="269" w:lineRule="auto"/>
      </w:pPr>
      <w:r>
        <w:rPr>
          <w:rFonts w:ascii="Calibri" w:hAnsi="Calibri"/>
          <w:b/>
          <w:i w:val="0"/>
          <w:color w:val="2B2B28"/>
          <w:sz w:val="22"/>
        </w:rPr>
        <w:t>Informed consent, in writing</w:t>
      </w:r>
      <w:r>
        <w:rPr>
          <w:rFonts w:ascii="Calibri" w:hAnsi="Calibri"/>
          <w:b w:val="0"/>
          <w:i w:val="0"/>
          <w:color w:val="2B2B28"/>
          <w:sz w:val="22"/>
        </w:rPr>
        <w:t xml:space="preserve"> — permission to record his data, his measurements and his photographs, to store them securely, and to use the anonymised case for your professional development and portfolio. Photographs especially: get explicit, specific consent, and store them like the sensitive data they are. Form 2.</w:t>
      </w:r>
    </w:p>
    <w:p>
      <w:pPr>
        <w:pStyle w:val="ListBullet"/>
        <w:spacing w:before="0" w:after="80" w:line="269" w:lineRule="auto"/>
      </w:pPr>
      <w:r>
        <w:rPr>
          <w:rFonts w:ascii="Calibri" w:hAnsi="Calibri"/>
          <w:b/>
          <w:i w:val="0"/>
          <w:color w:val="2B2B28"/>
          <w:sz w:val="22"/>
        </w:rPr>
        <w:t>A scope-of-practice and referral line, agreed out loud</w:t>
      </w:r>
      <w:r>
        <w:rPr>
          <w:rFonts w:ascii="Calibri" w:hAnsi="Calibri"/>
          <w:b w:val="0"/>
          <w:i w:val="0"/>
          <w:color w:val="2B2B28"/>
          <w:sz w:val="22"/>
        </w:rPr>
        <w:t xml:space="preserve"> — what you will coach (training, energy-balance and protein guidance, habits) and what you will refer (clinical nutrition, medical conditions, any sign of disordered eating). Name the dietitian and GP you refer to before you need them. Form 10.</w:t>
      </w:r>
    </w:p>
    <w:p>
      <w:pPr>
        <w:pStyle w:val="ListBullet"/>
        <w:spacing w:before="0" w:after="80" w:line="269" w:lineRule="auto"/>
      </w:pPr>
      <w:r>
        <w:rPr>
          <w:rFonts w:ascii="Calibri" w:hAnsi="Calibri"/>
          <w:b/>
          <w:i w:val="0"/>
          <w:color w:val="2B2B28"/>
          <w:sz w:val="22"/>
        </w:rPr>
        <w:t>Your documentation system, open on day zero</w:t>
      </w:r>
      <w:r>
        <w:rPr>
          <w:rFonts w:ascii="Calibri" w:hAnsi="Calibri"/>
          <w:b w:val="0"/>
          <w:i w:val="0"/>
          <w:color w:val="2B2B28"/>
          <w:sz w:val="22"/>
        </w:rPr>
        <w:t xml:space="preserve"> — baseline forms ready, weekly log built, review schedule set. We document from the first contact because the evidence has to be completed and real, and because memory is a liar: a case reconstructed in month four reads exactly like what it is.</w:t>
      </w:r>
    </w:p>
    <w:p>
      <w:pPr>
        <w:pStyle w:val="Heading2"/>
        <w:spacing w:before="220" w:after="60" w:line="240" w:lineRule="auto"/>
      </w:pPr>
      <w:r>
        <w:rPr>
          <w:rFonts w:ascii="Calibri" w:hAnsi="Calibri"/>
          <w:b/>
          <w:i w:val="0"/>
          <w:color w:val="2A5C45"/>
          <w:sz w:val="25"/>
        </w:rPr>
        <w:t>The consultation — the questions that shape the whole plan</w:t>
      </w:r>
    </w:p>
    <w:p>
      <w:pPr>
        <w:spacing w:before="0" w:after="160" w:line="269" w:lineRule="auto"/>
      </w:pPr>
      <w:r>
        <w:rPr>
          <w:rFonts w:ascii="Calibri" w:hAnsi="Calibri"/>
          <w:b w:val="0"/>
          <w:i w:val="0"/>
          <w:color w:val="2B2B28"/>
          <w:sz w:val="22"/>
        </w:rPr>
        <w:t>The first conversation is an assessment, so treat it like one. You are learning what to programme, what to refer, and what will actually get adhered to. Ask:</w:t>
      </w:r>
    </w:p>
    <w:p>
      <w:pPr>
        <w:pStyle w:val="ListBullet"/>
        <w:spacing w:before="0" w:after="80" w:line="269" w:lineRule="auto"/>
      </w:pPr>
      <w:r>
        <w:rPr>
          <w:rFonts w:ascii="Calibri" w:hAnsi="Calibri"/>
          <w:b/>
          <w:i w:val="0"/>
          <w:color w:val="2B2B28"/>
          <w:sz w:val="22"/>
        </w:rPr>
        <w:t>What exactly do you want, and by when?</w:t>
      </w:r>
      <w:r>
        <w:rPr>
          <w:rFonts w:ascii="Calibri" w:hAnsi="Calibri"/>
          <w:b w:val="0"/>
          <w:i w:val="0"/>
          <w:color w:val="2B2B28"/>
          <w:sz w:val="22"/>
        </w:rPr>
        <w:t xml:space="preserve"> Then translate his answer into something measurable and honest — a rate of fat loss, a strength target, a health marker — and reset the timeline to reality if you must. “Lose 10 kg in six weeks” becomes “lose fat at a sustainable rate while keeping — and building — muscle, and get your waist under half your height by the spring.”</w:t>
      </w:r>
    </w:p>
    <w:p>
      <w:pPr>
        <w:pStyle w:val="ListBullet"/>
        <w:spacing w:before="0" w:after="80" w:line="269" w:lineRule="auto"/>
      </w:pPr>
      <w:r>
        <w:rPr>
          <w:rFonts w:ascii="Calibri" w:hAnsi="Calibri"/>
          <w:b/>
          <w:i w:val="0"/>
          <w:color w:val="2B2B28"/>
          <w:sz w:val="22"/>
        </w:rPr>
        <w:t>What have you tried, and what happened?</w:t>
      </w:r>
      <w:r>
        <w:rPr>
          <w:rFonts w:ascii="Calibri" w:hAnsi="Calibri"/>
          <w:b w:val="0"/>
          <w:i w:val="0"/>
          <w:color w:val="2B2B28"/>
          <w:sz w:val="22"/>
        </w:rPr>
        <w:t xml:space="preserve"> The history of failed diets tells you what he can and cannot sustain, and it is usually the adherence, not the plan, that broke.</w:t>
      </w:r>
    </w:p>
    <w:p>
      <w:pPr>
        <w:pStyle w:val="ListBullet"/>
        <w:spacing w:before="0" w:after="80" w:line="269" w:lineRule="auto"/>
      </w:pPr>
      <w:r>
        <w:rPr>
          <w:rFonts w:ascii="Calibri" w:hAnsi="Calibri"/>
          <w:b/>
          <w:i w:val="0"/>
          <w:color w:val="2B2B28"/>
          <w:sz w:val="22"/>
        </w:rPr>
        <w:t>What does a normal week actually look like?</w:t>
      </w:r>
      <w:r>
        <w:rPr>
          <w:rFonts w:ascii="Calibri" w:hAnsi="Calibri"/>
          <w:b w:val="0"/>
          <w:i w:val="0"/>
          <w:color w:val="2B2B28"/>
          <w:sz w:val="22"/>
        </w:rPr>
        <w:t xml:space="preserve"> Work, sleep, stress, travel, who cooks, when he trains, how he moves the other twenty-three hours. The best programme he won’t do is worse than the decent one he will.</w:t>
      </w:r>
    </w:p>
    <w:p>
      <w:pPr>
        <w:pStyle w:val="ListBullet"/>
        <w:spacing w:before="0" w:after="80" w:line="269" w:lineRule="auto"/>
      </w:pPr>
      <w:r>
        <w:rPr>
          <w:rFonts w:ascii="Calibri" w:hAnsi="Calibri"/>
          <w:b/>
          <w:i w:val="0"/>
          <w:color w:val="2B2B28"/>
          <w:sz w:val="22"/>
        </w:rPr>
        <w:t>Any medical history, conditions, medications, injuries?</w:t>
      </w:r>
      <w:r>
        <w:rPr>
          <w:rFonts w:ascii="Calibri" w:hAnsi="Calibri"/>
          <w:b w:val="0"/>
          <w:i w:val="0"/>
          <w:color w:val="2B2B28"/>
          <w:sz w:val="22"/>
        </w:rPr>
        <w:t xml:space="preserve"> This is the screen that decides whether you coach today or refer first.</w:t>
      </w:r>
    </w:p>
    <w:p>
      <w:pPr>
        <w:pStyle w:val="ListBullet"/>
        <w:spacing w:before="0" w:after="80" w:line="269" w:lineRule="auto"/>
      </w:pPr>
      <w:r>
        <w:rPr>
          <w:rFonts w:ascii="Calibri" w:hAnsi="Calibri"/>
          <w:b/>
          <w:i w:val="0"/>
          <w:color w:val="2B2B28"/>
          <w:sz w:val="22"/>
        </w:rPr>
        <w:t>What is your relationship with food and your body like?</w:t>
      </w:r>
      <w:r>
        <w:rPr>
          <w:rFonts w:ascii="Calibri" w:hAnsi="Calibri"/>
          <w:b w:val="0"/>
          <w:i w:val="0"/>
          <w:color w:val="2B2B28"/>
          <w:sz w:val="22"/>
        </w:rPr>
        <w:t xml:space="preserve"> Asked gently — because the answer occasionally tells you this is a referral, not a client, and catching that is one of the most important things you will ever do.</w:t>
      </w:r>
    </w:p>
    <w:p>
      <w:pPr>
        <w:pStyle w:val="ListBullet"/>
        <w:spacing w:before="0" w:after="80" w:line="269" w:lineRule="auto"/>
      </w:pPr>
      <w:r>
        <w:rPr>
          <w:rFonts w:ascii="Calibri" w:hAnsi="Calibri"/>
          <w:b/>
          <w:i w:val="0"/>
          <w:color w:val="2B2B28"/>
          <w:sz w:val="22"/>
        </w:rPr>
        <w:t>How will we communicate, and how often?</w:t>
      </w:r>
      <w:r>
        <w:rPr>
          <w:rFonts w:ascii="Calibri" w:hAnsi="Calibri"/>
          <w:b w:val="0"/>
          <w:i w:val="0"/>
          <w:color w:val="2B2B28"/>
          <w:sz w:val="22"/>
        </w:rPr>
        <w:t xml:space="preserve"> Then log it. Consistent, low-friction contact is the quiet engine of adherence.</w:t>
      </w:r>
    </w:p>
    <w:tbl>
      <w:tblPr>
        <w:tblW w:type="auto" w:w="0"/>
        <w:tblLook w:firstColumn="1" w:firstRow="1" w:lastColumn="0" w:lastRow="0" w:noHBand="0" w:noVBand="1" w:val="04A0"/>
        <w:tblW w:w="9350" w:type="dxa"/>
        <w:tblLayout w:type="fixed"/>
        <w:tblBorders>
          <w:top w:val="single" w:sz="12" w:space="0" w:color="2A5C45"/>
          <w:left w:val="single" w:sz="24" w:space="0" w:color="C4522A"/>
          <w:bottom w:val="single" w:sz="12" w:space="0" w:color="2A5C45"/>
          <w:right w:val="none" w:sz="0" w:space="0" w:color="FFFFFF"/>
          <w:insideH w:val="none" w:sz="0" w:space="0" w:color="FFFFFF"/>
          <w:insideV w:val="none" w:sz="0" w:space="0" w:color="FFFFFF"/>
        </w:tblBorders>
      </w:tblPr>
      <w:tblGrid>
        <w:gridCol w:w="9350"/>
      </w:tblGrid>
      <w:tr>
        <w:tc>
          <w:tcPr>
            <w:tcW w:type="dxa" w:w="9350"/>
            <w:shd w:val="clear" w:color="auto" w:fill="EDEAE4"/>
            <w:tcMar>
              <w:top w:w="150" w:type="dxa"/>
              <w:left w:w="230" w:type="dxa"/>
              <w:bottom w:w="150" w:type="dxa"/>
              <w:right w:w="180" w:type="dxa"/>
            </w:tcMar>
          </w:tcPr>
          <w:p>
            <w:pPr>
              <w:spacing w:before="0" w:after="80" w:line="240" w:lineRule="auto"/>
            </w:pPr>
            <w:r>
              <w:rPr>
                <w:rFonts w:ascii="Calibri" w:hAnsi="Calibri"/>
                <w:b/>
                <w:i w:val="0"/>
                <w:color w:val="C4522A"/>
                <w:sz w:val="22"/>
              </w:rPr>
              <w:t>MENTOR MOMENT 1</w:t>
            </w:r>
          </w:p>
          <w:p>
            <w:pPr>
              <w:spacing w:before="0" w:after="80" w:line="269" w:lineRule="auto"/>
            </w:pPr>
            <w:r>
              <w:rPr>
                <w:rFonts w:ascii="Calibri" w:hAnsi="Calibri"/>
                <w:b/>
                <w:color w:val="2A5C45"/>
                <w:sz w:val="22"/>
              </w:rPr>
              <w:t xml:space="preserve">The situation: </w:t>
            </w:r>
            <w:r>
              <w:rPr>
                <w:rFonts w:ascii="Calibri" w:hAnsi="Calibri"/>
                <w:b w:val="0"/>
                <w:i w:val="0"/>
                <w:color w:val="2B2B28"/>
                <w:sz w:val="22"/>
              </w:rPr>
              <w:t>First consultation. He says, “Just give me a meal plan and a fat-loss programme — I want to drop 10 kg in six weeks for a wedding.”</w:t>
            </w:r>
          </w:p>
          <w:p>
            <w:pPr>
              <w:spacing w:before="0" w:after="80" w:line="269" w:lineRule="auto"/>
            </w:pPr>
            <w:r>
              <w:rPr>
                <w:rFonts w:ascii="Calibri" w:hAnsi="Calibri"/>
                <w:b/>
                <w:color w:val="2A5C45"/>
                <w:sz w:val="22"/>
              </w:rPr>
              <w:t xml:space="preserve">What most coaches do: </w:t>
            </w:r>
            <w:r>
              <w:rPr>
                <w:rFonts w:ascii="Calibri" w:hAnsi="Calibri"/>
                <w:b w:val="0"/>
                <w:i w:val="0"/>
                <w:color w:val="2B2B28"/>
                <w:sz w:val="22"/>
              </w:rPr>
              <w:t>Hand him an aggressive deficit and a punishing training split, because that’s what he asked for and he seems motivated.</w:t>
            </w:r>
          </w:p>
          <w:p>
            <w:pPr>
              <w:spacing w:before="0" w:after="80" w:line="269" w:lineRule="auto"/>
            </w:pPr>
            <w:r>
              <w:rPr>
                <w:rFonts w:ascii="Calibri" w:hAnsi="Calibri"/>
                <w:b/>
                <w:color w:val="2A5C45"/>
                <w:sz w:val="22"/>
              </w:rPr>
              <w:t xml:space="preserve">The elite thinking: </w:t>
            </w:r>
            <w:r>
              <w:rPr>
                <w:rFonts w:ascii="Calibri" w:hAnsi="Calibri"/>
                <w:b w:val="0"/>
                <w:i w:val="0"/>
                <w:color w:val="2B2B28"/>
                <w:sz w:val="22"/>
              </w:rPr>
              <w:t>A 10 kg loss in six weeks is mostly water and muscle, it rebounds, and prescribing a rigid clinical meal plan is outside your lane anyway. You don’t crush his motivation — you redirect it. You explain, in plain terms, that fat comes off at a sustainable rate (roughly half to one percent of body weight a week), that muscle needs a training stimulus and enough protein or the diet eats it too, and that the win is a process he can hold long after the wedding. You set a realistic target, agree that adherence beats perfection, and — quietly — you note there were no red flags in his relationship with food, because if there had been, this would have been a referral first.</w:t>
            </w:r>
          </w:p>
          <w:p>
            <w:pPr>
              <w:spacing w:before="0" w:after="80" w:line="269" w:lineRule="auto"/>
            </w:pPr>
            <w:r>
              <w:rPr>
                <w:rFonts w:ascii="Calibri" w:hAnsi="Calibri"/>
                <w:b/>
                <w:color w:val="2A5C45"/>
                <w:sz w:val="22"/>
              </w:rPr>
              <w:t xml:space="preserve">The shift: </w:t>
            </w:r>
            <w:r>
              <w:rPr>
                <w:rFonts w:ascii="Calibri" w:hAnsi="Calibri"/>
                <w:b w:val="0"/>
                <w:i w:val="0"/>
                <w:color w:val="2B2B28"/>
                <w:sz w:val="22"/>
              </w:rPr>
              <w:t>Your job is a sustainable process and a healthier client, not a number by a Saturday. Sell him the process and the number takes care of itself.</w:t>
            </w:r>
          </w:p>
        </w:tc>
      </w:tr>
    </w:tbl>
    <w:p>
      <w:pPr>
        <w:spacing w:after="40"/>
      </w:pPr>
    </w:p>
    <w:p>
      <w:pPr>
        <w:pStyle w:val="Heading1"/>
        <w:spacing w:before="320" w:after="100" w:line="240" w:lineRule="auto"/>
      </w:pPr>
      <w:r>
        <w:rPr>
          <w:rFonts w:ascii="Calibri" w:hAnsi="Calibri"/>
          <w:b/>
          <w:i w:val="0"/>
          <w:color w:val="C4522A"/>
          <w:sz w:val="30"/>
        </w:rPr>
        <w:t>Step 1 — Understand the Energy Problem Before You Program It</w:t>
      </w:r>
    </w:p>
    <w:p>
      <w:pPr>
        <w:spacing w:before="0" w:after="160" w:line="269" w:lineRule="auto"/>
      </w:pPr>
      <w:r>
        <w:rPr>
          <w:rFonts w:ascii="Calibri" w:hAnsi="Calibri"/>
          <w:b w:val="0"/>
          <w:i w:val="0"/>
          <w:color w:val="2B2B28"/>
          <w:sz w:val="22"/>
        </w:rPr>
        <w:t>You cannot coach a process you don’t understand, so here is the physiology in the sentences that matter. Body fat is stored energy; you lose it by spending more energy than you eat, sustained over time — an energy deficit. Muscle is built tissue; you gain it by training hard enough to signal the need for it and feeding enough protein and, usually, enough total energy to pay for it. Those two requirements point in opposite directions: fat loss wants a deficit, muscle gain leans toward a surplus. And the body does not politely lose only fat in a deficit — left to itself it will spend muscle too, unless you give it a reason not to.</w:t>
      </w:r>
    </w:p>
    <w:p>
      <w:pPr>
        <w:spacing w:before="0" w:after="160" w:line="269" w:lineRule="auto"/>
      </w:pPr>
      <w:r>
        <w:rPr>
          <w:rFonts w:ascii="Calibri" w:hAnsi="Calibri"/>
          <w:b/>
          <w:i w:val="0"/>
          <w:color w:val="2B2B28"/>
          <w:sz w:val="22"/>
        </w:rPr>
        <w:t>Now the sentence this whole document turns on, so read it twice: fat loss and muscle gain are driven by opposite energy states, so you cannot maximise both at once, and any programme that promises you can is selling something. The craft is not escaping that tension — it is managing it. You run a modest energy deficit (or, for the right client, maintenance) so fat falls; you drive a hard, progressive resistance-training stimulus and feed enough protein so the body pays its energy bill out of fat and spares — even builds — muscle. Nutrition sets the direction of travel; training and protein decide which tissue you lose along the way.</w:t>
      </w:r>
    </w:p>
    <w:p>
      <w:pPr>
        <w:spacing w:before="0" w:after="160" w:line="269" w:lineRule="auto"/>
      </w:pPr>
      <w:r>
        <w:rPr>
          <w:rFonts w:ascii="Calibri" w:hAnsi="Calibri"/>
          <w:b w:val="0"/>
          <w:i w:val="0"/>
          <w:color w:val="2B2B28"/>
          <w:sz w:val="22"/>
        </w:rPr>
        <w:t>And here is why this particular client can have both at once when a lean bodybuilder cannot. Simultaneous body recomposition — losing fat and gaining muscle at the same time — works best in exactly three populations: people new to training, people returning after a lay-off, and people carrying more body fat to begin with. A general-population client who is relatively untrained and holding spare fat sits squarely in that window. It happens slowly, it is unglamorous, and it is largely invisible to the bathroom scale — which is precisely why the measurement system in Step 3 matters as much as the programme in Step 4.</w:t>
      </w:r>
    </w:p>
    <w:p>
      <w:pPr>
        <w:pStyle w:val="Heading2"/>
        <w:spacing w:before="220" w:after="60" w:line="240" w:lineRule="auto"/>
      </w:pPr>
      <w:r>
        <w:rPr>
          <w:rFonts w:ascii="Calibri" w:hAnsi="Calibri"/>
          <w:b/>
          <w:i w:val="0"/>
          <w:color w:val="2A5C45"/>
          <w:sz w:val="25"/>
        </w:rPr>
        <w:t>What actually drives each half of the result</w:t>
      </w:r>
    </w:p>
    <w:p>
      <w:pPr>
        <w:spacing w:before="0" w:after="160" w:line="269" w:lineRule="auto"/>
      </w:pPr>
      <w:r>
        <w:rPr>
          <w:rFonts w:ascii="Calibri" w:hAnsi="Calibri"/>
          <w:b w:val="0"/>
          <w:i w:val="0"/>
          <w:color w:val="2B2B28"/>
          <w:sz w:val="22"/>
        </w:rPr>
        <w:t>Keep the hierarchy straight, because it stops you fiddling with the wrong lever. For the fat-loss half: total energy balance is the driver, protein protects muscle and blunts hunger, and daily non-exercise movement (steps) is a bigger and more sustainable lever than smashing extra cardio. For the muscle half: a progressive resistance-training stimulus is non-negotiable — it is the signal — supported by adequate protein and enough recovery. Cardio serves health and adds to the deficit; it does not build the physique, and too much of it competes with recovery. Sleep and stress sit underneath all of it, because both move hunger, adherence and recovery more than any clever exercise choice ever will.</w:t>
      </w:r>
    </w:p>
    <w:p>
      <w:pPr>
        <w:pStyle w:val="Heading2"/>
        <w:spacing w:before="220" w:after="60" w:line="240" w:lineRule="auto"/>
      </w:pPr>
      <w:r>
        <w:rPr>
          <w:rFonts w:ascii="Calibri" w:hAnsi="Calibri"/>
          <w:b/>
          <w:i w:val="0"/>
          <w:color w:val="2A5C45"/>
          <w:sz w:val="25"/>
        </w:rPr>
        <w:t>Red flags — when you refer, not coach</w:t>
      </w:r>
    </w:p>
    <w:p>
      <w:pPr>
        <w:spacing w:before="0" w:after="160" w:line="269" w:lineRule="auto"/>
      </w:pPr>
      <w:r>
        <w:rPr>
          <w:rFonts w:ascii="Calibri" w:hAnsi="Calibri"/>
          <w:b w:val="0"/>
          <w:i w:val="0"/>
          <w:color w:val="2B2B28"/>
          <w:sz w:val="22"/>
        </w:rPr>
        <w:t>Some things are outside your lane the moment they appear, and recognising them is a competency in itself. Refer to a GP or a registered dietitian, and pause the aesthetic goal, if you see: any sign of disordered eating — bingeing, purging, severe restriction, a distressed or obsessive relationship with food or the body; rapid unexplained weight loss; a client wanting to push well below a healthy body-fat level; known medical conditions or medications where diet and load matter (diabetes, thyroid, cardiac, disordered blood pressure, pregnancy); or a health-screen flag you are not qualified to clear. Referring is not failing the client. It is the most professional thing you can do, and — documented — it is exactly the scope-of-practice judgement an assessor is looking for.</w:t>
      </w:r>
    </w:p>
    <w:p>
      <w:pPr>
        <w:pStyle w:val="Heading1"/>
        <w:spacing w:before="320" w:after="100" w:line="240" w:lineRule="auto"/>
      </w:pPr>
      <w:r>
        <w:rPr>
          <w:rFonts w:ascii="Calibri" w:hAnsi="Calibri"/>
          <w:b/>
          <w:i w:val="0"/>
          <w:color w:val="C4522A"/>
          <w:sz w:val="30"/>
        </w:rPr>
        <w:t>Step 2 — The Needs Analysis: Where Every Later Decision Gets Its Authority</w:t>
      </w:r>
    </w:p>
    <w:p>
      <w:pPr>
        <w:spacing w:before="0" w:after="160" w:line="269" w:lineRule="auto"/>
      </w:pPr>
      <w:r>
        <w:rPr>
          <w:rFonts w:ascii="Calibri" w:hAnsi="Calibri"/>
          <w:b w:val="0"/>
          <w:i w:val="0"/>
          <w:color w:val="2B2B28"/>
          <w:sz w:val="22"/>
        </w:rPr>
        <w:t>Everything you prescribe in month three must trace back to something you wrote down in week one. That is what a needs analysis is for — it is not paperwork, it is the source of authority for every decision that follows. When an assessor asks “why this?”, the winning answer is never “it’s good practice.” It is “because the outcome demands X, this client presented with Y, and this closes the gap.” You can only give that answer if the analysis exists. For a general-population client the analysis has two halves, and getting the framing right is what makes the case defensible.</w:t>
      </w:r>
    </w:p>
    <w:p>
      <w:pPr>
        <w:spacing w:before="0" w:after="160" w:line="269" w:lineRule="auto"/>
      </w:pPr>
      <w:r>
        <w:rPr>
          <w:rFonts w:ascii="Calibri" w:hAnsi="Calibri"/>
          <w:b w:val="0"/>
          <w:i w:val="0"/>
          <w:color w:val="2B2B28"/>
          <w:sz w:val="22"/>
        </w:rPr>
        <w:t xml:space="preserve">The </w:t>
      </w:r>
      <w:r>
        <w:rPr>
          <w:rFonts w:ascii="Calibri" w:hAnsi="Calibri"/>
          <w:b/>
          <w:i w:val="0"/>
          <w:color w:val="2B2B28"/>
          <w:sz w:val="22"/>
        </w:rPr>
        <w:t>outcome analysis</w:t>
      </w:r>
      <w:r>
        <w:rPr>
          <w:rFonts w:ascii="Calibri" w:hAnsi="Calibri"/>
          <w:b w:val="0"/>
          <w:i w:val="0"/>
          <w:color w:val="2B2B28"/>
          <w:sz w:val="22"/>
        </w:rPr>
        <w:t xml:space="preserve"> — what the goal actually demands, expressed as measurable physical-capacity and health targets rather than a look. For a recomposition client that means: a rate and direction of body-composition change (fat mass down, lean mass held or up); strength and work-capacity targets (a foundation of whole-body strength he doesn’t currently have); and health-marker targets that make this a genuine health project — waist-to-height ratio under 0.5, blood pressure and resting heart rate into healthy ranges, habitual activity up. The </w:t>
      </w:r>
      <w:r>
        <w:rPr>
          <w:rFonts w:ascii="Calibri" w:hAnsi="Calibri"/>
          <w:b/>
          <w:i w:val="0"/>
          <w:color w:val="2B2B28"/>
          <w:sz w:val="22"/>
        </w:rPr>
        <w:t>individual analysis</w:t>
      </w:r>
      <w:r>
        <w:rPr>
          <w:rFonts w:ascii="Calibri" w:hAnsi="Calibri"/>
          <w:b w:val="0"/>
          <w:i w:val="0"/>
          <w:color w:val="2B2B28"/>
          <w:sz w:val="22"/>
        </w:rPr>
        <w:t xml:space="preserve"> — training age, current body composition and strength, calculated energy needs, weekly schedule, food environment, sleep and stress, and the barriers that sank previous attempts. This is where the person shows up, and where the plan becomes his rather than generic.</w:t>
      </w:r>
    </w:p>
    <w:p>
      <w:pPr>
        <w:spacing w:before="0" w:after="160" w:line="269" w:lineRule="auto"/>
      </w:pPr>
      <w:r>
        <w:rPr>
          <w:rFonts w:ascii="Calibri" w:hAnsi="Calibri"/>
          <w:b w:val="0"/>
          <w:i w:val="0"/>
          <w:color w:val="2B2B28"/>
          <w:sz w:val="22"/>
        </w:rPr>
        <w:t>A word on the timeline, because it traps coaches constantly: we pick one because reverse-planning from a date forces honest decisions about what is achievable. But the date is a planning tool, never a decision tool. The measurements decide when he progresses or when the plan changes; the calendar just tells us whether the ambition was realistic. If the two disagree, the calendar loses — and for body composition, a slower honest rate that holds muscle beats a fast one that rebounds every time.</w:t>
      </w:r>
    </w:p>
    <w:p>
      <w:pPr>
        <w:spacing w:before="0" w:after="160" w:line="269" w:lineRule="auto"/>
      </w:pPr>
      <w:r>
        <w:rPr>
          <w:rFonts w:ascii="Calibri" w:hAnsi="Calibri"/>
          <w:b w:val="0"/>
          <w:i w:val="0"/>
          <w:color w:val="2B2B28"/>
          <w:sz w:val="22"/>
        </w:rPr>
        <w:t xml:space="preserve">Finish with a </w:t>
      </w:r>
      <w:r>
        <w:rPr>
          <w:rFonts w:ascii="Calibri" w:hAnsi="Calibri"/>
          <w:b/>
          <w:i w:val="0"/>
          <w:color w:val="2B2B28"/>
          <w:sz w:val="22"/>
        </w:rPr>
        <w:t>gap statement</w:t>
      </w:r>
      <w:r>
        <w:rPr>
          <w:rFonts w:ascii="Calibri" w:hAnsi="Calibri"/>
          <w:b w:val="0"/>
          <w:i w:val="0"/>
          <w:color w:val="2B2B28"/>
          <w:sz w:val="22"/>
        </w:rPr>
        <w:t xml:space="preserve"> — one paragraph: here is where the client is, here is what his goal and his health demand, and here is the gap this programme exists to close. For our worked example it reads: a thirty-five-year-old, largely untrained, desk-based client at roughly 92 kg and around 30% body fat by bioimpedance, with a waist-to-height ratio over 0.55 and little training history, who wants to lose fat and build muscle over six months — the programme exists to build a foundation of strength and daily activity, drive a modest sustainable deficit with protective protein, and move his body composition and health markers into healthy ranges he can hold for life.</w:t>
      </w:r>
    </w:p>
    <w:p>
      <w:pPr>
        <w:spacing w:before="0" w:after="140" w:line="269" w:lineRule="auto"/>
      </w:pPr>
      <w:r>
        <w:rPr>
          <w:rFonts w:ascii="Calibri" w:hAnsi="Calibri"/>
          <w:b w:val="0"/>
          <w:i/>
          <w:color w:val="6B6B66"/>
          <w:sz w:val="20"/>
        </w:rPr>
        <w:t>The worked example above is a representative composite, not a real person — every figure is illustrative. Swap in your real client’s numbers and the reasoning carries across unchanged.</w:t>
      </w:r>
    </w:p>
    <w:p>
      <w:pPr>
        <w:pStyle w:val="Heading1"/>
        <w:spacing w:before="320" w:after="100" w:line="240" w:lineRule="auto"/>
      </w:pPr>
      <w:r>
        <w:rPr>
          <w:rFonts w:ascii="Calibri" w:hAnsi="Calibri"/>
          <w:b/>
          <w:i w:val="0"/>
          <w:color w:val="C4522A"/>
          <w:sz w:val="30"/>
        </w:rPr>
        <w:t>Step 3 — Baseline Testing: Valid, Standardised, Triangulated</w:t>
      </w:r>
    </w:p>
    <w:p>
      <w:pPr>
        <w:spacing w:before="0" w:after="160" w:line="269" w:lineRule="auto"/>
      </w:pPr>
      <w:r>
        <w:rPr>
          <w:rFonts w:ascii="Calibri" w:hAnsi="Calibri"/>
          <w:b w:val="0"/>
          <w:i w:val="0"/>
          <w:color w:val="2B2B28"/>
          <w:sz w:val="22"/>
        </w:rPr>
        <w:t xml:space="preserve">No baseline, no evidence. Without week-one numbers you cannot show change, justify a decision, pass a viva, or put an outcome on a CV. But there is a deeper reason to obsess over testing here specifically: the tools available in a gym — bioimpedance, a scale, a tape, a camera — are individually noisy, and a single reading from any of them can lie to you and to the client. The entire validity of your evidence rests on two disciplines: </w:t>
      </w:r>
      <w:r>
        <w:rPr>
          <w:rFonts w:ascii="Calibri" w:hAnsi="Calibri"/>
          <w:b/>
          <w:i w:val="0"/>
          <w:color w:val="2B2B28"/>
          <w:sz w:val="22"/>
        </w:rPr>
        <w:t>standardisation</w:t>
      </w:r>
      <w:r>
        <w:rPr>
          <w:rFonts w:ascii="Calibri" w:hAnsi="Calibri"/>
          <w:b w:val="0"/>
          <w:i w:val="0"/>
          <w:color w:val="2B2B28"/>
          <w:sz w:val="22"/>
        </w:rPr>
        <w:t xml:space="preserve"> (measure the same way, under the same conditions, every time) and </w:t>
      </w:r>
      <w:r>
        <w:rPr>
          <w:rFonts w:ascii="Calibri" w:hAnsi="Calibri"/>
          <w:b/>
          <w:i w:val="0"/>
          <w:color w:val="2B2B28"/>
          <w:sz w:val="22"/>
        </w:rPr>
        <w:t>triangulation</w:t>
      </w:r>
      <w:r>
        <w:rPr>
          <w:rFonts w:ascii="Calibri" w:hAnsi="Calibri"/>
          <w:b w:val="0"/>
          <w:i w:val="0"/>
          <w:color w:val="2B2B28"/>
          <w:sz w:val="22"/>
        </w:rPr>
        <w:t xml:space="preserve"> (never trust one instrument — read several together and believe the trend they agree on). Get those two right and honest gym tools become genuinely valid evidence; get them wrong and a DXA wouldn’t save you.</w:t>
      </w:r>
    </w:p>
    <w:p>
      <w:pPr>
        <w:spacing w:before="0" w:after="160" w:line="269" w:lineRule="auto"/>
      </w:pPr>
      <w:r>
        <w:rPr>
          <w:rFonts w:ascii="Calibri" w:hAnsi="Calibri"/>
          <w:b w:val="0"/>
          <w:i w:val="0"/>
          <w:color w:val="2B2B28"/>
          <w:sz w:val="22"/>
        </w:rPr>
        <w:t>Choose tests that are valid (they measure what you claim), reliable (they repeat), and appropriate (they match the goal and the kit you actually have). Here is the battery, and for each one the honest reason it earns its place:</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200"/>
        <w:gridCol w:w="2300"/>
        <w:gridCol w:w="2750"/>
        <w:gridCol w:w="2100"/>
      </w:tblGrid>
      <w:tr>
        <w:tc>
          <w:tcPr>
            <w:tcW w:type="dxa" w:w="22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Test</w:t>
            </w:r>
          </w:p>
        </w:tc>
        <w:tc>
          <w:tcPr>
            <w:tcW w:type="dxa" w:w="23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it tells you</w:t>
            </w:r>
          </w:p>
        </w:tc>
        <w:tc>
          <w:tcPr>
            <w:tcW w:type="dxa" w:w="27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Why it’s valid / why chosen</w:t>
            </w:r>
          </w:p>
        </w:tc>
        <w:tc>
          <w:tcPr>
            <w:tcW w:type="dxa" w:w="21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good looks like</w:t>
            </w:r>
          </w:p>
        </w:tc>
      </w:tr>
      <w:tr>
        <w:tc>
          <w:tcPr>
            <w:tcW w:type="dxa" w:w="2200"/>
            <w:tcMar>
              <w:top w:w="70" w:type="dxa"/>
              <w:left w:w="130" w:type="dxa"/>
              <w:bottom w:w="70" w:type="dxa"/>
              <w:right w:w="130" w:type="dxa"/>
            </w:tcMar>
            <w:vAlign w:val="top"/>
          </w:tcPr>
          <w:p>
            <w:pPr>
              <w:spacing w:before="0" w:after="0" w:line="240" w:lineRule="auto"/>
            </w:pPr>
            <w:r>
              <w:rPr>
                <w:rFonts w:ascii="Calibri" w:hAnsi="Calibri"/>
                <w:b/>
                <w:i w:val="0"/>
                <w:color w:val="2B2B28"/>
                <w:sz w:val="20"/>
              </w:rPr>
              <w:t>Body mass — daily, read as a 7-day rolling average</w:t>
            </w:r>
          </w:p>
        </w:tc>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direction of energy balance over time</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A single morning weight is mostly water noise; the weekly average is a reliable, valid signal of true weight trend — the cheapest honest measure you have</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A gradual downward trend of ~0.5–1% of body weight per week</w:t>
            </w:r>
          </w:p>
        </w:tc>
      </w:tr>
      <w:tr>
        <w:tc>
          <w:tcPr>
            <w:tcW w:type="dxa" w:w="2200"/>
            <w:tcMar>
              <w:top w:w="70" w:type="dxa"/>
              <w:left w:w="130" w:type="dxa"/>
              <w:bottom w:w="70" w:type="dxa"/>
              <w:right w:w="130" w:type="dxa"/>
            </w:tcMar>
            <w:vAlign w:val="top"/>
          </w:tcPr>
          <w:p>
            <w:pPr>
              <w:spacing w:before="0" w:after="0" w:line="240" w:lineRule="auto"/>
            </w:pPr>
            <w:r>
              <w:rPr>
                <w:rFonts w:ascii="Calibri" w:hAnsi="Calibri"/>
                <w:b/>
                <w:i w:val="0"/>
                <w:color w:val="2B2B28"/>
                <w:sz w:val="20"/>
              </w:rPr>
              <w:t>Waist circumference &amp; waist-to-height ratio (tape)</w:t>
            </w:r>
          </w:p>
        </w:tc>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Central adiposity — and a genuine health marker</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Waist-to-height ratio is a validated screening marker for cardiometabolic risk (“keep your waist under half your height”); cheap, reliable, and it moves with fat loss when the scale stalls</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Waist trending down; ratio moving toward and past 0.5</w:t>
            </w:r>
          </w:p>
        </w:tc>
      </w:tr>
      <w:tr>
        <w:tc>
          <w:tcPr>
            <w:tcW w:type="dxa" w:w="2200"/>
            <w:tcMar>
              <w:top w:w="70" w:type="dxa"/>
              <w:left w:w="130" w:type="dxa"/>
              <w:bottom w:w="70" w:type="dxa"/>
              <w:right w:w="130" w:type="dxa"/>
            </w:tcMar>
            <w:vAlign w:val="top"/>
          </w:tcPr>
          <w:p>
            <w:pPr>
              <w:spacing w:before="0" w:after="0" w:line="240" w:lineRule="auto"/>
            </w:pPr>
            <w:r>
              <w:rPr>
                <w:rFonts w:ascii="Calibri" w:hAnsi="Calibri"/>
                <w:b/>
                <w:i w:val="0"/>
                <w:color w:val="2B2B28"/>
                <w:sz w:val="20"/>
              </w:rPr>
              <w:t>Girths — hip, mid-thigh, arm, chest (tape at marked landmarks)</w:t>
            </w:r>
          </w:p>
        </w:tc>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Where size is changing — fat off, muscle on</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Standardised tape girths are reliable and, read together, distinguish “waist down, arm up” (recomposition) from uniform shrinkage</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Waist down while limbs hold or grow</w:t>
            </w:r>
          </w:p>
        </w:tc>
      </w:tr>
      <w:tr>
        <w:tc>
          <w:tcPr>
            <w:tcW w:type="dxa" w:w="2200"/>
            <w:tcMar>
              <w:top w:w="70" w:type="dxa"/>
              <w:left w:w="130" w:type="dxa"/>
              <w:bottom w:w="70" w:type="dxa"/>
              <w:right w:w="130" w:type="dxa"/>
            </w:tcMar>
            <w:vAlign w:val="top"/>
          </w:tcPr>
          <w:p>
            <w:pPr>
              <w:spacing w:before="0" w:after="0" w:line="240" w:lineRule="auto"/>
            </w:pPr>
            <w:r>
              <w:rPr>
                <w:rFonts w:ascii="Calibri" w:hAnsi="Calibri"/>
                <w:b/>
                <w:i w:val="0"/>
                <w:color w:val="2B2B28"/>
                <w:sz w:val="20"/>
              </w:rPr>
              <w:t>Bioimpedance (BIA) body-fat %</w:t>
            </w:r>
          </w:p>
        </w:tc>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An estimate of body-composition trend</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BIA is convenient but hydration-sensitive and imprecise for a one-off absolute number; standardised hard and read as a trend it is a useful supporting measure — never the headline</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multi-week trend falls; single readings ignored</w:t>
            </w:r>
          </w:p>
        </w:tc>
      </w:tr>
      <w:tr>
        <w:tc>
          <w:tcPr>
            <w:tcW w:type="dxa" w:w="2200"/>
            <w:tcMar>
              <w:top w:w="70" w:type="dxa"/>
              <w:left w:w="130" w:type="dxa"/>
              <w:bottom w:w="70" w:type="dxa"/>
              <w:right w:w="130" w:type="dxa"/>
            </w:tcMar>
            <w:vAlign w:val="top"/>
          </w:tcPr>
          <w:p>
            <w:pPr>
              <w:spacing w:before="0" w:after="0" w:line="240" w:lineRule="auto"/>
            </w:pPr>
            <w:r>
              <w:rPr>
                <w:rFonts w:ascii="Calibri" w:hAnsi="Calibri"/>
                <w:b/>
                <w:i w:val="0"/>
                <w:color w:val="2B2B28"/>
                <w:sz w:val="20"/>
              </w:rPr>
              <w:t>Progress photos (standardised)</w:t>
            </w:r>
          </w:p>
        </w:tc>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Visible composition change, and adherence</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most honest whole-picture measure of change over weeks; also a powerful motivational and adherence tool</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Clear visual change month to month</w:t>
            </w:r>
          </w:p>
        </w:tc>
      </w:tr>
      <w:tr>
        <w:tc>
          <w:tcPr>
            <w:tcW w:type="dxa" w:w="2200"/>
            <w:tcMar>
              <w:top w:w="70" w:type="dxa"/>
              <w:left w:w="130" w:type="dxa"/>
              <w:bottom w:w="70" w:type="dxa"/>
              <w:right w:w="130" w:type="dxa"/>
            </w:tcMar>
            <w:vAlign w:val="top"/>
          </w:tcPr>
          <w:p>
            <w:pPr>
              <w:spacing w:before="0" w:after="0" w:line="240" w:lineRule="auto"/>
            </w:pPr>
            <w:r>
              <w:rPr>
                <w:rFonts w:ascii="Calibri" w:hAnsi="Calibri"/>
                <w:b/>
                <w:i w:val="0"/>
                <w:color w:val="2B2B28"/>
                <w:sz w:val="20"/>
              </w:rPr>
              <w:t>Strength — estimated 1RM on key lifts (rep-max) + grip dynamometry</w:t>
            </w:r>
          </w:p>
        </w:tc>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Whether muscle and function are being built</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An estimated 1RM from a sub-maximal rep-max is a validated, safe proxy for maximal strength; grip strength is a validated marker of whole-body strength and health</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Strength climbing through the deficit — the proof muscle is protected</w:t>
            </w:r>
          </w:p>
        </w:tc>
      </w:tr>
      <w:tr>
        <w:tc>
          <w:tcPr>
            <w:tcW w:type="dxa" w:w="2200"/>
            <w:tcMar>
              <w:top w:w="70" w:type="dxa"/>
              <w:left w:w="130" w:type="dxa"/>
              <w:bottom w:w="70" w:type="dxa"/>
              <w:right w:w="130" w:type="dxa"/>
            </w:tcMar>
            <w:vAlign w:val="top"/>
          </w:tcPr>
          <w:p>
            <w:pPr>
              <w:spacing w:before="0" w:after="0" w:line="240" w:lineRule="auto"/>
            </w:pPr>
            <w:r>
              <w:rPr>
                <w:rFonts w:ascii="Calibri" w:hAnsi="Calibri"/>
                <w:b/>
                <w:i w:val="0"/>
                <w:color w:val="2B2B28"/>
                <w:sz w:val="20"/>
              </w:rPr>
              <w:t>Work capacity / submaximal aerobic test</w:t>
            </w:r>
          </w:p>
        </w:tc>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Cardiorespiratory fitness — a core health outcome</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A standardised submaximal test (step test or fixed bike/treadmill protocol) validly tracks aerobic fitness change without maximal risk</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Improving across retests</w:t>
            </w:r>
          </w:p>
        </w:tc>
      </w:tr>
      <w:tr>
        <w:tc>
          <w:tcPr>
            <w:tcW w:type="dxa" w:w="2200"/>
            <w:tcMar>
              <w:top w:w="70" w:type="dxa"/>
              <w:left w:w="130" w:type="dxa"/>
              <w:bottom w:w="70" w:type="dxa"/>
              <w:right w:w="130" w:type="dxa"/>
            </w:tcMar>
            <w:vAlign w:val="top"/>
          </w:tcPr>
          <w:p>
            <w:pPr>
              <w:spacing w:before="0" w:after="0" w:line="240" w:lineRule="auto"/>
            </w:pPr>
            <w:r>
              <w:rPr>
                <w:rFonts w:ascii="Calibri" w:hAnsi="Calibri"/>
                <w:b/>
                <w:i w:val="0"/>
                <w:color w:val="2B2B28"/>
                <w:sz w:val="20"/>
              </w:rPr>
              <w:t>Resting heart rate &amp; blood pressure</w:t>
            </w:r>
          </w:p>
        </w:tc>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Cardiometabolic health</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Simple, valid, motivating health markers that reframe the work as a health project, not a vanity one</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Trending into healthy ranges</w:t>
            </w:r>
          </w:p>
        </w:tc>
      </w:tr>
      <w:tr>
        <w:tc>
          <w:tcPr>
            <w:tcW w:type="dxa" w:w="2200"/>
            <w:tcMar>
              <w:top w:w="70" w:type="dxa"/>
              <w:left w:w="130" w:type="dxa"/>
              <w:bottom w:w="70" w:type="dxa"/>
              <w:right w:w="130" w:type="dxa"/>
            </w:tcMar>
            <w:vAlign w:val="top"/>
          </w:tcPr>
          <w:p>
            <w:pPr>
              <w:spacing w:before="0" w:after="0" w:line="240" w:lineRule="auto"/>
            </w:pPr>
            <w:r>
              <w:rPr>
                <w:rFonts w:ascii="Calibri" w:hAnsi="Calibri"/>
                <w:b/>
                <w:i w:val="0"/>
                <w:color w:val="2B2B28"/>
                <w:sz w:val="20"/>
              </w:rPr>
              <w:t>Behavioural baselines — habitual steps, sleep, a food-intake snapshot</w:t>
            </w:r>
          </w:p>
        </w:tc>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inputs you will actually coach</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You cannot manage what you don’t measure; baseline steps, sleep and a self-reported intake give you the levers and the honest starting point</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Established, so change is visible</w:t>
            </w:r>
          </w:p>
        </w:tc>
      </w:tr>
    </w:tbl>
    <w:p>
      <w:pPr>
        <w:spacing w:after="40"/>
      </w:pPr>
    </w:p>
    <w:p>
      <w:pPr>
        <w:spacing w:before="0" w:after="160" w:line="269" w:lineRule="auto"/>
      </w:pPr>
      <w:r>
        <w:rPr>
          <w:rFonts w:ascii="Calibri" w:hAnsi="Calibri"/>
          <w:b w:val="0"/>
          <w:i w:val="0"/>
          <w:color w:val="2B2B28"/>
          <w:sz w:val="22"/>
        </w:rPr>
        <w:t>Retest the full battery every four weeks, and keep the weekly measures (weight trend, waist, adherence) running continuously. Four weeks because body composition changes slowly and a shorter window is mostly noise; the weekly measures because they steer the plan between the big retests.</w:t>
      </w:r>
    </w:p>
    <w:p>
      <w:pPr>
        <w:pStyle w:val="Heading2"/>
        <w:spacing w:before="220" w:after="60" w:line="240" w:lineRule="auto"/>
      </w:pPr>
      <w:r>
        <w:rPr>
          <w:rFonts w:ascii="Calibri" w:hAnsi="Calibri"/>
          <w:b/>
          <w:i w:val="0"/>
          <w:color w:val="2A5C45"/>
          <w:sz w:val="25"/>
        </w:rPr>
        <w:t>How to run each test — plain, and standardised (this is where validity lives)</w:t>
      </w:r>
    </w:p>
    <w:p>
      <w:pPr>
        <w:spacing w:before="0" w:after="160" w:line="269" w:lineRule="auto"/>
      </w:pPr>
      <w:r>
        <w:rPr>
          <w:rFonts w:ascii="Calibri" w:hAnsi="Calibri"/>
          <w:b w:val="0"/>
          <w:i w:val="0"/>
          <w:color w:val="2B2B28"/>
          <w:sz w:val="22"/>
        </w:rPr>
        <w:t>The measurement is only as good as the consistency around it. Fix the conditions once, write them on a card (Form 9), and never change them — because with these tools, a change in method looks exactly like a change in the client, and you will fool yourself.</w:t>
      </w:r>
    </w:p>
    <w:p>
      <w:pPr>
        <w:pStyle w:val="ListBullet"/>
        <w:spacing w:before="0" w:after="80" w:line="269" w:lineRule="auto"/>
      </w:pPr>
      <w:r>
        <w:rPr>
          <w:rFonts w:ascii="Calibri" w:hAnsi="Calibri"/>
          <w:b/>
          <w:i w:val="0"/>
          <w:color w:val="2B2B28"/>
          <w:sz w:val="22"/>
        </w:rPr>
        <w:t>Body mass —</w:t>
      </w:r>
      <w:r>
        <w:rPr>
          <w:rFonts w:ascii="Calibri" w:hAnsi="Calibri"/>
          <w:b w:val="0"/>
          <w:i w:val="0"/>
          <w:color w:val="2B2B28"/>
          <w:sz w:val="22"/>
        </w:rPr>
        <w:t xml:space="preserve"> same scale, first thing in the morning, after the toilet, before food or drink, minimal clothing. Weigh most days; never react to a single number. Each week, average the daily weights and track that average against last week’s — the rolling average is the real signal; the daily wobble is water, food weight and glycogen.</w:t>
      </w:r>
    </w:p>
    <w:p>
      <w:pPr>
        <w:pStyle w:val="ListBullet"/>
        <w:spacing w:before="0" w:after="80" w:line="269" w:lineRule="auto"/>
      </w:pPr>
      <w:r>
        <w:rPr>
          <w:rFonts w:ascii="Calibri" w:hAnsi="Calibri"/>
          <w:b/>
          <w:i w:val="0"/>
          <w:color w:val="2B2B28"/>
          <w:sz w:val="22"/>
        </w:rPr>
        <w:t>Waist &amp; waist-to-height —</w:t>
      </w:r>
      <w:r>
        <w:rPr>
          <w:rFonts w:ascii="Calibri" w:hAnsi="Calibri"/>
          <w:b w:val="0"/>
          <w:i w:val="0"/>
          <w:color w:val="2B2B28"/>
          <w:sz w:val="22"/>
        </w:rPr>
        <w:t xml:space="preserve"> a flexible tape, skin not clothing, at the end of a normal breath (not sucked in), at a marked landmark — the narrowest point or the navel, whichever you choose — used identically every time. Divide waist by height for the ratio. Take each girth twice and average; if the two disagree by more than about half a centimetre, take a third.</w:t>
      </w:r>
    </w:p>
    <w:p>
      <w:pPr>
        <w:pStyle w:val="ListBullet"/>
        <w:spacing w:before="0" w:after="80" w:line="269" w:lineRule="auto"/>
      </w:pPr>
      <w:r>
        <w:rPr>
          <w:rFonts w:ascii="Calibri" w:hAnsi="Calibri"/>
          <w:b/>
          <w:i w:val="0"/>
          <w:color w:val="2B2B28"/>
          <w:sz w:val="22"/>
        </w:rPr>
        <w:t>Girths —</w:t>
      </w:r>
      <w:r>
        <w:rPr>
          <w:rFonts w:ascii="Calibri" w:hAnsi="Calibri"/>
          <w:b w:val="0"/>
          <w:i w:val="0"/>
          <w:color w:val="2B2B28"/>
          <w:sz w:val="22"/>
        </w:rPr>
        <w:t xml:space="preserve"> same tape, same marked landmarks (mid-upper-arm, chest, hip at the widest, mid-thigh), same tension (snug, not compressing), same time of day, ideally the same arm/leg relaxed or flexed consistently. Landmark with a washable pen for the first few sessions so the spot is identical.</w:t>
      </w:r>
    </w:p>
    <w:p>
      <w:pPr>
        <w:pStyle w:val="ListBullet"/>
        <w:spacing w:before="0" w:after="80" w:line="269" w:lineRule="auto"/>
      </w:pPr>
      <w:r>
        <w:rPr>
          <w:rFonts w:ascii="Calibri" w:hAnsi="Calibri"/>
          <w:b/>
          <w:i w:val="0"/>
          <w:color w:val="2B2B28"/>
          <w:sz w:val="22"/>
        </w:rPr>
        <w:t>Bioimpedance (BIA) —</w:t>
      </w:r>
      <w:r>
        <w:rPr>
          <w:rFonts w:ascii="Calibri" w:hAnsi="Calibri"/>
          <w:b w:val="0"/>
          <w:i w:val="0"/>
          <w:color w:val="2B2B28"/>
          <w:sz w:val="22"/>
        </w:rPr>
        <w:t xml:space="preserve"> the fussiest one, so control it hard: morning, fasted, after voiding, well-hydrated but not having just drunk, no exercise or alcohol in the prior 12–24 hours, same device and same electrode placement every time. Report the trend across weeks and actively tell the client to ignore any single reading — BIA moves with body water, so a low-carb day or a hard session can swing it several points with zero change in fat.</w:t>
      </w:r>
    </w:p>
    <w:p>
      <w:pPr>
        <w:pStyle w:val="ListBullet"/>
        <w:spacing w:before="0" w:after="80" w:line="269" w:lineRule="auto"/>
      </w:pPr>
      <w:r>
        <w:rPr>
          <w:rFonts w:ascii="Calibri" w:hAnsi="Calibri"/>
          <w:b/>
          <w:i w:val="0"/>
          <w:color w:val="2B2B28"/>
          <w:sz w:val="22"/>
        </w:rPr>
        <w:t>Progress photos —</w:t>
      </w:r>
      <w:r>
        <w:rPr>
          <w:rFonts w:ascii="Calibri" w:hAnsi="Calibri"/>
          <w:b w:val="0"/>
          <w:i w:val="0"/>
          <w:color w:val="2B2B28"/>
          <w:sz w:val="22"/>
        </w:rPr>
        <w:t xml:space="preserve"> same room, same light, same distance and camera height, same time of day (morning), same minimal clothing, same three poses (front, side, back), relaxed. Consistency is everything; a photo taken differently is not a comparison. Store them securely under the consent you took.</w:t>
      </w:r>
    </w:p>
    <w:p>
      <w:pPr>
        <w:pStyle w:val="ListBullet"/>
        <w:spacing w:before="0" w:after="80" w:line="269" w:lineRule="auto"/>
      </w:pPr>
      <w:r>
        <w:rPr>
          <w:rFonts w:ascii="Calibri" w:hAnsi="Calibri"/>
          <w:b/>
          <w:i w:val="0"/>
          <w:color w:val="2B2B28"/>
          <w:sz w:val="22"/>
        </w:rPr>
        <w:t>Strength (estimated 1RM) —</w:t>
      </w:r>
      <w:r>
        <w:rPr>
          <w:rFonts w:ascii="Calibri" w:hAnsi="Calibri"/>
          <w:b w:val="0"/>
          <w:i w:val="0"/>
          <w:color w:val="2B2B28"/>
          <w:sz w:val="22"/>
        </w:rPr>
        <w:t xml:space="preserve"> after a thorough warm-up, have him lift a weight he can manage for a handful of clean reps to a couple short of failure, then estimate his one-rep max from a standard formula (weight and reps in, predicted max out). Do it on two or three key lifts (a squat or leg press, a press, a row or pull). It is safe, repeatable, and a valid strength proxy — far better than chasing true 1RMs with a novice. Add a </w:t>
      </w:r>
      <w:r>
        <w:rPr>
          <w:rFonts w:ascii="Calibri" w:hAnsi="Calibri"/>
          <w:b/>
          <w:i w:val="0"/>
          <w:color w:val="2B2B28"/>
          <w:sz w:val="22"/>
        </w:rPr>
        <w:t>grip test</w:t>
      </w:r>
      <w:r>
        <w:rPr>
          <w:rFonts w:ascii="Calibri" w:hAnsi="Calibri"/>
          <w:b w:val="0"/>
          <w:i w:val="0"/>
          <w:color w:val="2B2B28"/>
          <w:sz w:val="22"/>
        </w:rPr>
        <w:t xml:space="preserve"> with a hand dynamometer: best of three squeezes each hand.</w:t>
      </w:r>
    </w:p>
    <w:p>
      <w:pPr>
        <w:pStyle w:val="ListBullet"/>
        <w:spacing w:before="0" w:after="80" w:line="269" w:lineRule="auto"/>
      </w:pPr>
      <w:r>
        <w:rPr>
          <w:rFonts w:ascii="Calibri" w:hAnsi="Calibri"/>
          <w:b/>
          <w:i w:val="0"/>
          <w:color w:val="2B2B28"/>
          <w:sz w:val="22"/>
        </w:rPr>
        <w:t>Work capacity / aerobic —</w:t>
      </w:r>
      <w:r>
        <w:rPr>
          <w:rFonts w:ascii="Calibri" w:hAnsi="Calibri"/>
          <w:b w:val="0"/>
          <w:i w:val="0"/>
          <w:color w:val="2B2B28"/>
          <w:sz w:val="22"/>
        </w:rPr>
        <w:t xml:space="preserve"> pick one standardised submaximal test you can repeat exactly — a 3-minute step test with a recovery-heart-rate score, or a fixed time/distance on a bike or rower at a set effort — and always run it identically. You are tracking change, not laboratory VO2.</w:t>
      </w:r>
    </w:p>
    <w:p>
      <w:pPr>
        <w:pStyle w:val="ListBullet"/>
        <w:spacing w:before="0" w:after="80" w:line="269" w:lineRule="auto"/>
      </w:pPr>
      <w:r>
        <w:rPr>
          <w:rFonts w:ascii="Calibri" w:hAnsi="Calibri"/>
          <w:b/>
          <w:i w:val="0"/>
          <w:color w:val="2B2B28"/>
          <w:sz w:val="22"/>
        </w:rPr>
        <w:t>Resting heart rate &amp; blood pressure —</w:t>
      </w:r>
      <w:r>
        <w:rPr>
          <w:rFonts w:ascii="Calibri" w:hAnsi="Calibri"/>
          <w:b w:val="0"/>
          <w:i w:val="0"/>
          <w:color w:val="2B2B28"/>
          <w:sz w:val="22"/>
        </w:rPr>
        <w:t xml:space="preserve"> resting HR taken seated and settled (or from a wearable’s morning reading); blood pressure with a validated cuff after a few minutes seated. Simple, valid, and they reframe every session as health work.</w:t>
      </w:r>
    </w:p>
    <w:p>
      <w:pPr>
        <w:pStyle w:val="Heading2"/>
        <w:spacing w:before="220" w:after="60" w:line="240" w:lineRule="auto"/>
      </w:pPr>
      <w:r>
        <w:rPr>
          <w:rFonts w:ascii="Calibri" w:hAnsi="Calibri"/>
          <w:b/>
          <w:i w:val="0"/>
          <w:color w:val="2A5C45"/>
          <w:sz w:val="25"/>
        </w:rPr>
        <w:t>Movement assessment — for exercise selection, not injury prediction</w:t>
      </w:r>
    </w:p>
    <w:p>
      <w:pPr>
        <w:spacing w:before="0" w:after="160" w:line="269" w:lineRule="auto"/>
      </w:pPr>
      <w:r>
        <w:rPr>
          <w:rFonts w:ascii="Calibri" w:hAnsi="Calibri"/>
          <w:b w:val="0"/>
          <w:i w:val="0"/>
          <w:color w:val="2B2B28"/>
          <w:sz w:val="22"/>
        </w:rPr>
        <w:t>One more thing belongs in the baseline, and it’s the one coaches most often either skip or misuse: a look at how he actually moves. Do it — but be clear about why. The evidence that movement screens *predict injury* is weak, so we don’t use one as a crystal ball or to deny anyone training. A movement assessment earns its place only by answering three practical questions: can he load this pattern safely today, where do I start him (which regression), and what limitation should the programme address and then re-test? So assess the patterns you are actually going to programme, at or near the load you’ll use — the best test of a squat is watching him squat.</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400"/>
        <w:gridCol w:w="3475"/>
        <w:gridCol w:w="3475"/>
      </w:tblGrid>
      <w:tr>
        <w:tc>
          <w:tcPr>
            <w:tcW w:type="dxa" w:w="24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Movement / test</w:t>
            </w:r>
          </w:p>
        </w:tc>
        <w:tc>
          <w:tcPr>
            <w:tcW w:type="dxa" w:w="3475"/>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it tells you</w:t>
            </w:r>
          </w:p>
        </w:tc>
        <w:tc>
          <w:tcPr>
            <w:tcW w:type="dxa" w:w="3475"/>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I do with it</w:t>
            </w:r>
          </w:p>
        </w:tc>
      </w:tr>
      <w:tr>
        <w:tc>
          <w:tcPr>
            <w:tcW w:type="dxa" w:w="2400"/>
            <w:tcMar>
              <w:top w:w="70" w:type="dxa"/>
              <w:left w:w="130" w:type="dxa"/>
              <w:bottom w:w="70" w:type="dxa"/>
              <w:right w:w="130" w:type="dxa"/>
            </w:tcMar>
            <w:vAlign w:val="top"/>
          </w:tcPr>
          <w:p>
            <w:pPr>
              <w:spacing w:before="0" w:after="0" w:line="240" w:lineRule="auto"/>
            </w:pPr>
            <w:r>
              <w:rPr>
                <w:rFonts w:ascii="Calibri" w:hAnsi="Calibri"/>
                <w:b/>
                <w:i w:val="0"/>
                <w:color w:val="2B2B28"/>
                <w:sz w:val="20"/>
              </w:rPr>
              <w:t>Bodyweight / overhead squat</w:t>
            </w:r>
          </w:p>
        </w:tc>
        <w:tc>
          <w:tcPr>
            <w:tcW w:type="dxa" w:w="3475"/>
            <w:tcMar>
              <w:top w:w="70" w:type="dxa"/>
              <w:left w:w="130" w:type="dxa"/>
              <w:bottom w:w="70" w:type="dxa"/>
              <w:right w:w="130" w:type="dxa"/>
            </w:tcMar>
            <w:vAlign w:val="top"/>
          </w:tcPr>
          <w:p>
            <w:pPr>
              <w:spacing w:before="0" w:after="0" w:line="240" w:lineRule="auto"/>
            </w:pPr>
            <w:r>
              <w:rPr>
                <w:rFonts w:ascii="Calibri" w:hAnsi="Calibri"/>
                <w:b/>
                <w:i w:val="0"/>
                <w:color w:val="2B2B28"/>
                <w:sz w:val="20"/>
              </w:rPr>
              <w:t>Ankle, hip and thoracic mobility, knee tracking, depth, left–right symmetry, whether he can brace</w:t>
            </w:r>
          </w:p>
        </w:tc>
        <w:tc>
          <w:tcPr>
            <w:tcW w:type="dxa" w:w="3475"/>
            <w:tcMar>
              <w:top w:w="70" w:type="dxa"/>
              <w:left w:w="130" w:type="dxa"/>
              <w:bottom w:w="70" w:type="dxa"/>
              <w:right w:w="130" w:type="dxa"/>
            </w:tcMar>
            <w:vAlign w:val="top"/>
          </w:tcPr>
          <w:p>
            <w:pPr>
              <w:spacing w:before="0" w:after="0" w:line="240" w:lineRule="auto"/>
            </w:pPr>
            <w:r>
              <w:rPr>
                <w:rFonts w:ascii="Calibri" w:hAnsi="Calibri"/>
                <w:b/>
                <w:i w:val="0"/>
                <w:color w:val="2B2B28"/>
                <w:sz w:val="20"/>
              </w:rPr>
              <w:t>Choose the squat variation and depth; coach or regress a knee-cave or heels-up</w:t>
            </w:r>
          </w:p>
        </w:tc>
      </w:tr>
      <w:tr>
        <w:tc>
          <w:tcPr>
            <w:tcW w:type="dxa" w:w="2400"/>
            <w:tcMar>
              <w:top w:w="70" w:type="dxa"/>
              <w:left w:w="130" w:type="dxa"/>
              <w:bottom w:w="70" w:type="dxa"/>
              <w:right w:w="130" w:type="dxa"/>
            </w:tcMar>
            <w:vAlign w:val="top"/>
          </w:tcPr>
          <w:p>
            <w:pPr>
              <w:spacing w:before="0" w:after="0" w:line="240" w:lineRule="auto"/>
            </w:pPr>
            <w:r>
              <w:rPr>
                <w:rFonts w:ascii="Calibri" w:hAnsi="Calibri"/>
                <w:b/>
                <w:i w:val="0"/>
                <w:color w:val="2B2B28"/>
                <w:sz w:val="20"/>
              </w:rPr>
              <w:t>Ankle dorsiflexion (knee-to-wall)</w:t>
            </w:r>
          </w:p>
        </w:tc>
        <w:tc>
          <w:tcPr>
            <w:tcW w:type="dxa" w:w="3475"/>
            <w:tcMar>
              <w:top w:w="70" w:type="dxa"/>
              <w:left w:w="130" w:type="dxa"/>
              <w:bottom w:w="70" w:type="dxa"/>
              <w:right w:w="130" w:type="dxa"/>
            </w:tcMar>
            <w:vAlign w:val="top"/>
          </w:tcPr>
          <w:p>
            <w:pPr>
              <w:spacing w:before="0" w:after="0" w:line="240" w:lineRule="auto"/>
            </w:pPr>
            <w:r>
              <w:rPr>
                <w:rFonts w:ascii="Calibri" w:hAnsi="Calibri"/>
                <w:b/>
                <w:i w:val="0"/>
                <w:color w:val="2B2B28"/>
                <w:sz w:val="20"/>
              </w:rPr>
              <w:t>Whether limited ankle range is what’s driving the heels-up, forward lean or knee-cave</w:t>
            </w:r>
          </w:p>
        </w:tc>
        <w:tc>
          <w:tcPr>
            <w:tcW w:type="dxa" w:w="3475"/>
            <w:tcMar>
              <w:top w:w="70" w:type="dxa"/>
              <w:left w:w="130" w:type="dxa"/>
              <w:bottom w:w="70" w:type="dxa"/>
              <w:right w:w="130" w:type="dxa"/>
            </w:tcMar>
            <w:vAlign w:val="top"/>
          </w:tcPr>
          <w:p>
            <w:pPr>
              <w:spacing w:before="0" w:after="0" w:line="240" w:lineRule="auto"/>
            </w:pPr>
            <w:r>
              <w:rPr>
                <w:rFonts w:ascii="Calibri" w:hAnsi="Calibri"/>
                <w:b/>
                <w:i w:val="0"/>
                <w:color w:val="2B2B28"/>
                <w:sz w:val="20"/>
              </w:rPr>
              <w:t>Heel elevation, calf mobility, squat choice — fix the cause, not the symptom</w:t>
            </w:r>
          </w:p>
        </w:tc>
      </w:tr>
      <w:tr>
        <w:tc>
          <w:tcPr>
            <w:tcW w:type="dxa" w:w="2400"/>
            <w:tcMar>
              <w:top w:w="70" w:type="dxa"/>
              <w:left w:w="130" w:type="dxa"/>
              <w:bottom w:w="70" w:type="dxa"/>
              <w:right w:w="130" w:type="dxa"/>
            </w:tcMar>
            <w:vAlign w:val="top"/>
          </w:tcPr>
          <w:p>
            <w:pPr>
              <w:spacing w:before="0" w:after="0" w:line="240" w:lineRule="auto"/>
            </w:pPr>
            <w:r>
              <w:rPr>
                <w:rFonts w:ascii="Calibri" w:hAnsi="Calibri"/>
                <w:b/>
                <w:i w:val="0"/>
                <w:color w:val="2B2B28"/>
                <w:sz w:val="20"/>
              </w:rPr>
              <w:t>Hip hinge / toe-touch (or active straight-leg raise)</w:t>
            </w:r>
          </w:p>
        </w:tc>
        <w:tc>
          <w:tcPr>
            <w:tcW w:type="dxa" w:w="3475"/>
            <w:tcMar>
              <w:top w:w="70" w:type="dxa"/>
              <w:left w:w="130" w:type="dxa"/>
              <w:bottom w:w="70" w:type="dxa"/>
              <w:right w:w="130" w:type="dxa"/>
            </w:tcMar>
            <w:vAlign w:val="top"/>
          </w:tcPr>
          <w:p>
            <w:pPr>
              <w:spacing w:before="0" w:after="0" w:line="240" w:lineRule="auto"/>
            </w:pPr>
            <w:r>
              <w:rPr>
                <w:rFonts w:ascii="Calibri" w:hAnsi="Calibri"/>
                <w:b/>
                <w:i w:val="0"/>
                <w:color w:val="2B2B28"/>
                <w:sz w:val="20"/>
              </w:rPr>
              <w:t>Hinge competency, posterior-chain length, whether he can dissociate hip from lower back</w:t>
            </w:r>
          </w:p>
        </w:tc>
        <w:tc>
          <w:tcPr>
            <w:tcW w:type="dxa" w:w="3475"/>
            <w:tcMar>
              <w:top w:w="70" w:type="dxa"/>
              <w:left w:w="130" w:type="dxa"/>
              <w:bottom w:w="70" w:type="dxa"/>
              <w:right w:w="130" w:type="dxa"/>
            </w:tcMar>
            <w:vAlign w:val="top"/>
          </w:tcPr>
          <w:p>
            <w:pPr>
              <w:spacing w:before="0" w:after="0" w:line="240" w:lineRule="auto"/>
            </w:pPr>
            <w:r>
              <w:rPr>
                <w:rFonts w:ascii="Calibri" w:hAnsi="Calibri"/>
                <w:b/>
                <w:i w:val="0"/>
                <w:color w:val="2B2B28"/>
                <w:sz w:val="20"/>
              </w:rPr>
              <w:t>How I teach the RDL / deadlift, and from what height or variation</w:t>
            </w:r>
          </w:p>
        </w:tc>
      </w:tr>
      <w:tr>
        <w:tc>
          <w:tcPr>
            <w:tcW w:type="dxa" w:w="2400"/>
            <w:tcMar>
              <w:top w:w="70" w:type="dxa"/>
              <w:left w:w="130" w:type="dxa"/>
              <w:bottom w:w="70" w:type="dxa"/>
              <w:right w:w="130" w:type="dxa"/>
            </w:tcMar>
            <w:vAlign w:val="top"/>
          </w:tcPr>
          <w:p>
            <w:pPr>
              <w:spacing w:before="0" w:after="0" w:line="240" w:lineRule="auto"/>
            </w:pPr>
            <w:r>
              <w:rPr>
                <w:rFonts w:ascii="Calibri" w:hAnsi="Calibri"/>
                <w:b/>
                <w:i w:val="0"/>
                <w:color w:val="2B2B28"/>
                <w:sz w:val="20"/>
              </w:rPr>
              <w:t>Single-leg squat or step-down</w:t>
            </w:r>
          </w:p>
        </w:tc>
        <w:tc>
          <w:tcPr>
            <w:tcW w:type="dxa" w:w="3475"/>
            <w:tcMar>
              <w:top w:w="70" w:type="dxa"/>
              <w:left w:w="130" w:type="dxa"/>
              <w:bottom w:w="70" w:type="dxa"/>
              <w:right w:w="130" w:type="dxa"/>
            </w:tcMar>
            <w:vAlign w:val="top"/>
          </w:tcPr>
          <w:p>
            <w:pPr>
              <w:spacing w:before="0" w:after="0" w:line="240" w:lineRule="auto"/>
            </w:pPr>
            <w:r>
              <w:rPr>
                <w:rFonts w:ascii="Calibri" w:hAnsi="Calibri"/>
                <w:b/>
                <w:i w:val="0"/>
                <w:color w:val="2B2B28"/>
                <w:sz w:val="20"/>
              </w:rPr>
              <w:t>Single-leg stability, hip and pelvic control (a Trendelenburg drop), knee valgus, side-to-side gap</w:t>
            </w:r>
          </w:p>
        </w:tc>
        <w:tc>
          <w:tcPr>
            <w:tcW w:type="dxa" w:w="3475"/>
            <w:tcMar>
              <w:top w:w="70" w:type="dxa"/>
              <w:left w:w="130" w:type="dxa"/>
              <w:bottom w:w="70" w:type="dxa"/>
              <w:right w:w="130" w:type="dxa"/>
            </w:tcMar>
            <w:vAlign w:val="top"/>
          </w:tcPr>
          <w:p>
            <w:pPr>
              <w:spacing w:before="0" w:after="0" w:line="240" w:lineRule="auto"/>
            </w:pPr>
            <w:r>
              <w:rPr>
                <w:rFonts w:ascii="Calibri" w:hAnsi="Calibri"/>
                <w:b/>
                <w:i w:val="0"/>
                <w:color w:val="2B2B28"/>
                <w:sz w:val="20"/>
              </w:rPr>
              <w:t>Unilateral programming, weaker side first, balance work</w:t>
            </w:r>
          </w:p>
        </w:tc>
      </w:tr>
      <w:tr>
        <w:tc>
          <w:tcPr>
            <w:tcW w:type="dxa" w:w="2400"/>
            <w:tcMar>
              <w:top w:w="70" w:type="dxa"/>
              <w:left w:w="130" w:type="dxa"/>
              <w:bottom w:w="70" w:type="dxa"/>
              <w:right w:w="130" w:type="dxa"/>
            </w:tcMar>
            <w:vAlign w:val="top"/>
          </w:tcPr>
          <w:p>
            <w:pPr>
              <w:spacing w:before="0" w:after="0" w:line="240" w:lineRule="auto"/>
            </w:pPr>
            <w:r>
              <w:rPr>
                <w:rFonts w:ascii="Calibri" w:hAnsi="Calibri"/>
                <w:b/>
                <w:i w:val="0"/>
                <w:color w:val="2B2B28"/>
                <w:sz w:val="20"/>
              </w:rPr>
              <w:t>Push-up (or incline)</w:t>
            </w:r>
          </w:p>
        </w:tc>
        <w:tc>
          <w:tcPr>
            <w:tcW w:type="dxa" w:w="3475"/>
            <w:tcMar>
              <w:top w:w="70" w:type="dxa"/>
              <w:left w:w="130" w:type="dxa"/>
              <w:bottom w:w="70" w:type="dxa"/>
              <w:right w:w="130" w:type="dxa"/>
            </w:tcMar>
            <w:vAlign w:val="top"/>
          </w:tcPr>
          <w:p>
            <w:pPr>
              <w:spacing w:before="0" w:after="0" w:line="240" w:lineRule="auto"/>
            </w:pPr>
            <w:r>
              <w:rPr>
                <w:rFonts w:ascii="Calibri" w:hAnsi="Calibri"/>
                <w:b/>
                <w:i w:val="0"/>
                <w:color w:val="2B2B28"/>
                <w:sz w:val="20"/>
              </w:rPr>
              <w:t>Trunk stiffness, scapular control, pressing readiness</w:t>
            </w:r>
          </w:p>
        </w:tc>
        <w:tc>
          <w:tcPr>
            <w:tcW w:type="dxa" w:w="3475"/>
            <w:tcMar>
              <w:top w:w="70" w:type="dxa"/>
              <w:left w:w="130" w:type="dxa"/>
              <w:bottom w:w="70" w:type="dxa"/>
              <w:right w:w="130" w:type="dxa"/>
            </w:tcMar>
            <w:vAlign w:val="top"/>
          </w:tcPr>
          <w:p>
            <w:pPr>
              <w:spacing w:before="0" w:after="0" w:line="240" w:lineRule="auto"/>
            </w:pPr>
            <w:r>
              <w:rPr>
                <w:rFonts w:ascii="Calibri" w:hAnsi="Calibri"/>
                <w:b/>
                <w:i w:val="0"/>
                <w:color w:val="2B2B28"/>
                <w:sz w:val="20"/>
              </w:rPr>
              <w:t>Press variation and the load I start him on</w:t>
            </w:r>
          </w:p>
        </w:tc>
      </w:tr>
      <w:tr>
        <w:tc>
          <w:tcPr>
            <w:tcW w:type="dxa" w:w="2400"/>
            <w:tcMar>
              <w:top w:w="70" w:type="dxa"/>
              <w:left w:w="130" w:type="dxa"/>
              <w:bottom w:w="70" w:type="dxa"/>
              <w:right w:w="130" w:type="dxa"/>
            </w:tcMar>
            <w:vAlign w:val="top"/>
          </w:tcPr>
          <w:p>
            <w:pPr>
              <w:spacing w:before="0" w:after="0" w:line="240" w:lineRule="auto"/>
            </w:pPr>
            <w:r>
              <w:rPr>
                <w:rFonts w:ascii="Calibri" w:hAnsi="Calibri"/>
                <w:b/>
                <w:i w:val="0"/>
                <w:color w:val="2B2B28"/>
                <w:sz w:val="20"/>
              </w:rPr>
              <w:t>Overhead reach / shoulder mobility</w:t>
            </w:r>
          </w:p>
        </w:tc>
        <w:tc>
          <w:tcPr>
            <w:tcW w:type="dxa" w:w="3475"/>
            <w:tcMar>
              <w:top w:w="70" w:type="dxa"/>
              <w:left w:w="130" w:type="dxa"/>
              <w:bottom w:w="70" w:type="dxa"/>
              <w:right w:w="130" w:type="dxa"/>
            </w:tcMar>
            <w:vAlign w:val="top"/>
          </w:tcPr>
          <w:p>
            <w:pPr>
              <w:spacing w:before="0" w:after="0" w:line="240" w:lineRule="auto"/>
            </w:pPr>
            <w:r>
              <w:rPr>
                <w:rFonts w:ascii="Calibri" w:hAnsi="Calibri"/>
                <w:b/>
                <w:i w:val="0"/>
                <w:color w:val="2B2B28"/>
                <w:sz w:val="20"/>
              </w:rPr>
              <w:t>Shoulder flexion and thoracic extension — can he get overhead without compensating</w:t>
            </w:r>
          </w:p>
        </w:tc>
        <w:tc>
          <w:tcPr>
            <w:tcW w:type="dxa" w:w="3475"/>
            <w:tcMar>
              <w:top w:w="70" w:type="dxa"/>
              <w:left w:w="130" w:type="dxa"/>
              <w:bottom w:w="70" w:type="dxa"/>
              <w:right w:w="130" w:type="dxa"/>
            </w:tcMar>
            <w:vAlign w:val="top"/>
          </w:tcPr>
          <w:p>
            <w:pPr>
              <w:spacing w:before="0" w:after="0" w:line="240" w:lineRule="auto"/>
            </w:pPr>
            <w:r>
              <w:rPr>
                <w:rFonts w:ascii="Calibri" w:hAnsi="Calibri"/>
                <w:b/>
                <w:i w:val="0"/>
                <w:color w:val="2B2B28"/>
                <w:sz w:val="20"/>
              </w:rPr>
              <w:t>Whether, and how, I programme overhead pressing at all</w:t>
            </w:r>
          </w:p>
        </w:tc>
      </w:tr>
      <w:tr>
        <w:tc>
          <w:tcPr>
            <w:tcW w:type="dxa" w:w="2400"/>
            <w:tcMar>
              <w:top w:w="70" w:type="dxa"/>
              <w:left w:w="130" w:type="dxa"/>
              <w:bottom w:w="70" w:type="dxa"/>
              <w:right w:w="130" w:type="dxa"/>
            </w:tcMar>
            <w:vAlign w:val="top"/>
          </w:tcPr>
          <w:p>
            <w:pPr>
              <w:spacing w:before="0" w:after="0" w:line="240" w:lineRule="auto"/>
            </w:pPr>
            <w:r>
              <w:rPr>
                <w:rFonts w:ascii="Calibri" w:hAnsi="Calibri"/>
                <w:b/>
                <w:i w:val="0"/>
                <w:color w:val="2B2B28"/>
                <w:sz w:val="20"/>
              </w:rPr>
              <w:t>Loaded carry</w:t>
            </w:r>
          </w:p>
        </w:tc>
        <w:tc>
          <w:tcPr>
            <w:tcW w:type="dxa" w:w="3475"/>
            <w:tcMar>
              <w:top w:w="70" w:type="dxa"/>
              <w:left w:w="130" w:type="dxa"/>
              <w:bottom w:w="70" w:type="dxa"/>
              <w:right w:w="130" w:type="dxa"/>
            </w:tcMar>
            <w:vAlign w:val="top"/>
          </w:tcPr>
          <w:p>
            <w:pPr>
              <w:spacing w:before="0" w:after="0" w:line="240" w:lineRule="auto"/>
            </w:pPr>
            <w:r>
              <w:rPr>
                <w:rFonts w:ascii="Calibri" w:hAnsi="Calibri"/>
                <w:b/>
                <w:i w:val="0"/>
                <w:color w:val="2B2B28"/>
                <w:sz w:val="20"/>
              </w:rPr>
              <w:t>Grip, trunk stability, general robustness and work capacity</w:t>
            </w:r>
          </w:p>
        </w:tc>
        <w:tc>
          <w:tcPr>
            <w:tcW w:type="dxa" w:w="3475"/>
            <w:tcMar>
              <w:top w:w="70" w:type="dxa"/>
              <w:left w:w="130" w:type="dxa"/>
              <w:bottom w:w="70" w:type="dxa"/>
              <w:right w:w="130" w:type="dxa"/>
            </w:tcMar>
            <w:vAlign w:val="top"/>
          </w:tcPr>
          <w:p>
            <w:pPr>
              <w:spacing w:before="0" w:after="0" w:line="240" w:lineRule="auto"/>
            </w:pPr>
            <w:r>
              <w:rPr>
                <w:rFonts w:ascii="Calibri" w:hAnsi="Calibri"/>
                <w:b/>
                <w:i w:val="0"/>
                <w:color w:val="2B2B28"/>
                <w:sz w:val="20"/>
              </w:rPr>
              <w:t>A global readiness check — and an easy thing to re-test</w:t>
            </w:r>
          </w:p>
        </w:tc>
      </w:tr>
      <w:tr>
        <w:tc>
          <w:tcPr>
            <w:tcW w:type="dxa" w:w="2400"/>
            <w:tcMar>
              <w:top w:w="70" w:type="dxa"/>
              <w:left w:w="130" w:type="dxa"/>
              <w:bottom w:w="70" w:type="dxa"/>
              <w:right w:w="130" w:type="dxa"/>
            </w:tcMar>
            <w:vAlign w:val="top"/>
          </w:tcPr>
          <w:p>
            <w:pPr>
              <w:spacing w:before="0" w:after="0" w:line="240" w:lineRule="auto"/>
            </w:pPr>
            <w:r>
              <w:rPr>
                <w:rFonts w:ascii="Calibri" w:hAnsi="Calibri"/>
                <w:b/>
                <w:i w:val="0"/>
                <w:color w:val="2B2B28"/>
                <w:sz w:val="20"/>
              </w:rPr>
              <w:t>Get up off the floor / watch him walk (deconditioned clients)</w:t>
            </w:r>
          </w:p>
        </w:tc>
        <w:tc>
          <w:tcPr>
            <w:tcW w:type="dxa" w:w="3475"/>
            <w:tcMar>
              <w:top w:w="70" w:type="dxa"/>
              <w:left w:w="130" w:type="dxa"/>
              <w:bottom w:w="70" w:type="dxa"/>
              <w:right w:w="130" w:type="dxa"/>
            </w:tcMar>
            <w:vAlign w:val="top"/>
          </w:tcPr>
          <w:p>
            <w:pPr>
              <w:spacing w:before="0" w:after="0" w:line="240" w:lineRule="auto"/>
            </w:pPr>
            <w:r>
              <w:rPr>
                <w:rFonts w:ascii="Calibri" w:hAnsi="Calibri"/>
                <w:b/>
                <w:i w:val="0"/>
                <w:color w:val="2B2B28"/>
                <w:sz w:val="20"/>
              </w:rPr>
              <w:t>Real-world function and any obvious red flag</w:t>
            </w:r>
          </w:p>
        </w:tc>
        <w:tc>
          <w:tcPr>
            <w:tcW w:type="dxa" w:w="3475"/>
            <w:tcMar>
              <w:top w:w="70" w:type="dxa"/>
              <w:left w:w="130" w:type="dxa"/>
              <w:bottom w:w="70" w:type="dxa"/>
              <w:right w:w="130" w:type="dxa"/>
            </w:tcMar>
            <w:vAlign w:val="top"/>
          </w:tcPr>
          <w:p>
            <w:pPr>
              <w:spacing w:before="0" w:after="0" w:line="240" w:lineRule="auto"/>
            </w:pPr>
            <w:r>
              <w:rPr>
                <w:rFonts w:ascii="Calibri" w:hAnsi="Calibri"/>
                <w:b/>
                <w:i w:val="0"/>
                <w:color w:val="2B2B28"/>
                <w:sz w:val="20"/>
              </w:rPr>
              <w:t>A baseline for “live better,” and a prompt to refer anything odd</w:t>
            </w:r>
          </w:p>
        </w:tc>
      </w:tr>
    </w:tbl>
    <w:p>
      <w:pPr>
        <w:spacing w:after="40"/>
      </w:pPr>
    </w:p>
    <w:p>
      <w:pPr>
        <w:spacing w:before="0" w:after="160" w:line="269" w:lineRule="auto"/>
      </w:pPr>
      <w:r>
        <w:rPr>
          <w:rFonts w:ascii="Calibri" w:hAnsi="Calibri"/>
          <w:b w:val="0"/>
          <w:i w:val="0"/>
          <w:color w:val="2B2B28"/>
          <w:sz w:val="22"/>
        </w:rPr>
        <w:t xml:space="preserve">A word on the branded screens, because coaches oversell them. The </w:t>
      </w:r>
      <w:r>
        <w:rPr>
          <w:rFonts w:ascii="Calibri" w:hAnsi="Calibri"/>
          <w:b/>
          <w:i w:val="0"/>
          <w:color w:val="2B2B28"/>
          <w:sz w:val="22"/>
        </w:rPr>
        <w:t>Functional Movement Screen</w:t>
      </w:r>
      <w:r>
        <w:rPr>
          <w:rFonts w:ascii="Calibri" w:hAnsi="Calibri"/>
          <w:b w:val="0"/>
          <w:i w:val="0"/>
          <w:color w:val="2B2B28"/>
          <w:sz w:val="22"/>
        </w:rPr>
        <w:t xml:space="preserve"> is standardised, repeatable and a useful shared language, and it reliably catches </w:t>
      </w:r>
      <w:r>
        <w:rPr>
          <w:rFonts w:ascii="Calibri" w:hAnsi="Calibri"/>
          <w:b/>
          <w:i w:val="0"/>
          <w:color w:val="2B2B28"/>
          <w:sz w:val="22"/>
        </w:rPr>
        <w:t>pain</w:t>
      </w:r>
      <w:r>
        <w:rPr>
          <w:rFonts w:ascii="Calibri" w:hAnsi="Calibri"/>
          <w:b w:val="0"/>
          <w:i w:val="0"/>
          <w:color w:val="2B2B28"/>
          <w:sz w:val="22"/>
        </w:rPr>
        <w:t xml:space="preserve"> and </w:t>
      </w:r>
      <w:r>
        <w:rPr>
          <w:rFonts w:ascii="Calibri" w:hAnsi="Calibri"/>
          <w:b/>
          <w:i w:val="0"/>
          <w:color w:val="2B2B28"/>
          <w:sz w:val="22"/>
        </w:rPr>
        <w:t>gross asymmetry</w:t>
      </w:r>
      <w:r>
        <w:rPr>
          <w:rFonts w:ascii="Calibri" w:hAnsi="Calibri"/>
          <w:b w:val="0"/>
          <w:i w:val="0"/>
          <w:color w:val="2B2B28"/>
          <w:sz w:val="22"/>
        </w:rPr>
        <w:t xml:space="preserve"> — but its composite score is a poor injury predictor, so treat it as a baseline, not a verdict. The </w:t>
      </w:r>
      <w:r>
        <w:rPr>
          <w:rFonts w:ascii="Calibri" w:hAnsi="Calibri"/>
          <w:b/>
          <w:i w:val="0"/>
          <w:color w:val="2B2B28"/>
          <w:sz w:val="22"/>
        </w:rPr>
        <w:t>Y-Balance / Star Excursion</w:t>
      </w:r>
      <w:r>
        <w:rPr>
          <w:rFonts w:ascii="Calibri" w:hAnsi="Calibri"/>
          <w:b w:val="0"/>
          <w:i w:val="0"/>
          <w:color w:val="2B2B28"/>
          <w:sz w:val="22"/>
        </w:rPr>
        <w:t xml:space="preserve"> test is a good, reliable dynamic single-leg and asymmetry measure. And the compensation read-outs (the “this-means-that” overhead-squat models) are a useful way to *observe* — but their inferences are hypotheses to test, not diagnoses, so confirm before you “correct.”</w:t>
      </w:r>
    </w:p>
    <w:p>
      <w:pPr>
        <w:spacing w:before="0" w:after="160" w:line="269" w:lineRule="auto"/>
      </w:pPr>
      <w:r>
        <w:rPr>
          <w:rFonts w:ascii="Calibri" w:hAnsi="Calibri"/>
          <w:b w:val="0"/>
          <w:i w:val="0"/>
          <w:color w:val="2B2B28"/>
          <w:sz w:val="22"/>
        </w:rPr>
        <w:t xml:space="preserve">How to run it without killing momentum: for a novice, fold most of it into the first one or two sessions — teaching the pattern *is* the assessment — rather than a separate testing day. Two rules hold throughout: </w:t>
      </w:r>
      <w:r>
        <w:rPr>
          <w:rFonts w:ascii="Calibri" w:hAnsi="Calibri"/>
          <w:b/>
          <w:i w:val="0"/>
          <w:color w:val="2B2B28"/>
          <w:sz w:val="22"/>
        </w:rPr>
        <w:t>pain in a pattern means stop, modify, and refer if it persists</w:t>
      </w:r>
      <w:r>
        <w:rPr>
          <w:rFonts w:ascii="Calibri" w:hAnsi="Calibri"/>
          <w:b w:val="0"/>
          <w:i w:val="0"/>
          <w:color w:val="2B2B28"/>
          <w:sz w:val="22"/>
        </w:rPr>
        <w:t xml:space="preserve"> (staying in your lane), and you </w:t>
      </w:r>
      <w:r>
        <w:rPr>
          <w:rFonts w:ascii="Calibri" w:hAnsi="Calibri"/>
          <w:b/>
          <w:i w:val="0"/>
          <w:color w:val="2B2B28"/>
          <w:sz w:val="22"/>
        </w:rPr>
        <w:t>re-test movement competency at the four-week marks</w:t>
      </w:r>
      <w:r>
        <w:rPr>
          <w:rFonts w:ascii="Calibri" w:hAnsi="Calibri"/>
          <w:b w:val="0"/>
          <w:i w:val="0"/>
          <w:color w:val="2B2B28"/>
          <w:sz w:val="22"/>
        </w:rPr>
        <w:t>, so it becomes a tracked outcome and coaching evidence, not a one-off. Record it on Form 13.</w:t>
      </w:r>
    </w:p>
    <w:tbl>
      <w:tblPr>
        <w:tblW w:type="auto" w:w="0"/>
        <w:tblLook w:firstColumn="1" w:firstRow="1" w:lastColumn="0" w:lastRow="0" w:noHBand="0" w:noVBand="1" w:val="04A0"/>
        <w:tblW w:w="9350" w:type="dxa"/>
        <w:tblLayout w:type="fixed"/>
        <w:tblBorders>
          <w:top w:val="single" w:sz="12" w:space="0" w:color="2A5C45"/>
          <w:left w:val="single" w:sz="24" w:space="0" w:color="C4522A"/>
          <w:bottom w:val="single" w:sz="12" w:space="0" w:color="2A5C45"/>
          <w:right w:val="none" w:sz="0" w:space="0" w:color="FFFFFF"/>
          <w:insideH w:val="none" w:sz="0" w:space="0" w:color="FFFFFF"/>
          <w:insideV w:val="none" w:sz="0" w:space="0" w:color="FFFFFF"/>
        </w:tblBorders>
      </w:tblPr>
      <w:tblGrid>
        <w:gridCol w:w="9350"/>
      </w:tblGrid>
      <w:tr>
        <w:tc>
          <w:tcPr>
            <w:tcW w:type="dxa" w:w="9350"/>
            <w:shd w:val="clear" w:color="auto" w:fill="EDEAE4"/>
            <w:tcMar>
              <w:top w:w="150" w:type="dxa"/>
              <w:left w:w="230" w:type="dxa"/>
              <w:bottom w:w="150" w:type="dxa"/>
              <w:right w:w="180" w:type="dxa"/>
            </w:tcMar>
          </w:tcPr>
          <w:p>
            <w:pPr>
              <w:spacing w:before="0" w:after="80" w:line="240" w:lineRule="auto"/>
            </w:pPr>
            <w:r>
              <w:rPr>
                <w:rFonts w:ascii="Calibri" w:hAnsi="Calibri"/>
                <w:b/>
                <w:i w:val="0"/>
                <w:color w:val="C4522A"/>
                <w:sz w:val="22"/>
              </w:rPr>
              <w:t>MENTOR MOMENT 2</w:t>
            </w:r>
          </w:p>
          <w:p>
            <w:pPr>
              <w:spacing w:before="0" w:after="80" w:line="269" w:lineRule="auto"/>
            </w:pPr>
            <w:r>
              <w:rPr>
                <w:rFonts w:ascii="Calibri" w:hAnsi="Calibri"/>
                <w:b/>
                <w:color w:val="2A5C45"/>
                <w:sz w:val="22"/>
              </w:rPr>
              <w:t xml:space="preserve">The situation: </w:t>
            </w:r>
            <w:r>
              <w:rPr>
                <w:rFonts w:ascii="Calibri" w:hAnsi="Calibri"/>
                <w:b w:val="0"/>
                <w:i w:val="0"/>
                <w:color w:val="2B2B28"/>
                <w:sz w:val="22"/>
              </w:rPr>
              <w:t>Retest day, week two. The BIA reads three percentage points of body fat lower than baseline. He’s thrilled — “three percent in two weeks!”</w:t>
            </w:r>
          </w:p>
          <w:p>
            <w:pPr>
              <w:spacing w:before="0" w:after="80" w:line="269" w:lineRule="auto"/>
            </w:pPr>
            <w:r>
              <w:rPr>
                <w:rFonts w:ascii="Calibri" w:hAnsi="Calibri"/>
                <w:b/>
                <w:color w:val="2A5C45"/>
                <w:sz w:val="22"/>
              </w:rPr>
              <w:t xml:space="preserve">What most coaches do: </w:t>
            </w:r>
            <w:r>
              <w:rPr>
                <w:rFonts w:ascii="Calibri" w:hAnsi="Calibri"/>
                <w:b w:val="0"/>
                <w:i w:val="0"/>
                <w:color w:val="2B2B28"/>
                <w:sz w:val="22"/>
              </w:rPr>
              <w:t>Celebrate the number and post the win — three percent is a great fortnight and it’ll keep him motivated.</w:t>
            </w:r>
          </w:p>
          <w:p>
            <w:pPr>
              <w:spacing w:before="0" w:after="80" w:line="269" w:lineRule="auto"/>
            </w:pPr>
            <w:r>
              <w:rPr>
                <w:rFonts w:ascii="Calibri" w:hAnsi="Calibri"/>
                <w:b/>
                <w:color w:val="2A5C45"/>
                <w:sz w:val="22"/>
              </w:rPr>
              <w:t xml:space="preserve">The elite thinking: </w:t>
            </w:r>
            <w:r>
              <w:rPr>
                <w:rFonts w:ascii="Calibri" w:hAnsi="Calibri"/>
                <w:b w:val="0"/>
                <w:i w:val="0"/>
                <w:color w:val="2B2B28"/>
                <w:sz w:val="22"/>
              </w:rPr>
              <w:t>Three percentage points of actual body fat in two weeks is physiologically impossible; what moved was body water — he ate fewer carbs and trained less this week, so his glycogen and its bound water dropped, and BIA read that as “fat.” You don’t celebrate a mirage, and you don’t crush him either. You show him the whole dashboard — the weight trend barely down, the waist down half a centimetre, the photos about the same — and you teach him then and there that BIA is a trend tool, not a truth serum. That five-minute lesson buys you months of not fighting the scale.</w:t>
            </w:r>
          </w:p>
          <w:p>
            <w:pPr>
              <w:spacing w:before="0" w:after="80" w:line="269" w:lineRule="auto"/>
            </w:pPr>
            <w:r>
              <w:rPr>
                <w:rFonts w:ascii="Calibri" w:hAnsi="Calibri"/>
                <w:b/>
                <w:color w:val="2A5C45"/>
                <w:sz w:val="22"/>
              </w:rPr>
              <w:t xml:space="preserve">The shift: </w:t>
            </w:r>
            <w:r>
              <w:rPr>
                <w:rFonts w:ascii="Calibri" w:hAnsi="Calibri"/>
                <w:b w:val="0"/>
                <w:i w:val="0"/>
                <w:color w:val="2B2B28"/>
                <w:sz w:val="22"/>
              </w:rPr>
              <w:t>One measurement is a data point, not the truth. The trend across several valid, standardised measures is — coach the dashboard, never the dial.</w:t>
            </w:r>
          </w:p>
        </w:tc>
      </w:tr>
    </w:tbl>
    <w:p>
      <w:pPr>
        <w:spacing w:after="40"/>
      </w:pPr>
    </w:p>
    <w:p>
      <w:pPr>
        <w:pStyle w:val="Heading1"/>
        <w:spacing w:before="320" w:after="100" w:line="240" w:lineRule="auto"/>
      </w:pPr>
      <w:r>
        <w:rPr>
          <w:rFonts w:ascii="Calibri" w:hAnsi="Calibri"/>
          <w:b/>
          <w:i w:val="0"/>
          <w:color w:val="C4522A"/>
          <w:sz w:val="30"/>
        </w:rPr>
        <w:t>Step 4 — The Programme: Training and Nutrition, Built Together</w:t>
      </w:r>
    </w:p>
    <w:p>
      <w:pPr>
        <w:spacing w:before="0" w:after="160" w:line="269" w:lineRule="auto"/>
      </w:pPr>
      <w:r>
        <w:rPr>
          <w:rFonts w:ascii="Calibri" w:hAnsi="Calibri"/>
          <w:b w:val="0"/>
          <w:i w:val="0"/>
          <w:color w:val="2B2B28"/>
          <w:sz w:val="22"/>
        </w:rPr>
        <w:t>Fat loss is mostly a nutrition outcome and muscle gain is mostly a training outcome, so a programme that only writes sets and reps has done half the job. The two are built together, each with its own logic, and kept honestly within your scope.</w:t>
      </w:r>
    </w:p>
    <w:p>
      <w:pPr>
        <w:pStyle w:val="Heading2"/>
        <w:spacing w:before="220" w:after="60" w:line="240" w:lineRule="auto"/>
      </w:pPr>
      <w:r>
        <w:rPr>
          <w:rFonts w:ascii="Calibri" w:hAnsi="Calibri"/>
          <w:b/>
          <w:i w:val="0"/>
          <w:color w:val="2A5C45"/>
          <w:sz w:val="25"/>
        </w:rPr>
        <w:t>The nutrition side — in scope, evidence-based, referred when it isn’t</w:t>
      </w:r>
    </w:p>
    <w:p>
      <w:pPr>
        <w:spacing w:before="0" w:after="160" w:line="269" w:lineRule="auto"/>
      </w:pPr>
      <w:r>
        <w:rPr>
          <w:rFonts w:ascii="Calibri" w:hAnsi="Calibri"/>
          <w:b w:val="0"/>
          <w:i w:val="0"/>
          <w:color w:val="2B2B28"/>
          <w:sz w:val="22"/>
        </w:rPr>
        <w:t xml:space="preserve">You are not writing a clinical meal plan; you are coaching the three levers that decide the fat-loss half, and referring anything beyond them. First, </w:t>
      </w:r>
      <w:r>
        <w:rPr>
          <w:rFonts w:ascii="Calibri" w:hAnsi="Calibri"/>
          <w:b/>
          <w:i w:val="0"/>
          <w:color w:val="2B2B28"/>
          <w:sz w:val="22"/>
        </w:rPr>
        <w:t>energy balance:</w:t>
      </w:r>
      <w:r>
        <w:rPr>
          <w:rFonts w:ascii="Calibri" w:hAnsi="Calibri"/>
          <w:b w:val="0"/>
          <w:i w:val="0"/>
          <w:color w:val="2B2B28"/>
          <w:sz w:val="22"/>
        </w:rPr>
        <w:t xml:space="preserve"> estimate his maintenance intake, then set a </w:t>
      </w:r>
      <w:r>
        <w:rPr>
          <w:rFonts w:ascii="Calibri" w:hAnsi="Calibri"/>
          <w:b/>
          <w:i w:val="0"/>
          <w:color w:val="2B2B28"/>
          <w:sz w:val="22"/>
        </w:rPr>
        <w:t>modest deficit</w:t>
      </w:r>
      <w:r>
        <w:rPr>
          <w:rFonts w:ascii="Calibri" w:hAnsi="Calibri"/>
          <w:b w:val="0"/>
          <w:i w:val="0"/>
          <w:color w:val="2B2B28"/>
          <w:sz w:val="22"/>
        </w:rPr>
        <w:t xml:space="preserve"> — in the region of 10–20% below maintenance — big enough to lose fat at the sustainable rate, small enough to protect muscle, training quality and adherence. Second, </w:t>
      </w:r>
      <w:r>
        <w:rPr>
          <w:rFonts w:ascii="Calibri" w:hAnsi="Calibri"/>
          <w:b/>
          <w:i w:val="0"/>
          <w:color w:val="2B2B28"/>
          <w:sz w:val="22"/>
        </w:rPr>
        <w:t>protein:</w:t>
      </w:r>
      <w:r>
        <w:rPr>
          <w:rFonts w:ascii="Calibri" w:hAnsi="Calibri"/>
          <w:b w:val="0"/>
          <w:i w:val="0"/>
          <w:color w:val="2B2B28"/>
          <w:sz w:val="22"/>
        </w:rPr>
        <w:t xml:space="preserve"> set a high, protective target — roughly 1.6–2.2 g per kg of body weight per day — because in a deficit protein is what preserves (and, in this population, builds) muscle and blunts hunger; it is the single most important nutritional lever you own. Third, </w:t>
      </w:r>
      <w:r>
        <w:rPr>
          <w:rFonts w:ascii="Calibri" w:hAnsi="Calibri"/>
          <w:b/>
          <w:i w:val="0"/>
          <w:color w:val="2B2B28"/>
          <w:sz w:val="22"/>
        </w:rPr>
        <w:t>food quality and structure:</w:t>
      </w:r>
      <w:r>
        <w:rPr>
          <w:rFonts w:ascii="Calibri" w:hAnsi="Calibri"/>
          <w:b w:val="0"/>
          <w:i w:val="0"/>
          <w:color w:val="2B2B28"/>
          <w:sz w:val="22"/>
        </w:rPr>
        <w:t xml:space="preserve"> mostly whole, filling foods, enough fibre, a meal pattern he can actually keep, and daily activity (a step target) as the sustainable movement lever rather than punishing cardio. You coach these as principles and habits; you refer the moment it strays into clinical territory (medical conditions, medications, disordered eating), and you write that referral line into the plan (Form 5, Form 10).</w:t>
      </w:r>
    </w:p>
    <w:p>
      <w:pPr>
        <w:spacing w:before="0" w:after="160" w:line="269" w:lineRule="auto"/>
      </w:pPr>
      <w:r>
        <w:rPr>
          <w:rFonts w:ascii="Calibri" w:hAnsi="Calibri"/>
          <w:b w:val="0"/>
          <w:i w:val="0"/>
          <w:color w:val="2B2B28"/>
          <w:sz w:val="22"/>
        </w:rPr>
        <w:t xml:space="preserve">A note on the honest rate, because it governs everything: aim to lose roughly </w:t>
      </w:r>
      <w:r>
        <w:rPr>
          <w:rFonts w:ascii="Calibri" w:hAnsi="Calibri"/>
          <w:b/>
          <w:i w:val="0"/>
          <w:color w:val="2B2B28"/>
          <w:sz w:val="22"/>
        </w:rPr>
        <w:t>0.5–1% of body weight per week.</w:t>
      </w:r>
      <w:r>
        <w:rPr>
          <w:rFonts w:ascii="Calibri" w:hAnsi="Calibri"/>
          <w:b w:val="0"/>
          <w:i w:val="0"/>
          <w:color w:val="2B2B28"/>
          <w:sz w:val="22"/>
        </w:rPr>
        <w:t xml:space="preserve"> Faster than that and you spend muscle and rebound; slower and he loses patience. Expect the body to fight back a little as it adapts — hunger up, energy expenditure down — and plan for it: periodic </w:t>
      </w:r>
      <w:r>
        <w:rPr>
          <w:rFonts w:ascii="Calibri" w:hAnsi="Calibri"/>
          <w:b/>
          <w:i w:val="0"/>
          <w:color w:val="2B2B28"/>
          <w:sz w:val="22"/>
        </w:rPr>
        <w:t>maintenance breaks</w:t>
      </w:r>
      <w:r>
        <w:rPr>
          <w:rFonts w:ascii="Calibri" w:hAnsi="Calibri"/>
          <w:b w:val="0"/>
          <w:i w:val="0"/>
          <w:color w:val="2B2B28"/>
          <w:sz w:val="22"/>
        </w:rPr>
        <w:t xml:space="preserve"> (a week or two eating at maintenance) can help adherence and blunt that adaptation on a longer diet. And accept that this is not linear; you will steer it from the data in Step 5.</w:t>
      </w:r>
    </w:p>
    <w:p>
      <w:pPr>
        <w:pStyle w:val="Heading2"/>
        <w:spacing w:before="220" w:after="60" w:line="240" w:lineRule="auto"/>
      </w:pPr>
      <w:r>
        <w:rPr>
          <w:rFonts w:ascii="Calibri" w:hAnsi="Calibri"/>
          <w:b/>
          <w:i w:val="0"/>
          <w:color w:val="2A5C45"/>
          <w:sz w:val="25"/>
        </w:rPr>
        <w:t>The training side — the stimulus that keeps and builds the muscle</w:t>
      </w:r>
    </w:p>
    <w:p>
      <w:pPr>
        <w:spacing w:before="0" w:after="160" w:line="269" w:lineRule="auto"/>
      </w:pPr>
      <w:r>
        <w:rPr>
          <w:rFonts w:ascii="Calibri" w:hAnsi="Calibri"/>
          <w:b w:val="0"/>
          <w:i w:val="0"/>
          <w:color w:val="2B2B28"/>
          <w:sz w:val="22"/>
        </w:rPr>
        <w:t xml:space="preserve">Resistance training is non-negotiable here: it is the signal that tells the body to keep muscle in a deficit and to build it where the deficit allows. Build it on a few evidence-based pillars. </w:t>
      </w:r>
      <w:r>
        <w:rPr>
          <w:rFonts w:ascii="Calibri" w:hAnsi="Calibri"/>
          <w:b/>
          <w:i w:val="0"/>
          <w:color w:val="2B2B28"/>
          <w:sz w:val="22"/>
        </w:rPr>
        <w:t>Progressive overload</w:t>
      </w:r>
      <w:r>
        <w:rPr>
          <w:rFonts w:ascii="Calibri" w:hAnsi="Calibri"/>
          <w:b w:val="0"/>
          <w:i w:val="0"/>
          <w:color w:val="2B2B28"/>
          <w:sz w:val="22"/>
        </w:rPr>
        <w:t xml:space="preserve"> is the engine — the load, reps, or quality must trend up over time, and tracking that is how you prove the muscle is being protected. </w:t>
      </w:r>
      <w:r>
        <w:rPr>
          <w:rFonts w:ascii="Calibri" w:hAnsi="Calibri"/>
          <w:b/>
          <w:i w:val="0"/>
          <w:color w:val="2B2B28"/>
          <w:sz w:val="22"/>
        </w:rPr>
        <w:t>Volume</w:t>
      </w:r>
      <w:r>
        <w:rPr>
          <w:rFonts w:ascii="Calibri" w:hAnsi="Calibri"/>
          <w:b w:val="0"/>
          <w:i w:val="0"/>
          <w:color w:val="2B2B28"/>
          <w:sz w:val="22"/>
        </w:rPr>
        <w:t xml:space="preserve"> in the effective range — around ten or more hard sets per muscle group per week — is the main driver of hypertrophy; start at the lower end with a novice and add as he adapts. </w:t>
      </w:r>
      <w:r>
        <w:rPr>
          <w:rFonts w:ascii="Calibri" w:hAnsi="Calibri"/>
          <w:b/>
          <w:i w:val="0"/>
          <w:color w:val="2B2B28"/>
          <w:sz w:val="22"/>
        </w:rPr>
        <w:t>Frequency</w:t>
      </w:r>
      <w:r>
        <w:rPr>
          <w:rFonts w:ascii="Calibri" w:hAnsi="Calibri"/>
          <w:b w:val="0"/>
          <w:i w:val="0"/>
          <w:color w:val="2B2B28"/>
          <w:sz w:val="22"/>
        </w:rPr>
        <w:t xml:space="preserve"> of roughly twice per muscle group per week lets you distribute that volume with good quality. </w:t>
      </w:r>
      <w:r>
        <w:rPr>
          <w:rFonts w:ascii="Calibri" w:hAnsi="Calibri"/>
          <w:b/>
          <w:i w:val="0"/>
          <w:color w:val="2B2B28"/>
          <w:sz w:val="22"/>
        </w:rPr>
        <w:t>Intensity of effort</w:t>
      </w:r>
      <w:r>
        <w:rPr>
          <w:rFonts w:ascii="Calibri" w:hAnsi="Calibri"/>
          <w:b w:val="0"/>
          <w:i w:val="0"/>
          <w:color w:val="2B2B28"/>
          <w:sz w:val="22"/>
        </w:rPr>
        <w:t xml:space="preserve"> — training with a couple of reps in reserve, occasionally closer to failure — matters more than chasing a specific rep number; most work sits in a broad 6–15 rep range. </w:t>
      </w:r>
      <w:r>
        <w:rPr>
          <w:rFonts w:ascii="Calibri" w:hAnsi="Calibri"/>
          <w:b/>
          <w:i w:val="0"/>
          <w:color w:val="2B2B28"/>
          <w:sz w:val="22"/>
        </w:rPr>
        <w:t>Exercise selection</w:t>
      </w:r>
      <w:r>
        <w:rPr>
          <w:rFonts w:ascii="Calibri" w:hAnsi="Calibri"/>
          <w:b w:val="0"/>
          <w:i w:val="0"/>
          <w:color w:val="2B2B28"/>
          <w:sz w:val="22"/>
        </w:rPr>
        <w:t xml:space="preserve"> favours a base of big compound movements he can learn and load, plus enough isolation to bring up what he wants to build. And </w:t>
      </w:r>
      <w:r>
        <w:rPr>
          <w:rFonts w:ascii="Calibri" w:hAnsi="Calibri"/>
          <w:b/>
          <w:i w:val="0"/>
          <w:color w:val="2B2B28"/>
          <w:sz w:val="22"/>
        </w:rPr>
        <w:t>cardio</w:t>
      </w:r>
      <w:r>
        <w:rPr>
          <w:rFonts w:ascii="Calibri" w:hAnsi="Calibri"/>
          <w:b w:val="0"/>
          <w:i w:val="0"/>
          <w:color w:val="2B2B28"/>
          <w:sz w:val="22"/>
        </w:rPr>
        <w:t xml:space="preserve"> is dosed for health and to support the deficit — not so much that it competes with recovery from the lifting that is actually building him.</w:t>
      </w:r>
    </w:p>
    <w:p>
      <w:pPr>
        <w:pStyle w:val="Heading2"/>
        <w:spacing w:before="220" w:after="60" w:line="240" w:lineRule="auto"/>
      </w:pPr>
      <w:r>
        <w:rPr>
          <w:rFonts w:ascii="Calibri" w:hAnsi="Calibri"/>
          <w:b/>
          <w:i w:val="0"/>
          <w:color w:val="2A5C45"/>
          <w:sz w:val="25"/>
        </w:rPr>
        <w:t>How it progresses — autoregulation, a ladder, and a sample week</w:t>
      </w:r>
    </w:p>
    <w:p>
      <w:pPr>
        <w:spacing w:before="0" w:after="160" w:line="269" w:lineRule="auto"/>
      </w:pPr>
      <w:r>
        <w:rPr>
          <w:rFonts w:ascii="Calibri" w:hAnsi="Calibri"/>
          <w:b w:val="0"/>
          <w:i w:val="0"/>
          <w:color w:val="2B2B28"/>
          <w:sz w:val="22"/>
        </w:rPr>
        <w:t xml:space="preserve">Two tools turn the principles into Monday’s session. </w:t>
      </w:r>
      <w:r>
        <w:rPr>
          <w:rFonts w:ascii="Calibri" w:hAnsi="Calibri"/>
          <w:b/>
          <w:i w:val="0"/>
          <w:color w:val="2B2B28"/>
          <w:sz w:val="22"/>
        </w:rPr>
        <w:t>Autoregulate:</w:t>
      </w:r>
      <w:r>
        <w:rPr>
          <w:rFonts w:ascii="Calibri" w:hAnsi="Calibri"/>
          <w:b w:val="0"/>
          <w:i w:val="0"/>
          <w:color w:val="2B2B28"/>
          <w:sz w:val="22"/>
        </w:rPr>
        <w:t xml:space="preserve"> prescribe by effort and reps-in-reserve, not rigid percentages, because a client in a deficit has swinging day-to-day readiness — good day, take the top of the range; flat, hungry, under-slept day, take the bottom and still bank the session. And climb a </w:t>
      </w:r>
      <w:r>
        <w:rPr>
          <w:rFonts w:ascii="Calibri" w:hAnsi="Calibri"/>
          <w:b/>
          <w:i w:val="0"/>
          <w:color w:val="2B2B28"/>
          <w:sz w:val="22"/>
        </w:rPr>
        <w:t>progression ladder</w:t>
      </w:r>
      <w:r>
        <w:rPr>
          <w:rFonts w:ascii="Calibri" w:hAnsi="Calibri"/>
          <w:b w:val="0"/>
          <w:i w:val="0"/>
          <w:color w:val="2B2B28"/>
          <w:sz w:val="22"/>
        </w:rPr>
        <w:t xml:space="preserve"> for each pattern, so you always have the next step ready when he earns it and the step back ready when a hard diet week means he hasn’t:</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450"/>
        <w:gridCol w:w="6900"/>
      </w:tblGrid>
      <w:tr>
        <w:tc>
          <w:tcPr>
            <w:tcW w:type="dxa" w:w="24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Pattern</w:t>
            </w:r>
          </w:p>
        </w:tc>
        <w:tc>
          <w:tcPr>
            <w:tcW w:type="dxa" w:w="69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Regression → progression ladder (add load, reps, or quality as each is owned)</w:t>
            </w:r>
          </w:p>
        </w:tc>
      </w:tr>
      <w:tr>
        <w:tc>
          <w:tcPr>
            <w:tcW w:type="dxa" w:w="2450"/>
            <w:tcMar>
              <w:top w:w="70" w:type="dxa"/>
              <w:left w:w="130" w:type="dxa"/>
              <w:bottom w:w="70" w:type="dxa"/>
              <w:right w:w="130" w:type="dxa"/>
            </w:tcMar>
            <w:vAlign w:val="top"/>
          </w:tcPr>
          <w:p>
            <w:pPr>
              <w:spacing w:before="0" w:after="0" w:line="240" w:lineRule="auto"/>
            </w:pPr>
            <w:r>
              <w:rPr>
                <w:rFonts w:ascii="Calibri" w:hAnsi="Calibri"/>
                <w:b/>
                <w:i w:val="0"/>
                <w:color w:val="2B2B28"/>
                <w:sz w:val="20"/>
              </w:rPr>
              <w:t>Squat / knee-dominant</w:t>
            </w:r>
          </w:p>
        </w:tc>
        <w:tc>
          <w:tcPr>
            <w:tcW w:type="dxa" w:w="6900"/>
            <w:tcMar>
              <w:top w:w="70" w:type="dxa"/>
              <w:left w:w="130" w:type="dxa"/>
              <w:bottom w:w="70" w:type="dxa"/>
              <w:right w:w="130" w:type="dxa"/>
            </w:tcMar>
            <w:vAlign w:val="top"/>
          </w:tcPr>
          <w:p>
            <w:pPr>
              <w:spacing w:before="0" w:after="0" w:line="240" w:lineRule="auto"/>
            </w:pPr>
            <w:r>
              <w:rPr>
                <w:rFonts w:ascii="Calibri" w:hAnsi="Calibri"/>
                <w:b/>
                <w:i w:val="0"/>
                <w:color w:val="2B2B28"/>
                <w:sz w:val="20"/>
              </w:rPr>
              <w:t>Box squat / goblet squat → dumbbell or barbell squat → add load &amp; reps → tempo / single-leg</w:t>
            </w:r>
          </w:p>
        </w:tc>
      </w:tr>
      <w:tr>
        <w:tc>
          <w:tcPr>
            <w:tcW w:type="dxa" w:w="2450"/>
            <w:tcMar>
              <w:top w:w="70" w:type="dxa"/>
              <w:left w:w="130" w:type="dxa"/>
              <w:bottom w:w="70" w:type="dxa"/>
              <w:right w:w="130" w:type="dxa"/>
            </w:tcMar>
            <w:vAlign w:val="top"/>
          </w:tcPr>
          <w:p>
            <w:pPr>
              <w:spacing w:before="0" w:after="0" w:line="240" w:lineRule="auto"/>
            </w:pPr>
            <w:r>
              <w:rPr>
                <w:rFonts w:ascii="Calibri" w:hAnsi="Calibri"/>
                <w:b/>
                <w:i w:val="0"/>
                <w:color w:val="2B2B28"/>
                <w:sz w:val="20"/>
              </w:rPr>
              <w:t>Hinge / posterior chain</w:t>
            </w:r>
          </w:p>
        </w:tc>
        <w:tc>
          <w:tcPr>
            <w:tcW w:type="dxa" w:w="6900"/>
            <w:tcMar>
              <w:top w:w="70" w:type="dxa"/>
              <w:left w:w="130" w:type="dxa"/>
              <w:bottom w:w="70" w:type="dxa"/>
              <w:right w:w="130" w:type="dxa"/>
            </w:tcMar>
            <w:vAlign w:val="top"/>
          </w:tcPr>
          <w:p>
            <w:pPr>
              <w:spacing w:before="0" w:after="0" w:line="240" w:lineRule="auto"/>
            </w:pPr>
            <w:r>
              <w:rPr>
                <w:rFonts w:ascii="Calibri" w:hAnsi="Calibri"/>
                <w:b/>
                <w:i w:val="0"/>
                <w:color w:val="2B2B28"/>
                <w:sz w:val="20"/>
              </w:rPr>
              <w:t>Hip hinge to a target → Romanian deadlift → full deadlift → add load; progress single-leg</w:t>
            </w:r>
          </w:p>
        </w:tc>
      </w:tr>
      <w:tr>
        <w:tc>
          <w:tcPr>
            <w:tcW w:type="dxa" w:w="2450"/>
            <w:tcMar>
              <w:top w:w="70" w:type="dxa"/>
              <w:left w:w="130" w:type="dxa"/>
              <w:bottom w:w="70" w:type="dxa"/>
              <w:right w:w="130" w:type="dxa"/>
            </w:tcMar>
            <w:vAlign w:val="top"/>
          </w:tcPr>
          <w:p>
            <w:pPr>
              <w:spacing w:before="0" w:after="0" w:line="240" w:lineRule="auto"/>
            </w:pPr>
            <w:r>
              <w:rPr>
                <w:rFonts w:ascii="Calibri" w:hAnsi="Calibri"/>
                <w:b/>
                <w:i w:val="0"/>
                <w:color w:val="2B2B28"/>
                <w:sz w:val="20"/>
              </w:rPr>
              <w:t>Upper push</w:t>
            </w:r>
          </w:p>
        </w:tc>
        <w:tc>
          <w:tcPr>
            <w:tcW w:type="dxa" w:w="6900"/>
            <w:tcMar>
              <w:top w:w="70" w:type="dxa"/>
              <w:left w:w="130" w:type="dxa"/>
              <w:bottom w:w="70" w:type="dxa"/>
              <w:right w:w="130" w:type="dxa"/>
            </w:tcMar>
            <w:vAlign w:val="top"/>
          </w:tcPr>
          <w:p>
            <w:pPr>
              <w:spacing w:before="0" w:after="0" w:line="240" w:lineRule="auto"/>
            </w:pPr>
            <w:r>
              <w:rPr>
                <w:rFonts w:ascii="Calibri" w:hAnsi="Calibri"/>
                <w:b/>
                <w:i w:val="0"/>
                <w:color w:val="2B2B28"/>
                <w:sz w:val="20"/>
              </w:rPr>
              <w:t>Machine / incline press → dumbbell bench → barbell bench / overhead → add load &amp; reps</w:t>
            </w:r>
          </w:p>
        </w:tc>
      </w:tr>
      <w:tr>
        <w:tc>
          <w:tcPr>
            <w:tcW w:type="dxa" w:w="2450"/>
            <w:tcMar>
              <w:top w:w="70" w:type="dxa"/>
              <w:left w:w="130" w:type="dxa"/>
              <w:bottom w:w="70" w:type="dxa"/>
              <w:right w:w="130" w:type="dxa"/>
            </w:tcMar>
            <w:vAlign w:val="top"/>
          </w:tcPr>
          <w:p>
            <w:pPr>
              <w:spacing w:before="0" w:after="0" w:line="240" w:lineRule="auto"/>
            </w:pPr>
            <w:r>
              <w:rPr>
                <w:rFonts w:ascii="Calibri" w:hAnsi="Calibri"/>
                <w:b/>
                <w:i w:val="0"/>
                <w:color w:val="2B2B28"/>
                <w:sz w:val="20"/>
              </w:rPr>
              <w:t>Upper pull</w:t>
            </w:r>
          </w:p>
        </w:tc>
        <w:tc>
          <w:tcPr>
            <w:tcW w:type="dxa" w:w="6900"/>
            <w:tcMar>
              <w:top w:w="70" w:type="dxa"/>
              <w:left w:w="130" w:type="dxa"/>
              <w:bottom w:w="70" w:type="dxa"/>
              <w:right w:w="130" w:type="dxa"/>
            </w:tcMar>
            <w:vAlign w:val="top"/>
          </w:tcPr>
          <w:p>
            <w:pPr>
              <w:spacing w:before="0" w:after="0" w:line="240" w:lineRule="auto"/>
            </w:pPr>
            <w:r>
              <w:rPr>
                <w:rFonts w:ascii="Calibri" w:hAnsi="Calibri"/>
                <w:b/>
                <w:i w:val="0"/>
                <w:color w:val="2B2B28"/>
                <w:sz w:val="20"/>
              </w:rPr>
              <w:t>Assisted / machine row &amp; pulldown → dumbbell row → weighted pull-ups / heavier rows</w:t>
            </w:r>
          </w:p>
        </w:tc>
      </w:tr>
      <w:tr>
        <w:tc>
          <w:tcPr>
            <w:tcW w:type="dxa" w:w="2450"/>
            <w:tcMar>
              <w:top w:w="70" w:type="dxa"/>
              <w:left w:w="130" w:type="dxa"/>
              <w:bottom w:w="70" w:type="dxa"/>
              <w:right w:w="130" w:type="dxa"/>
            </w:tcMar>
            <w:vAlign w:val="top"/>
          </w:tcPr>
          <w:p>
            <w:pPr>
              <w:spacing w:before="0" w:after="0" w:line="240" w:lineRule="auto"/>
            </w:pPr>
            <w:r>
              <w:rPr>
                <w:rFonts w:ascii="Calibri" w:hAnsi="Calibri"/>
                <w:b/>
                <w:i w:val="0"/>
                <w:color w:val="2B2B28"/>
                <w:sz w:val="20"/>
              </w:rPr>
              <w:t>Conditioning &amp; activity</w:t>
            </w:r>
          </w:p>
        </w:tc>
        <w:tc>
          <w:tcPr>
            <w:tcW w:type="dxa" w:w="6900"/>
            <w:tcMar>
              <w:top w:w="70" w:type="dxa"/>
              <w:left w:w="130" w:type="dxa"/>
              <w:bottom w:w="70" w:type="dxa"/>
              <w:right w:w="130" w:type="dxa"/>
            </w:tcMar>
            <w:vAlign w:val="top"/>
          </w:tcPr>
          <w:p>
            <w:pPr>
              <w:spacing w:before="0" w:after="0" w:line="240" w:lineRule="auto"/>
            </w:pPr>
            <w:r>
              <w:rPr>
                <w:rFonts w:ascii="Calibri" w:hAnsi="Calibri"/>
                <w:b/>
                <w:i w:val="0"/>
                <w:color w:val="2B2B28"/>
                <w:sz w:val="20"/>
              </w:rPr>
              <w:t>Daily step target → low-intensity cardio → intervals as fitness allows (health-dosed, not punitive)</w:t>
            </w:r>
          </w:p>
        </w:tc>
      </w:tr>
    </w:tbl>
    <w:p>
      <w:pPr>
        <w:spacing w:after="40"/>
      </w:pPr>
    </w:p>
    <w:p>
      <w:pPr>
        <w:spacing w:before="0" w:after="160" w:line="269" w:lineRule="auto"/>
      </w:pPr>
      <w:r>
        <w:rPr>
          <w:rFonts w:ascii="Calibri" w:hAnsi="Calibri"/>
          <w:b w:val="0"/>
          <w:i w:val="0"/>
          <w:color w:val="2B2B28"/>
          <w:sz w:val="22"/>
        </w:rPr>
        <w:t xml:space="preserve">And a </w:t>
      </w:r>
      <w:r>
        <w:rPr>
          <w:rFonts w:ascii="Calibri" w:hAnsi="Calibri"/>
          <w:b/>
          <w:i w:val="0"/>
          <w:color w:val="2B2B28"/>
          <w:sz w:val="22"/>
        </w:rPr>
        <w:t>sample week</w:t>
      </w:r>
      <w:r>
        <w:rPr>
          <w:rFonts w:ascii="Calibri" w:hAnsi="Calibri"/>
          <w:b w:val="0"/>
          <w:i w:val="0"/>
          <w:color w:val="2B2B28"/>
          <w:sz w:val="22"/>
        </w:rPr>
        <w:t xml:space="preserve"> for a three-day novice — full-body, so every session trains the whole body twice-ish across the week, which suits a beginner’s recovery and adherence better than a body-part split:</w:t>
      </w:r>
    </w:p>
    <w:tbl>
      <w:tblPr>
        <w:tblW w:type="auto" w:w="0"/>
        <w:tblLook w:firstColumn="1" w:firstRow="1" w:lastColumn="0" w:lastRow="0" w:noHBand="0" w:noVBand="1" w:val="04A0"/>
        <w:tblW w:w="940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1250"/>
        <w:gridCol w:w="3100"/>
        <w:gridCol w:w="3150"/>
        <w:gridCol w:w="1900"/>
      </w:tblGrid>
      <w:tr>
        <w:tc>
          <w:tcPr>
            <w:tcW w:type="dxa" w:w="12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Day</w:t>
            </w:r>
          </w:p>
        </w:tc>
        <w:tc>
          <w:tcPr>
            <w:tcW w:type="dxa" w:w="31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Focus</w:t>
            </w:r>
          </w:p>
        </w:tc>
        <w:tc>
          <w:tcPr>
            <w:tcW w:type="dxa" w:w="31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Notes</w:t>
            </w:r>
          </w:p>
        </w:tc>
        <w:tc>
          <w:tcPr>
            <w:tcW w:type="dxa" w:w="19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Emphasis</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Mon</w:t>
            </w:r>
          </w:p>
        </w:tc>
        <w:tc>
          <w:tcPr>
            <w:tcW w:type="dxa" w:w="3100"/>
            <w:tcMar>
              <w:top w:w="70" w:type="dxa"/>
              <w:left w:w="130" w:type="dxa"/>
              <w:bottom w:w="70" w:type="dxa"/>
              <w:right w:w="130" w:type="dxa"/>
            </w:tcMar>
            <w:vAlign w:val="top"/>
          </w:tcPr>
          <w:p>
            <w:pPr>
              <w:spacing w:before="0" w:after="0" w:line="240" w:lineRule="auto"/>
            </w:pPr>
            <w:r>
              <w:rPr>
                <w:rFonts w:ascii="Calibri" w:hAnsi="Calibri"/>
                <w:b/>
                <w:i w:val="0"/>
                <w:color w:val="2B2B28"/>
                <w:sz w:val="20"/>
              </w:rPr>
              <w:t>Full body A — squat priority</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Squat, press, row, carry</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Strength</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Tue</w:t>
            </w:r>
          </w:p>
        </w:tc>
        <w:tc>
          <w:tcPr>
            <w:tcW w:type="dxa" w:w="3100"/>
            <w:tcMar>
              <w:top w:w="70" w:type="dxa"/>
              <w:left w:w="130" w:type="dxa"/>
              <w:bottom w:w="70" w:type="dxa"/>
              <w:right w:w="130" w:type="dxa"/>
            </w:tcMar>
            <w:vAlign w:val="top"/>
          </w:tcPr>
          <w:p>
            <w:pPr>
              <w:spacing w:before="0" w:after="0" w:line="240" w:lineRule="auto"/>
            </w:pPr>
            <w:r>
              <w:rPr>
                <w:rFonts w:ascii="Calibri" w:hAnsi="Calibri"/>
                <w:b/>
                <w:i w:val="0"/>
                <w:color w:val="2B2B28"/>
                <w:sz w:val="20"/>
              </w:rPr>
              <w:t>Steps + optional easy cardio</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Activity for the deficit</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Recovery</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Wed</w:t>
            </w:r>
          </w:p>
        </w:tc>
        <w:tc>
          <w:tcPr>
            <w:tcW w:type="dxa" w:w="3100"/>
            <w:tcMar>
              <w:top w:w="70" w:type="dxa"/>
              <w:left w:w="130" w:type="dxa"/>
              <w:bottom w:w="70" w:type="dxa"/>
              <w:right w:w="130" w:type="dxa"/>
            </w:tcMar>
            <w:vAlign w:val="top"/>
          </w:tcPr>
          <w:p>
            <w:pPr>
              <w:spacing w:before="0" w:after="0" w:line="240" w:lineRule="auto"/>
            </w:pPr>
            <w:r>
              <w:rPr>
                <w:rFonts w:ascii="Calibri" w:hAnsi="Calibri"/>
                <w:b/>
                <w:i w:val="0"/>
                <w:color w:val="2B2B28"/>
                <w:sz w:val="20"/>
              </w:rPr>
              <w:t>Full body B — hinge priority</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Hinge, pull-up, DB press, core</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Strength</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Thu</w:t>
            </w:r>
          </w:p>
        </w:tc>
        <w:tc>
          <w:tcPr>
            <w:tcW w:type="dxa" w:w="3100"/>
            <w:tcMar>
              <w:top w:w="70" w:type="dxa"/>
              <w:left w:w="130" w:type="dxa"/>
              <w:bottom w:w="70" w:type="dxa"/>
              <w:right w:w="130" w:type="dxa"/>
            </w:tcMar>
            <w:vAlign w:val="top"/>
          </w:tcPr>
          <w:p>
            <w:pPr>
              <w:spacing w:before="0" w:after="0" w:line="240" w:lineRule="auto"/>
            </w:pPr>
            <w:r>
              <w:rPr>
                <w:rFonts w:ascii="Calibri" w:hAnsi="Calibri"/>
                <w:b/>
                <w:i w:val="0"/>
                <w:color w:val="2B2B28"/>
                <w:sz w:val="20"/>
              </w:rPr>
              <w:t>Steps + optional easy cardio</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Keep moving</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Recovery</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Fri</w:t>
            </w:r>
          </w:p>
        </w:tc>
        <w:tc>
          <w:tcPr>
            <w:tcW w:type="dxa" w:w="3100"/>
            <w:tcMar>
              <w:top w:w="70" w:type="dxa"/>
              <w:left w:w="130" w:type="dxa"/>
              <w:bottom w:w="70" w:type="dxa"/>
              <w:right w:w="130" w:type="dxa"/>
            </w:tcMar>
            <w:vAlign w:val="top"/>
          </w:tcPr>
          <w:p>
            <w:pPr>
              <w:spacing w:before="0" w:after="0" w:line="240" w:lineRule="auto"/>
            </w:pPr>
            <w:r>
              <w:rPr>
                <w:rFonts w:ascii="Calibri" w:hAnsi="Calibri"/>
                <w:b/>
                <w:i w:val="0"/>
                <w:color w:val="2B2B28"/>
                <w:sz w:val="20"/>
              </w:rPr>
              <w:t>Full body C — accessory &amp; pump</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Compounds lighter, more isolation</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Hypertrophy</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Sat</w:t>
            </w:r>
          </w:p>
        </w:tc>
        <w:tc>
          <w:tcPr>
            <w:tcW w:type="dxa" w:w="3100"/>
            <w:tcMar>
              <w:top w:w="70" w:type="dxa"/>
              <w:left w:w="130" w:type="dxa"/>
              <w:bottom w:w="70" w:type="dxa"/>
              <w:right w:w="130" w:type="dxa"/>
            </w:tcMar>
            <w:vAlign w:val="top"/>
          </w:tcPr>
          <w:p>
            <w:pPr>
              <w:spacing w:before="0" w:after="0" w:line="240" w:lineRule="auto"/>
            </w:pPr>
            <w:r>
              <w:rPr>
                <w:rFonts w:ascii="Calibri" w:hAnsi="Calibri"/>
                <w:b/>
                <w:i w:val="0"/>
                <w:color w:val="2B2B28"/>
                <w:sz w:val="20"/>
              </w:rPr>
              <w:t>Longer walk / active hobby</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Sustainable movement</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Health</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Sun</w:t>
            </w:r>
          </w:p>
        </w:tc>
        <w:tc>
          <w:tcPr>
            <w:tcW w:type="dxa" w:w="3100"/>
            <w:tcMar>
              <w:top w:w="70" w:type="dxa"/>
              <w:left w:w="130" w:type="dxa"/>
              <w:bottom w:w="70" w:type="dxa"/>
              <w:right w:w="130" w:type="dxa"/>
            </w:tcMar>
            <w:vAlign w:val="top"/>
          </w:tcPr>
          <w:p>
            <w:pPr>
              <w:spacing w:before="0" w:after="0" w:line="240" w:lineRule="auto"/>
            </w:pPr>
            <w:r>
              <w:rPr>
                <w:rFonts w:ascii="Calibri" w:hAnsi="Calibri"/>
                <w:b/>
                <w:i w:val="0"/>
                <w:color w:val="2B2B28"/>
                <w:sz w:val="20"/>
              </w:rPr>
              <w:t>Off</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Sleep, meal prep, recover</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Recovery</w:t>
            </w:r>
          </w:p>
        </w:tc>
      </w:tr>
    </w:tbl>
    <w:p>
      <w:pPr>
        <w:spacing w:after="40"/>
      </w:pPr>
    </w:p>
    <w:p>
      <w:pPr>
        <w:spacing w:before="0" w:after="140" w:line="269" w:lineRule="auto"/>
      </w:pPr>
      <w:r>
        <w:rPr>
          <w:rFonts w:ascii="Calibri" w:hAnsi="Calibri"/>
          <w:b w:val="0"/>
          <w:i/>
          <w:color w:val="6B6B66"/>
          <w:sz w:val="20"/>
        </w:rPr>
        <w:t>A template, not a prescription — three quality full-body sessions plus daily activity beats five sessions he won’t keep. Build his real week around his schedule, and add volume and days only as he earns the recovery for them.</w:t>
      </w:r>
    </w:p>
    <w:p>
      <w:pPr>
        <w:pStyle w:val="Heading2"/>
        <w:spacing w:before="220" w:after="60" w:line="240" w:lineRule="auto"/>
      </w:pPr>
      <w:r>
        <w:rPr>
          <w:rFonts w:ascii="Calibri" w:hAnsi="Calibri"/>
          <w:b/>
          <w:i w:val="0"/>
          <w:color w:val="2A5C45"/>
          <w:sz w:val="25"/>
        </w:rPr>
        <w:t>Coaching it, not just prescribing it — technical models &amp; cues</w:t>
      </w:r>
    </w:p>
    <w:p>
      <w:pPr>
        <w:spacing w:before="0" w:after="160" w:line="269" w:lineRule="auto"/>
      </w:pPr>
      <w:r>
        <w:rPr>
          <w:rFonts w:ascii="Calibri" w:hAnsi="Calibri"/>
          <w:b w:val="0"/>
          <w:i w:val="0"/>
          <w:color w:val="2B2B28"/>
          <w:sz w:val="22"/>
        </w:rPr>
        <w:t>Selecting the right exercise is half the job; the other half — the half an assessor actually watches — is coaching it well and safely on a novice. For every key lift, hold a technical model, two or three cues that get him there, and the fault you’re watching for:</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300"/>
        <w:gridCol w:w="3550"/>
        <w:gridCol w:w="3500"/>
      </w:tblGrid>
      <w:tr>
        <w:tc>
          <w:tcPr>
            <w:tcW w:type="dxa" w:w="23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Lift</w:t>
            </w:r>
          </w:p>
        </w:tc>
        <w:tc>
          <w:tcPr>
            <w:tcW w:type="dxa" w:w="35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Cue that works</w:t>
            </w:r>
          </w:p>
        </w:tc>
        <w:tc>
          <w:tcPr>
            <w:tcW w:type="dxa" w:w="3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Fault you’re watching for</w:t>
            </w:r>
          </w:p>
        </w:tc>
      </w:tr>
      <w:tr>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Goblet / back squat</w:t>
            </w:r>
          </w:p>
        </w:tc>
        <w:tc>
          <w:tcPr>
            <w:tcW w:type="dxa" w:w="3550"/>
            <w:tcMar>
              <w:top w:w="70" w:type="dxa"/>
              <w:left w:w="130" w:type="dxa"/>
              <w:bottom w:w="70" w:type="dxa"/>
              <w:right w:w="130" w:type="dxa"/>
            </w:tcMar>
            <w:vAlign w:val="top"/>
          </w:tcPr>
          <w:p>
            <w:pPr>
              <w:spacing w:before="0" w:after="0" w:line="240" w:lineRule="auto"/>
            </w:pPr>
            <w:r>
              <w:rPr>
                <w:rFonts w:ascii="Calibri" w:hAnsi="Calibri"/>
                <w:b/>
                <w:i w:val="0"/>
                <w:color w:val="2B2B28"/>
                <w:sz w:val="20"/>
              </w:rPr>
              <w:t>“Brace, sit between your hips, knees track over toes”</w:t>
            </w:r>
          </w:p>
        </w:tc>
        <w:tc>
          <w:tcPr>
            <w:tcW w:type="dxa" w:w="3500"/>
            <w:tcMar>
              <w:top w:w="70" w:type="dxa"/>
              <w:left w:w="130" w:type="dxa"/>
              <w:bottom w:w="70" w:type="dxa"/>
              <w:right w:w="130" w:type="dxa"/>
            </w:tcMar>
            <w:vAlign w:val="top"/>
          </w:tcPr>
          <w:p>
            <w:pPr>
              <w:spacing w:before="0" w:after="0" w:line="240" w:lineRule="auto"/>
            </w:pPr>
            <w:r>
              <w:rPr>
                <w:rFonts w:ascii="Calibri" w:hAnsi="Calibri"/>
                <w:b/>
                <w:i w:val="0"/>
                <w:color w:val="2B2B28"/>
                <w:sz w:val="20"/>
              </w:rPr>
              <w:t>Knees caving; heels lifting; losing the brace</w:t>
            </w:r>
          </w:p>
        </w:tc>
      </w:tr>
      <w:tr>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Romanian deadlift</w:t>
            </w:r>
          </w:p>
        </w:tc>
        <w:tc>
          <w:tcPr>
            <w:tcW w:type="dxa" w:w="3550"/>
            <w:tcMar>
              <w:top w:w="70" w:type="dxa"/>
              <w:left w:w="130" w:type="dxa"/>
              <w:bottom w:w="70" w:type="dxa"/>
              <w:right w:w="130" w:type="dxa"/>
            </w:tcMar>
            <w:vAlign w:val="top"/>
          </w:tcPr>
          <w:p>
            <w:pPr>
              <w:spacing w:before="0" w:after="0" w:line="240" w:lineRule="auto"/>
            </w:pPr>
            <w:r>
              <w:rPr>
                <w:rFonts w:ascii="Calibri" w:hAnsi="Calibri"/>
                <w:b/>
                <w:i w:val="0"/>
                <w:color w:val="2B2B28"/>
                <w:sz w:val="20"/>
              </w:rPr>
              <w:t>“Soft knees, push the hips back, flat back, bar close”</w:t>
            </w:r>
          </w:p>
        </w:tc>
        <w:tc>
          <w:tcPr>
            <w:tcW w:type="dxa" w:w="3500"/>
            <w:tcMar>
              <w:top w:w="70" w:type="dxa"/>
              <w:left w:w="130" w:type="dxa"/>
              <w:bottom w:w="70" w:type="dxa"/>
              <w:right w:w="130" w:type="dxa"/>
            </w:tcMar>
            <w:vAlign w:val="top"/>
          </w:tcPr>
          <w:p>
            <w:pPr>
              <w:spacing w:before="0" w:after="0" w:line="240" w:lineRule="auto"/>
            </w:pPr>
            <w:r>
              <w:rPr>
                <w:rFonts w:ascii="Calibri" w:hAnsi="Calibri"/>
                <w:b/>
                <w:i w:val="0"/>
                <w:color w:val="2B2B28"/>
                <w:sz w:val="20"/>
              </w:rPr>
              <w:t>Rounding the back; turning it into a squat</w:t>
            </w:r>
          </w:p>
        </w:tc>
      </w:tr>
      <w:tr>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Dumbbell bench press</w:t>
            </w:r>
          </w:p>
        </w:tc>
        <w:tc>
          <w:tcPr>
            <w:tcW w:type="dxa" w:w="3550"/>
            <w:tcMar>
              <w:top w:w="70" w:type="dxa"/>
              <w:left w:w="130" w:type="dxa"/>
              <w:bottom w:w="70" w:type="dxa"/>
              <w:right w:w="130" w:type="dxa"/>
            </w:tcMar>
            <w:vAlign w:val="top"/>
          </w:tcPr>
          <w:p>
            <w:pPr>
              <w:spacing w:before="0" w:after="0" w:line="240" w:lineRule="auto"/>
            </w:pPr>
            <w:r>
              <w:rPr>
                <w:rFonts w:ascii="Calibri" w:hAnsi="Calibri"/>
                <w:b/>
                <w:i w:val="0"/>
                <w:color w:val="2B2B28"/>
                <w:sz w:val="20"/>
              </w:rPr>
              <w:t>“Shoulder blades down and back, control the weight down”</w:t>
            </w:r>
          </w:p>
        </w:tc>
        <w:tc>
          <w:tcPr>
            <w:tcW w:type="dxa" w:w="3500"/>
            <w:tcMar>
              <w:top w:w="70" w:type="dxa"/>
              <w:left w:w="130" w:type="dxa"/>
              <w:bottom w:w="70" w:type="dxa"/>
              <w:right w:w="130" w:type="dxa"/>
            </w:tcMar>
            <w:vAlign w:val="top"/>
          </w:tcPr>
          <w:p>
            <w:pPr>
              <w:spacing w:before="0" w:after="0" w:line="240" w:lineRule="auto"/>
            </w:pPr>
            <w:r>
              <w:rPr>
                <w:rFonts w:ascii="Calibri" w:hAnsi="Calibri"/>
                <w:b/>
                <w:i w:val="0"/>
                <w:color w:val="2B2B28"/>
                <w:sz w:val="20"/>
              </w:rPr>
              <w:t>Flared elbows; bouncing; losing the shoulder set</w:t>
            </w:r>
          </w:p>
        </w:tc>
      </w:tr>
      <w:tr>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Row / pulldown</w:t>
            </w:r>
          </w:p>
        </w:tc>
        <w:tc>
          <w:tcPr>
            <w:tcW w:type="dxa" w:w="3550"/>
            <w:tcMar>
              <w:top w:w="70" w:type="dxa"/>
              <w:left w:w="130" w:type="dxa"/>
              <w:bottom w:w="70" w:type="dxa"/>
              <w:right w:w="130" w:type="dxa"/>
            </w:tcMar>
            <w:vAlign w:val="top"/>
          </w:tcPr>
          <w:p>
            <w:pPr>
              <w:spacing w:before="0" w:after="0" w:line="240" w:lineRule="auto"/>
            </w:pPr>
            <w:r>
              <w:rPr>
                <w:rFonts w:ascii="Calibri" w:hAnsi="Calibri"/>
                <w:b/>
                <w:i w:val="0"/>
                <w:color w:val="2B2B28"/>
                <w:sz w:val="20"/>
              </w:rPr>
              <w:t>“Lead with the elbow, squeeze the back, no swinging”</w:t>
            </w:r>
          </w:p>
        </w:tc>
        <w:tc>
          <w:tcPr>
            <w:tcW w:type="dxa" w:w="3500"/>
            <w:tcMar>
              <w:top w:w="70" w:type="dxa"/>
              <w:left w:w="130" w:type="dxa"/>
              <w:bottom w:w="70" w:type="dxa"/>
              <w:right w:w="130" w:type="dxa"/>
            </w:tcMar>
            <w:vAlign w:val="top"/>
          </w:tcPr>
          <w:p>
            <w:pPr>
              <w:spacing w:before="0" w:after="0" w:line="240" w:lineRule="auto"/>
            </w:pPr>
            <w:r>
              <w:rPr>
                <w:rFonts w:ascii="Calibri" w:hAnsi="Calibri"/>
                <w:b/>
                <w:i w:val="0"/>
                <w:color w:val="2B2B28"/>
                <w:sz w:val="20"/>
              </w:rPr>
              <w:t>Using momentum; shrugging instead of rowing</w:t>
            </w:r>
          </w:p>
        </w:tc>
      </w:tr>
    </w:tbl>
    <w:p>
      <w:pPr>
        <w:spacing w:after="40"/>
      </w:pPr>
    </w:p>
    <w:p>
      <w:pPr>
        <w:spacing w:before="0" w:after="160" w:line="269" w:lineRule="auto"/>
      </w:pPr>
      <w:r>
        <w:rPr>
          <w:rFonts w:ascii="Calibri" w:hAnsi="Calibri"/>
          <w:b w:val="0"/>
          <w:i w:val="0"/>
          <w:color w:val="2B2B28"/>
          <w:sz w:val="22"/>
        </w:rPr>
        <w:t>Write your cues before the session and log which ones landed — that record is coaching evidence, and it is the difference between “I prescribed a squat” and “I coached this novice to squat safely and load it over twelve weeks.”</w:t>
      </w:r>
    </w:p>
    <w:tbl>
      <w:tblPr>
        <w:tblW w:type="auto" w:w="0"/>
        <w:tblLook w:firstColumn="1" w:firstRow="1" w:lastColumn="0" w:lastRow="0" w:noHBand="0" w:noVBand="1" w:val="04A0"/>
        <w:tblW w:w="9350" w:type="dxa"/>
        <w:tblLayout w:type="fixed"/>
        <w:tblBorders>
          <w:top w:val="single" w:sz="12" w:space="0" w:color="2A5C45"/>
          <w:left w:val="single" w:sz="24" w:space="0" w:color="C4522A"/>
          <w:bottom w:val="single" w:sz="12" w:space="0" w:color="2A5C45"/>
          <w:right w:val="none" w:sz="0" w:space="0" w:color="FFFFFF"/>
          <w:insideH w:val="none" w:sz="0" w:space="0" w:color="FFFFFF"/>
          <w:insideV w:val="none" w:sz="0" w:space="0" w:color="FFFFFF"/>
        </w:tblBorders>
      </w:tblPr>
      <w:tblGrid>
        <w:gridCol w:w="9350"/>
      </w:tblGrid>
      <w:tr>
        <w:tc>
          <w:tcPr>
            <w:tcW w:type="dxa" w:w="9350"/>
            <w:shd w:val="clear" w:color="auto" w:fill="EDEAE4"/>
            <w:tcMar>
              <w:top w:w="150" w:type="dxa"/>
              <w:left w:w="230" w:type="dxa"/>
              <w:bottom w:w="150" w:type="dxa"/>
              <w:right w:w="180" w:type="dxa"/>
            </w:tcMar>
          </w:tcPr>
          <w:p>
            <w:pPr>
              <w:spacing w:before="0" w:after="80" w:line="240" w:lineRule="auto"/>
            </w:pPr>
            <w:r>
              <w:rPr>
                <w:rFonts w:ascii="Calibri" w:hAnsi="Calibri"/>
                <w:b/>
                <w:i w:val="0"/>
                <w:color w:val="C4522A"/>
                <w:sz w:val="22"/>
              </w:rPr>
              <w:t>MENTOR MOMENT 3</w:t>
            </w:r>
          </w:p>
          <w:p>
            <w:pPr>
              <w:spacing w:before="0" w:after="80" w:line="269" w:lineRule="auto"/>
            </w:pPr>
            <w:r>
              <w:rPr>
                <w:rFonts w:ascii="Calibri" w:hAnsi="Calibri"/>
                <w:b/>
                <w:color w:val="2A5C45"/>
                <w:sz w:val="22"/>
              </w:rPr>
              <w:t xml:space="preserve">The situation: </w:t>
            </w:r>
            <w:r>
              <w:rPr>
                <w:rFonts w:ascii="Calibri" w:hAnsi="Calibri"/>
                <w:b w:val="0"/>
                <w:i w:val="0"/>
                <w:color w:val="2B2B28"/>
                <w:sz w:val="22"/>
              </w:rPr>
              <w:t>Week six. The scale hasn’t moved in ten days. The client is deflated — “it’s not working, I want to cut calories harder.”</w:t>
            </w:r>
          </w:p>
          <w:p>
            <w:pPr>
              <w:spacing w:before="0" w:after="80" w:line="269" w:lineRule="auto"/>
            </w:pPr>
            <w:r>
              <w:rPr>
                <w:rFonts w:ascii="Calibri" w:hAnsi="Calibri"/>
                <w:b/>
                <w:color w:val="2A5C45"/>
                <w:sz w:val="22"/>
              </w:rPr>
              <w:t xml:space="preserve">What most coaches do: </w:t>
            </w:r>
            <w:r>
              <w:rPr>
                <w:rFonts w:ascii="Calibri" w:hAnsi="Calibri"/>
                <w:b w:val="0"/>
                <w:i w:val="0"/>
                <w:color w:val="2B2B28"/>
                <w:sz w:val="22"/>
              </w:rPr>
              <w:t>Slash his calories and add cardio — the scale is stuck, so the deficit must be too small.</w:t>
            </w:r>
          </w:p>
          <w:p>
            <w:pPr>
              <w:spacing w:before="0" w:after="80" w:line="269" w:lineRule="auto"/>
            </w:pPr>
            <w:r>
              <w:rPr>
                <w:rFonts w:ascii="Calibri" w:hAnsi="Calibri"/>
                <w:b/>
                <w:color w:val="2A5C45"/>
                <w:sz w:val="22"/>
              </w:rPr>
              <w:t xml:space="preserve">The elite thinking: </w:t>
            </w:r>
            <w:r>
              <w:rPr>
                <w:rFonts w:ascii="Calibri" w:hAnsi="Calibri"/>
                <w:b w:val="0"/>
                <w:i w:val="0"/>
                <w:color w:val="2B2B28"/>
                <w:sz w:val="22"/>
              </w:rPr>
              <w:t>You pull up the whole dashboard before you touch a thing. The scale is flat, yes — but his waist is down two centimetres, his arm girth is up, his squat and press have climbed, and the photos are visibly leaner. This is textbook recomposition: he is losing fat and gaining muscle at once, so his weight barely moves while his body changes underneath it. Cutting calories hard now would starve the very muscle he’s building and stall the strength that’s protecting it. You show him the evidence, explain what the scale can’t see, and hold the plan.</w:t>
            </w:r>
          </w:p>
          <w:p>
            <w:pPr>
              <w:spacing w:before="0" w:after="80" w:line="269" w:lineRule="auto"/>
            </w:pPr>
            <w:r>
              <w:rPr>
                <w:rFonts w:ascii="Calibri" w:hAnsi="Calibri"/>
                <w:b/>
                <w:color w:val="2A5C45"/>
                <w:sz w:val="22"/>
              </w:rPr>
              <w:t xml:space="preserve">The shift: </w:t>
            </w:r>
            <w:r>
              <w:rPr>
                <w:rFonts w:ascii="Calibri" w:hAnsi="Calibri"/>
                <w:b w:val="0"/>
                <w:i w:val="0"/>
                <w:color w:val="2B2B28"/>
                <w:sz w:val="22"/>
              </w:rPr>
              <w:t>The scale is one instrument, and recomposition is nearly invisible to it. Read the whole dashboard, and coach the client to read it too.</w:t>
            </w:r>
          </w:p>
        </w:tc>
      </w:tr>
    </w:tbl>
    <w:p>
      <w:pPr>
        <w:spacing w:after="40"/>
      </w:pPr>
    </w:p>
    <w:p>
      <w:pPr>
        <w:pStyle w:val="Heading1"/>
        <w:spacing w:before="320" w:after="100" w:line="240" w:lineRule="auto"/>
      </w:pPr>
      <w:r>
        <w:rPr>
          <w:rFonts w:ascii="Calibri" w:hAnsi="Calibri"/>
          <w:b/>
          <w:i w:val="0"/>
          <w:color w:val="C4522A"/>
          <w:sz w:val="30"/>
        </w:rPr>
        <w:t>Step 5 — Monitor the Trend, Not the Day</w:t>
      </w:r>
    </w:p>
    <w:p>
      <w:pPr>
        <w:spacing w:before="0" w:after="160" w:line="269" w:lineRule="auto"/>
      </w:pPr>
      <w:r>
        <w:rPr>
          <w:rFonts w:ascii="Calibri" w:hAnsi="Calibri"/>
          <w:b w:val="0"/>
          <w:i w:val="0"/>
          <w:color w:val="2B2B28"/>
          <w:sz w:val="22"/>
        </w:rPr>
        <w:t>The programme is a hypothesis; monitoring is how you find out whether it’s true and steer it when it isn’t. Every week the same short set gets logged: the seven-day average body weight and its trend; waist (weekly) and the fuller girths (every two to four weeks); training performance (are the key lifts progressing?); and adherence — sessions completed, the protein target hit, the step target hit, nutrition kept. Alongside those, the human inputs that predict everything: sleep, hunger, energy and stress. Multiply nothing, chase no false precision — the job of the weekly log is to catch the trend and the drift, because drift is how a good plan quietly stops working.</w:t>
      </w:r>
    </w:p>
    <w:p>
      <w:pPr>
        <w:spacing w:before="0" w:after="160" w:line="269" w:lineRule="auto"/>
      </w:pPr>
      <w:r>
        <w:rPr>
          <w:rFonts w:ascii="Calibri" w:hAnsi="Calibri"/>
          <w:b w:val="0"/>
          <w:i w:val="0"/>
          <w:color w:val="2B2B28"/>
          <w:sz w:val="22"/>
        </w:rPr>
        <w:t xml:space="preserve">Then you act on the trend with simple, pre-agreed </w:t>
      </w:r>
      <w:r>
        <w:rPr>
          <w:rFonts w:ascii="Calibri" w:hAnsi="Calibri"/>
          <w:b/>
          <w:i w:val="0"/>
          <w:color w:val="2B2B28"/>
          <w:sz w:val="22"/>
        </w:rPr>
        <w:t>decision rules</w:t>
      </w:r>
      <w:r>
        <w:rPr>
          <w:rFonts w:ascii="Calibri" w:hAnsi="Calibri"/>
          <w:b w:val="0"/>
          <w:i w:val="0"/>
          <w:color w:val="2B2B28"/>
          <w:sz w:val="22"/>
        </w:rPr>
        <w:t>, so you’re steering from data, not vibes. If the weight trend and the waist have both stalled for two to three weeks *and* adherence was genuinely good, the deficit has shrunk (his smaller body burns less) — nudge one lever: a small cut in intake or a bump in the step target, not both, not a crash. If loss is running faster than about one percent of body weight a week, ease the deficit to protect the muscle and the strength you can see in the log. If adherence is the problem, you fix the adherence, not the calories — because a smaller deficit he keeps beats a bigger one he abandons. And every four weeks, the full retest tells you whether to hold, adjust, or change phase.</w:t>
      </w:r>
    </w:p>
    <w:p>
      <w:pPr>
        <w:spacing w:before="0" w:after="160" w:line="269" w:lineRule="auto"/>
      </w:pPr>
      <w:r>
        <w:rPr>
          <w:rFonts w:ascii="Calibri" w:hAnsi="Calibri"/>
          <w:b w:val="0"/>
          <w:i w:val="0"/>
          <w:color w:val="2B2B28"/>
          <w:sz w:val="22"/>
        </w:rPr>
        <w:t>Why so light-touch and trend-based? Because monitoring only works if it actually happens, and because these tools are noisy day to day — reacting to a single weigh-in or BIA reading is how coaches and clients drive themselves mad. A weekly rhythm he can sustain, read as a trend, beats a daily panic every time. And here is the case-study secret hiding in the boring log: assessors distrust smooth stories. The weeks where the scale stalled, motivation dipped, a holiday landed, and you read the dashboard and adjusted — those entries are the visible evidence of coaching judgement, which is the actual thing being assessed. Log the mess. The mess is the portfolio.</w:t>
      </w:r>
    </w:p>
    <w:p>
      <w:pPr>
        <w:pStyle w:val="Heading1"/>
        <w:spacing w:before="320" w:after="100" w:line="240" w:lineRule="auto"/>
      </w:pPr>
      <w:r>
        <w:rPr>
          <w:rFonts w:ascii="Calibri" w:hAnsi="Calibri"/>
          <w:b/>
          <w:i w:val="0"/>
          <w:color w:val="C4522A"/>
          <w:sz w:val="30"/>
        </w:rPr>
        <w:t>Step 6 — Evaluate, and Build the Version That Lasts</w:t>
      </w:r>
    </w:p>
    <w:p>
      <w:pPr>
        <w:spacing w:before="0" w:after="160" w:line="269" w:lineRule="auto"/>
      </w:pPr>
      <w:r>
        <w:rPr>
          <w:rFonts w:ascii="Calibri" w:hAnsi="Calibri"/>
          <w:b w:val="0"/>
          <w:i w:val="0"/>
          <w:color w:val="2B2B28"/>
          <w:sz w:val="22"/>
        </w:rPr>
        <w:t xml:space="preserve">“Done” is not a weight on a scale; it is a set of outcomes met and, more importantly, a client who can hold them. Think of it as a continuum, and name the stages, because it stops the most common ending — the crash back. </w:t>
      </w:r>
      <w:r>
        <w:rPr>
          <w:rFonts w:ascii="Calibri" w:hAnsi="Calibri"/>
          <w:b/>
          <w:i w:val="0"/>
          <w:color w:val="2B2B28"/>
          <w:sz w:val="22"/>
        </w:rPr>
        <w:t>Fat loss:</w:t>
      </w:r>
      <w:r>
        <w:rPr>
          <w:rFonts w:ascii="Calibri" w:hAnsi="Calibri"/>
          <w:b w:val="0"/>
          <w:i w:val="0"/>
          <w:color w:val="2B2B28"/>
          <w:sz w:val="22"/>
        </w:rPr>
        <w:t xml:space="preserve"> the deficit phase, driving composition and health markers in the right direction. </w:t>
      </w:r>
      <w:r>
        <w:rPr>
          <w:rFonts w:ascii="Calibri" w:hAnsi="Calibri"/>
          <w:b/>
          <w:i w:val="0"/>
          <w:color w:val="2B2B28"/>
          <w:sz w:val="22"/>
        </w:rPr>
        <w:t>Recomposition and maintenance:</w:t>
      </w:r>
      <w:r>
        <w:rPr>
          <w:rFonts w:ascii="Calibri" w:hAnsi="Calibri"/>
          <w:b w:val="0"/>
          <w:i w:val="0"/>
          <w:color w:val="2B2B28"/>
          <w:sz w:val="22"/>
        </w:rPr>
        <w:t xml:space="preserve"> eating at or near maintenance while training keeps building — often where the general-population client should live longest. </w:t>
      </w:r>
      <w:r>
        <w:rPr>
          <w:rFonts w:ascii="Calibri" w:hAnsi="Calibri"/>
          <w:b/>
          <w:i w:val="0"/>
          <w:color w:val="2B2B28"/>
          <w:sz w:val="22"/>
        </w:rPr>
        <w:t>Development and habit:</w:t>
      </w:r>
      <w:r>
        <w:rPr>
          <w:rFonts w:ascii="Calibri" w:hAnsi="Calibri"/>
          <w:b w:val="0"/>
          <w:i w:val="0"/>
          <w:color w:val="2B2B28"/>
          <w:sz w:val="22"/>
        </w:rPr>
        <w:t xml:space="preserve"> the deficit is over, the goal shifts to building strength and fitness and locking the behaviours in for good. A client who hit his waist target on a crash and rebounded has not succeeded; a client who holds a healthier body composition and a training habit a year later has.</w:t>
      </w:r>
    </w:p>
    <w:p>
      <w:pPr>
        <w:spacing w:before="0" w:after="160" w:line="269" w:lineRule="auto"/>
      </w:pPr>
      <w:r>
        <w:rPr>
          <w:rFonts w:ascii="Calibri" w:hAnsi="Calibri"/>
          <w:b w:val="0"/>
          <w:i w:val="0"/>
          <w:color w:val="2B2B28"/>
          <w:sz w:val="22"/>
        </w:rPr>
        <w:t xml:space="preserve">Evaluation is shared and honest. You put the before-and-after side by side — weight trend, waist and waist-to-height, girths, strength numbers, the health markers, the photos — and you interpret it against the aims you set in Step 2: what worked, what didn’t, what you’d change. Then you plan the exit deliberately: a structured </w:t>
      </w:r>
      <w:r>
        <w:rPr>
          <w:rFonts w:ascii="Calibri" w:hAnsi="Calibri"/>
          <w:b/>
          <w:i w:val="0"/>
          <w:color w:val="2B2B28"/>
          <w:sz w:val="22"/>
        </w:rPr>
        <w:t>reverse out of the deficit</w:t>
      </w:r>
      <w:r>
        <w:rPr>
          <w:rFonts w:ascii="Calibri" w:hAnsi="Calibri"/>
          <w:b w:val="0"/>
          <w:i w:val="0"/>
          <w:color w:val="2B2B28"/>
          <w:sz w:val="22"/>
        </w:rPr>
        <w:t xml:space="preserve"> back to maintenance (so he doesn’t regain the moment the diet ends), a </w:t>
      </w:r>
      <w:r>
        <w:rPr>
          <w:rFonts w:ascii="Calibri" w:hAnsi="Calibri"/>
          <w:b/>
          <w:i w:val="0"/>
          <w:color w:val="2B2B28"/>
          <w:sz w:val="22"/>
        </w:rPr>
        <w:t>maintenance and training plan he owns</w:t>
      </w:r>
      <w:r>
        <w:rPr>
          <w:rFonts w:ascii="Calibri" w:hAnsi="Calibri"/>
          <w:b w:val="0"/>
          <w:i w:val="0"/>
          <w:color w:val="2B2B28"/>
          <w:sz w:val="22"/>
        </w:rPr>
        <w:t>, and the honest message that the habits are the result — the physique is just their by-product. The behaviours that keep weight off are well studied; build them in from the start and the maintenance phase isn’t a cliff, it’s a plateau he can stand on.</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3600"/>
        <w:gridCol w:w="5750"/>
      </w:tblGrid>
      <w:tr>
        <w:tc>
          <w:tcPr>
            <w:tcW w:type="dxa" w:w="36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Outcome criterion</w:t>
            </w:r>
          </w:p>
        </w:tc>
        <w:tc>
          <w:tcPr>
            <w:tcW w:type="dxa" w:w="57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Why it earns its place</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Fat mass down on the trend of several valid measures (weight, waist, girths, photos, BIA trend)</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Triangulated change is real change — no single noisy instrument decides it</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Strength up across the block</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proof muscle was protected and built, not lost to the deficit</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Waist-to-height ratio, blood pressure, resting HR improved</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This was a health project; the health markers are the headline outcome</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Aerobic / work capacity improved</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Physical capacity, not just appearance — the UKSCA-defensible half</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Adherence and habits sustainable, and a maintenance plan in place</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result holds; a rebounded client is a failed case, however good the mid-point photo</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Client can self-monitor and self-correct</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You coached a capable client, not a dependent one — the real mark of success</w:t>
            </w:r>
          </w:p>
        </w:tc>
      </w:tr>
    </w:tbl>
    <w:p>
      <w:pPr>
        <w:spacing w:after="40"/>
      </w:pPr>
    </w:p>
    <w:p>
      <w:pPr>
        <w:pStyle w:val="Heading1"/>
        <w:spacing w:before="320" w:after="100" w:line="240" w:lineRule="auto"/>
      </w:pPr>
      <w:r>
        <w:rPr>
          <w:rFonts w:ascii="Calibri" w:hAnsi="Calibri"/>
          <w:b/>
          <w:i w:val="0"/>
          <w:color w:val="C4522A"/>
          <w:sz w:val="30"/>
        </w:rPr>
        <w:t>Step 7 — Writing It Up: For the UKSCA, and for the Job Market</w:t>
      </w:r>
    </w:p>
    <w:p>
      <w:pPr>
        <w:spacing w:before="0" w:after="160" w:line="269" w:lineRule="auto"/>
      </w:pPr>
      <w:r>
        <w:rPr>
          <w:rFonts w:ascii="Calibri" w:hAnsi="Calibri"/>
          <w:b w:val="0"/>
          <w:i w:val="0"/>
          <w:color w:val="2B2B28"/>
          <w:sz w:val="22"/>
        </w:rPr>
        <w:t>If you documented as you went, the write-up is assembly, not archaeology. The case wants, in order: evidence you understood the goal and analysed its demands (as measurable capacity and health outcomes); an objective assessment of the client interpreted against those demands; a programme rationale that connects the two; an overview of the full block with detailed evidence from at least a completed twelve-week stretch; evidence you stayed within scope and referred appropriately; your monitoring approach; and evaluated outcomes. Notice something? Those are the steps you just ran, in order. The method is the write-up.</w:t>
      </w:r>
    </w:p>
    <w:p>
      <w:pPr>
        <w:spacing w:before="0" w:after="160" w:line="269" w:lineRule="auto"/>
      </w:pPr>
      <w:r>
        <w:rPr>
          <w:rFonts w:ascii="Calibri" w:hAnsi="Calibri"/>
          <w:b w:val="0"/>
          <w:i w:val="0"/>
          <w:color w:val="2B2B28"/>
          <w:sz w:val="22"/>
        </w:rPr>
        <w:t xml:space="preserve">Be candid about the framing, because an honest one is stronger than a stretched one: present this as the physical preparation of a general-population individual for </w:t>
      </w:r>
      <w:r>
        <w:rPr>
          <w:rFonts w:ascii="Calibri" w:hAnsi="Calibri"/>
          <w:b/>
          <w:i w:val="0"/>
          <w:color w:val="2B2B28"/>
          <w:sz w:val="22"/>
        </w:rPr>
        <w:t>health and physical capacity</w:t>
      </w:r>
      <w:r>
        <w:rPr>
          <w:rFonts w:ascii="Calibri" w:hAnsi="Calibri"/>
          <w:b w:val="0"/>
          <w:i w:val="0"/>
          <w:color w:val="2B2B28"/>
          <w:sz w:val="22"/>
        </w:rPr>
        <w:t>, with body composition as a monitored outcome — not as a physique makeover with UKSCA language bolted on. Lead with the needs analysis, the validity and standardisation of your testing, the monitored-and-evaluated programme, and the scope-of-practice judgement. Those are the competencies being scored, and they are all genuinely present here. If an assessor would prefer an athlete, say what you would do differently for one — that reflection is itself a mark in your favour.</w:t>
      </w:r>
    </w:p>
    <w:p>
      <w:pPr>
        <w:pStyle w:val="Heading2"/>
        <w:spacing w:before="220" w:after="60" w:line="240" w:lineRule="auto"/>
      </w:pPr>
      <w:r>
        <w:rPr>
          <w:rFonts w:ascii="Calibri" w:hAnsi="Calibri"/>
          <w:b/>
          <w:i w:val="0"/>
          <w:color w:val="2A5C45"/>
          <w:sz w:val="25"/>
        </w:rPr>
        <w:t>Three things assessors look for that coaches skip</w:t>
      </w:r>
    </w:p>
    <w:p>
      <w:pPr>
        <w:spacing w:before="0" w:after="160" w:line="269" w:lineRule="auto"/>
      </w:pPr>
      <w:r>
        <w:rPr>
          <w:rFonts w:ascii="Calibri" w:hAnsi="Calibri"/>
          <w:b/>
          <w:i w:val="0"/>
          <w:color w:val="2B2B28"/>
          <w:sz w:val="22"/>
        </w:rPr>
        <w:t>Reflect, in writing.</w:t>
      </w:r>
      <w:r>
        <w:rPr>
          <w:rFonts w:ascii="Calibri" w:hAnsi="Calibri"/>
          <w:b w:val="0"/>
          <w:i w:val="0"/>
          <w:color w:val="2B2B28"/>
          <w:sz w:val="22"/>
        </w:rPr>
        <w:t xml:space="preserve"> Judgement is most visible in honest reflection: what you planned, what happened, what you changed and why, what you’d do differently. Keep a short reflective note at every review (Form 12) — the stalled month you diagnosed and fixed is worth more than any smooth one.</w:t>
      </w:r>
    </w:p>
    <w:p>
      <w:pPr>
        <w:spacing w:before="0" w:after="160" w:line="269" w:lineRule="auto"/>
      </w:pPr>
      <w:r>
        <w:rPr>
          <w:rFonts w:ascii="Calibri" w:hAnsi="Calibri"/>
          <w:b/>
          <w:i w:val="0"/>
          <w:color w:val="2B2B28"/>
          <w:sz w:val="22"/>
        </w:rPr>
        <w:t>Evaluate, don’t just monitor.</w:t>
      </w:r>
      <w:r>
        <w:rPr>
          <w:rFonts w:ascii="Calibri" w:hAnsi="Calibri"/>
          <w:b w:val="0"/>
          <w:i w:val="0"/>
          <w:color w:val="2B2B28"/>
          <w:sz w:val="22"/>
        </w:rPr>
        <w:t xml:space="preserve"> Logging data is not interpreting it. Close the loop: did the programme meet its aims? Put the numbers side by side, show the trend, write the “so what.” A case that presents data without evaluating it reads as unfinished.</w:t>
      </w:r>
    </w:p>
    <w:p>
      <w:pPr>
        <w:spacing w:before="0" w:after="160" w:line="269" w:lineRule="auto"/>
      </w:pPr>
      <w:r>
        <w:rPr>
          <w:rFonts w:ascii="Calibri" w:hAnsi="Calibri"/>
          <w:b/>
          <w:i w:val="0"/>
          <w:color w:val="2B2B28"/>
          <w:sz w:val="22"/>
        </w:rPr>
        <w:t>Reference as you reason.</w:t>
      </w:r>
      <w:r>
        <w:rPr>
          <w:rFonts w:ascii="Calibri" w:hAnsi="Calibri"/>
          <w:b w:val="0"/>
          <w:i w:val="0"/>
          <w:color w:val="2B2B28"/>
          <w:sz w:val="22"/>
        </w:rPr>
        <w:t xml:space="preserve"> When you justify a choice — the protein target, the training volume, the deficit size, the reliance on trends over single readings — cite the work behind it and log it as you go (Form 11). And know that the case study is not the whole accreditation: the UKSCA also runs a </w:t>
      </w:r>
      <w:r>
        <w:rPr>
          <w:rFonts w:ascii="Calibri" w:hAnsi="Calibri"/>
          <w:b/>
          <w:i w:val="0"/>
          <w:color w:val="2B2B28"/>
          <w:sz w:val="22"/>
        </w:rPr>
        <w:t>live practical assessment</w:t>
      </w:r>
      <w:r>
        <w:rPr>
          <w:rFonts w:ascii="Calibri" w:hAnsi="Calibri"/>
          <w:b w:val="0"/>
          <w:i w:val="0"/>
          <w:color w:val="2B2B28"/>
          <w:sz w:val="22"/>
        </w:rPr>
        <w:t xml:space="preserve"> of your coaching across exercise categories. This document builds the written half; the practical half is earned in the room.</w:t>
      </w:r>
    </w:p>
    <w:p>
      <w:pPr>
        <w:pStyle w:val="Heading2"/>
        <w:spacing w:before="220" w:after="60" w:line="240" w:lineRule="auto"/>
      </w:pPr>
      <w:r>
        <w:rPr>
          <w:rFonts w:ascii="Calibri" w:hAnsi="Calibri"/>
          <w:b/>
          <w:i w:val="0"/>
          <w:color w:val="2A5C45"/>
          <w:sz w:val="25"/>
        </w:rPr>
        <w:t>Translating the case for a CV or interview</w:t>
      </w:r>
    </w:p>
    <w:p>
      <w:pPr>
        <w:spacing w:before="0" w:after="160" w:line="269" w:lineRule="auto"/>
      </w:pPr>
      <w:r>
        <w:rPr>
          <w:rFonts w:ascii="Calibri" w:hAnsi="Calibri"/>
          <w:b w:val="0"/>
          <w:i w:val="0"/>
          <w:color w:val="2B2B28"/>
          <w:sz w:val="22"/>
        </w:rPr>
        <w:t>The employer version is the same story compressed to one breath: context, action, measured result. A template to adapt once the real numbers exist:</w:t>
      </w:r>
    </w:p>
    <w:p>
      <w:pPr>
        <w:spacing w:before="40" w:after="160" w:line="269" w:lineRule="auto"/>
        <w:ind w:left="432" w:right="288"/>
        <w:pBdr>
          <w:bottom w:val="single" w:sz="4" w:space="4" w:color="2A5C45"/>
        </w:pBdr>
      </w:pPr>
      <w:r>
        <w:rPr>
          <w:rFonts w:ascii="Calibri" w:hAnsi="Calibri"/>
          <w:b w:val="0"/>
          <w:i/>
          <w:color w:val="2B2B28"/>
          <w:sz w:val="22"/>
        </w:rPr>
        <w:t>“Designed and delivered a criteria-based body-recomposition programme for a general-population client, integrating progressive resistance training with in-scope nutrition coaching and referral; over [X] months reduced waist-to-height ratio from [a] to [b], improved estimated squat 1RM from [c] to [d], and moved blood pressure and resting heart rate into healthy ranges, with the result maintained at [Y]-month follow-up.”</w:t>
      </w:r>
    </w:p>
    <w:p>
      <w:pPr>
        <w:spacing w:before="0" w:after="160" w:line="269" w:lineRule="auto"/>
      </w:pPr>
      <w:r>
        <w:rPr>
          <w:rFonts w:ascii="Calibri" w:hAnsi="Calibri"/>
          <w:b w:val="0"/>
          <w:i w:val="0"/>
          <w:color w:val="2B2B28"/>
          <w:sz w:val="22"/>
        </w:rPr>
        <w:t>Every bracket in that sentence is filled by a number your measurement system captured — the final argument for building the system before the client, not after. And to close where we opened: that sentence may only ever be written about a real client you actually took through this. The method is yours to keep; the case has to be earned on the floor.</w:t>
      </w:r>
    </w:p>
    <w:p>
      <w:pPr>
        <w:pStyle w:val="Heading1"/>
        <w:spacing w:before="320" w:after="100" w:line="240" w:lineRule="auto"/>
      </w:pPr>
      <w:r>
        <w:rPr>
          <w:rFonts w:ascii="Calibri" w:hAnsi="Calibri"/>
          <w:b/>
          <w:i w:val="0"/>
          <w:color w:val="C4522A"/>
          <w:sz w:val="30"/>
        </w:rPr>
        <w:t>Where to Go Deeper</w:t>
      </w:r>
    </w:p>
    <w:p>
      <w:pPr>
        <w:spacing w:before="0" w:after="160" w:line="269" w:lineRule="auto"/>
      </w:pPr>
      <w:r>
        <w:rPr>
          <w:rFonts w:ascii="Calibri" w:hAnsi="Calibri"/>
          <w:b w:val="0"/>
          <w:i w:val="0"/>
          <w:color w:val="2B2B28"/>
          <w:sz w:val="22"/>
        </w:rPr>
        <w:t>Search these names and frameworks when you want the primary sources behind the decisions above:</w:t>
      </w:r>
    </w:p>
    <w:p>
      <w:pPr>
        <w:pStyle w:val="ListBullet"/>
        <w:spacing w:before="0" w:after="80" w:line="269" w:lineRule="auto"/>
      </w:pPr>
      <w:r>
        <w:rPr>
          <w:rFonts w:ascii="Calibri" w:hAnsi="Calibri"/>
          <w:b w:val="0"/>
          <w:i w:val="0"/>
          <w:color w:val="2B2B28"/>
          <w:sz w:val="22"/>
        </w:rPr>
        <w:t>Energy balance, metabolic adaptation and the non-linear nature of fat loss — Hall and colleagues; the MATADOR study (Byrne) on maintenance breaks in a diet.</w:t>
      </w:r>
    </w:p>
    <w:p>
      <w:pPr>
        <w:pStyle w:val="ListBullet"/>
        <w:spacing w:before="0" w:after="80" w:line="269" w:lineRule="auto"/>
      </w:pPr>
      <w:r>
        <w:rPr>
          <w:rFonts w:ascii="Calibri" w:hAnsi="Calibri"/>
          <w:b w:val="0"/>
          <w:i w:val="0"/>
          <w:color w:val="2B2B28"/>
          <w:sz w:val="22"/>
        </w:rPr>
        <w:t>Protein for body composition and muscle retention in a deficit — Morton, Phillips and colleagues (protein &amp; resistance-training meta-analyses); Helms and colleagues on protein for lean-mass retention.</w:t>
      </w:r>
    </w:p>
    <w:p>
      <w:pPr>
        <w:pStyle w:val="ListBullet"/>
        <w:spacing w:before="0" w:after="80" w:line="269" w:lineRule="auto"/>
      </w:pPr>
      <w:r>
        <w:rPr>
          <w:rFonts w:ascii="Calibri" w:hAnsi="Calibri"/>
          <w:b w:val="0"/>
          <w:i w:val="0"/>
          <w:color w:val="2B2B28"/>
          <w:sz w:val="22"/>
        </w:rPr>
        <w:t>Resistance-training dose for hypertrophy — Schoenfeld and colleagues on volume, frequency and proximity to failure.</w:t>
      </w:r>
    </w:p>
    <w:p>
      <w:pPr>
        <w:pStyle w:val="ListBullet"/>
        <w:spacing w:before="0" w:after="80" w:line="269" w:lineRule="auto"/>
      </w:pPr>
      <w:r>
        <w:rPr>
          <w:rFonts w:ascii="Calibri" w:hAnsi="Calibri"/>
          <w:b w:val="0"/>
          <w:i w:val="0"/>
          <w:color w:val="2B2B28"/>
          <w:sz w:val="22"/>
        </w:rPr>
        <w:t>Body recomposition — reviews by Barakat, Trexler, Schoenfeld and colleagues on simultaneous fat loss and muscle gain, and who it works for.</w:t>
      </w:r>
    </w:p>
    <w:p>
      <w:pPr>
        <w:pStyle w:val="ListBullet"/>
        <w:spacing w:before="0" w:after="80" w:line="269" w:lineRule="auto"/>
      </w:pPr>
      <w:r>
        <w:rPr>
          <w:rFonts w:ascii="Calibri" w:hAnsi="Calibri"/>
          <w:b w:val="0"/>
          <w:i w:val="0"/>
          <w:color w:val="2B2B28"/>
          <w:sz w:val="22"/>
        </w:rPr>
        <w:t>Bioimpedance validity and standardisation — the ESPEN / consensus guidance on BIA conditions and its limits as an absolute measure.</w:t>
      </w:r>
    </w:p>
    <w:p>
      <w:pPr>
        <w:pStyle w:val="ListBullet"/>
        <w:spacing w:before="0" w:after="80" w:line="269" w:lineRule="auto"/>
      </w:pPr>
      <w:r>
        <w:rPr>
          <w:rFonts w:ascii="Calibri" w:hAnsi="Calibri"/>
          <w:b w:val="0"/>
          <w:i w:val="0"/>
          <w:color w:val="2B2B28"/>
          <w:sz w:val="22"/>
        </w:rPr>
        <w:t>Waist-to-height ratio as a health screen — Ashwell and colleagues (“keep your waist to less than half your height”).</w:t>
      </w:r>
    </w:p>
    <w:p>
      <w:pPr>
        <w:pStyle w:val="ListBullet"/>
        <w:spacing w:before="0" w:after="80" w:line="269" w:lineRule="auto"/>
      </w:pPr>
      <w:r>
        <w:rPr>
          <w:rFonts w:ascii="Calibri" w:hAnsi="Calibri"/>
          <w:b w:val="0"/>
          <w:i w:val="0"/>
          <w:color w:val="2B2B28"/>
          <w:sz w:val="22"/>
        </w:rPr>
        <w:t>Grip strength as a health and strength marker — Leong and colleagues (PURE study).</w:t>
      </w:r>
    </w:p>
    <w:p>
      <w:pPr>
        <w:pStyle w:val="ListBullet"/>
        <w:spacing w:before="0" w:after="80" w:line="269" w:lineRule="auto"/>
      </w:pPr>
      <w:r>
        <w:rPr>
          <w:rFonts w:ascii="Calibri" w:hAnsi="Calibri"/>
          <w:b w:val="0"/>
          <w:i w:val="0"/>
          <w:color w:val="2B2B28"/>
          <w:sz w:val="22"/>
        </w:rPr>
        <w:t>Behaviour change and weight maintenance — self-monitoring and habit-formation literature; the National Weight Control Registry on what keeps it off.</w:t>
      </w:r>
    </w:p>
    <w:p>
      <w:pPr>
        <w:pStyle w:val="ListBullet"/>
        <w:spacing w:before="0" w:after="80" w:line="269" w:lineRule="auto"/>
      </w:pPr>
      <w:r>
        <w:rPr>
          <w:rFonts w:ascii="Calibri" w:hAnsi="Calibri"/>
          <w:b w:val="0"/>
          <w:i w:val="0"/>
          <w:color w:val="2B2B28"/>
          <w:sz w:val="22"/>
        </w:rPr>
        <w:t>Physical-activity and resistance-training guidelines for health — ACSM position stands.</w:t>
      </w:r>
    </w:p>
    <w:p>
      <w:pPr>
        <w:pStyle w:val="Heading1"/>
        <w:spacing w:before="320" w:after="100" w:line="240" w:lineRule="auto"/>
      </w:pPr>
      <w:r>
        <w:rPr>
          <w:rFonts w:ascii="Calibri" w:hAnsi="Calibri"/>
          <w:b/>
          <w:i w:val="0"/>
          <w:color w:val="C4522A"/>
          <w:sz w:val="30"/>
        </w:rPr>
        <w:t>Appendix A — One-Page Working Checklist</w:t>
      </w:r>
    </w:p>
    <w:p>
      <w:pPr>
        <w:pStyle w:val="Heading2"/>
        <w:spacing w:before="220" w:after="60" w:line="240" w:lineRule="auto"/>
      </w:pPr>
      <w:r>
        <w:rPr>
          <w:rFonts w:ascii="Calibri" w:hAnsi="Calibri"/>
          <w:b/>
          <w:i w:val="0"/>
          <w:color w:val="2A5C45"/>
          <w:sz w:val="25"/>
        </w:rPr>
        <w:t>Day zero</w:t>
      </w:r>
    </w:p>
    <w:p>
      <w:pPr>
        <w:pStyle w:val="ListBullet"/>
        <w:spacing w:before="0" w:after="80" w:line="269" w:lineRule="auto"/>
      </w:pPr>
      <w:r>
        <w:rPr>
          <w:rFonts w:ascii="Calibri" w:hAnsi="Calibri"/>
          <w:b w:val="0"/>
          <w:i w:val="0"/>
          <w:color w:val="2B2B28"/>
          <w:sz w:val="22"/>
        </w:rPr>
        <w:t>Health screen (PAR-Q) &amp; medical/medication history; clear or refer</w:t>
      </w:r>
    </w:p>
    <w:p>
      <w:pPr>
        <w:pStyle w:val="ListBullet"/>
        <w:spacing w:before="0" w:after="80" w:line="269" w:lineRule="auto"/>
      </w:pPr>
      <w:r>
        <w:rPr>
          <w:rFonts w:ascii="Calibri" w:hAnsi="Calibri"/>
          <w:b w:val="0"/>
          <w:i w:val="0"/>
          <w:color w:val="2B2B28"/>
          <w:sz w:val="22"/>
        </w:rPr>
        <w:t>Written consent — data, measurements, photographs, anonymised portfolio use</w:t>
      </w:r>
    </w:p>
    <w:p>
      <w:pPr>
        <w:pStyle w:val="ListBullet"/>
        <w:spacing w:before="0" w:after="80" w:line="269" w:lineRule="auto"/>
      </w:pPr>
      <w:r>
        <w:rPr>
          <w:rFonts w:ascii="Calibri" w:hAnsi="Calibri"/>
          <w:b w:val="0"/>
          <w:i w:val="0"/>
          <w:color w:val="2B2B28"/>
          <w:sz w:val="22"/>
        </w:rPr>
        <w:t>Scope-of-practice &amp; referral line agreed; dietitian and GP named</w:t>
      </w:r>
    </w:p>
    <w:p>
      <w:pPr>
        <w:pStyle w:val="ListBullet"/>
        <w:spacing w:before="0" w:after="80" w:line="269" w:lineRule="auto"/>
      </w:pPr>
      <w:r>
        <w:rPr>
          <w:rFonts w:ascii="Calibri" w:hAnsi="Calibri"/>
          <w:b w:val="0"/>
          <w:i w:val="0"/>
          <w:color w:val="2B2B28"/>
          <w:sz w:val="22"/>
        </w:rPr>
        <w:t>Baseline battery booked; documentation system open; review schedule set</w:t>
      </w:r>
    </w:p>
    <w:p>
      <w:pPr>
        <w:pStyle w:val="Heading2"/>
        <w:spacing w:before="220" w:after="60" w:line="240" w:lineRule="auto"/>
      </w:pPr>
      <w:r>
        <w:rPr>
          <w:rFonts w:ascii="Calibri" w:hAnsi="Calibri"/>
          <w:b/>
          <w:i w:val="0"/>
          <w:color w:val="2A5C45"/>
          <w:sz w:val="25"/>
        </w:rPr>
        <w:t>Baseline &amp; every 4-week retest</w:t>
      </w:r>
    </w:p>
    <w:p>
      <w:pPr>
        <w:pStyle w:val="ListBullet"/>
        <w:spacing w:before="0" w:after="80" w:line="269" w:lineRule="auto"/>
      </w:pPr>
      <w:r>
        <w:rPr>
          <w:rFonts w:ascii="Calibri" w:hAnsi="Calibri"/>
          <w:b w:val="0"/>
          <w:i w:val="0"/>
          <w:color w:val="2B2B28"/>
          <w:sz w:val="22"/>
        </w:rPr>
        <w:t>Full battery, standardised identically to baseline, results side-by-side</w:t>
      </w:r>
    </w:p>
    <w:p>
      <w:pPr>
        <w:pStyle w:val="ListBullet"/>
        <w:spacing w:before="0" w:after="80" w:line="269" w:lineRule="auto"/>
      </w:pPr>
      <w:r>
        <w:rPr>
          <w:rFonts w:ascii="Calibri" w:hAnsi="Calibri"/>
          <w:b w:val="0"/>
          <w:i w:val="0"/>
          <w:color w:val="2B2B28"/>
          <w:sz w:val="22"/>
        </w:rPr>
        <w:t>Read the trend across several measures — never react to one instrument</w:t>
      </w:r>
    </w:p>
    <w:p>
      <w:pPr>
        <w:pStyle w:val="ListBullet"/>
        <w:spacing w:before="0" w:after="80" w:line="269" w:lineRule="auto"/>
      </w:pPr>
      <w:r>
        <w:rPr>
          <w:rFonts w:ascii="Calibri" w:hAnsi="Calibri"/>
          <w:b w:val="0"/>
          <w:i w:val="0"/>
          <w:color w:val="2B2B28"/>
          <w:sz w:val="22"/>
        </w:rPr>
        <w:t>Decision recorded: hold / adjust one lever / change phase, with the reason</w:t>
      </w:r>
    </w:p>
    <w:p>
      <w:pPr>
        <w:pStyle w:val="Heading2"/>
        <w:spacing w:before="220" w:after="60" w:line="240" w:lineRule="auto"/>
      </w:pPr>
      <w:r>
        <w:rPr>
          <w:rFonts w:ascii="Calibri" w:hAnsi="Calibri"/>
          <w:b/>
          <w:i w:val="0"/>
          <w:color w:val="2A5C45"/>
          <w:sz w:val="25"/>
        </w:rPr>
        <w:t>Weekly, without exception</w:t>
      </w:r>
    </w:p>
    <w:p>
      <w:pPr>
        <w:pStyle w:val="ListBullet"/>
        <w:spacing w:before="0" w:after="80" w:line="269" w:lineRule="auto"/>
      </w:pPr>
      <w:r>
        <w:rPr>
          <w:rFonts w:ascii="Calibri" w:hAnsi="Calibri"/>
          <w:b w:val="0"/>
          <w:i w:val="0"/>
          <w:color w:val="2B2B28"/>
          <w:sz w:val="22"/>
        </w:rPr>
        <w:t>7-day average weight &amp; trend; waist; training progress; adherence (sessions, protein, steps, nutrition); sleep, hunger, energy</w:t>
      </w:r>
    </w:p>
    <w:p>
      <w:pPr>
        <w:pStyle w:val="ListBullet"/>
        <w:spacing w:before="0" w:after="80" w:line="269" w:lineRule="auto"/>
      </w:pPr>
      <w:r>
        <w:rPr>
          <w:rFonts w:ascii="Calibri" w:hAnsi="Calibri"/>
          <w:b w:val="0"/>
          <w:i w:val="0"/>
          <w:color w:val="2B2B28"/>
          <w:sz w:val="22"/>
        </w:rPr>
        <w:t>Act on pre-agreed decision rules; fix adherence before touching calories</w:t>
      </w:r>
    </w:p>
    <w:p>
      <w:pPr>
        <w:pStyle w:val="ListBullet"/>
        <w:spacing w:before="0" w:after="80" w:line="269" w:lineRule="auto"/>
      </w:pPr>
      <w:r>
        <w:rPr>
          <w:rFonts w:ascii="Calibri" w:hAnsi="Calibri"/>
          <w:b w:val="0"/>
          <w:i w:val="0"/>
          <w:color w:val="2B2B28"/>
          <w:sz w:val="22"/>
        </w:rPr>
        <w:t>Anything clinical or a disordered-eating flag → refer, and log it</w:t>
      </w:r>
    </w:p>
    <w:p>
      <w:pPr>
        <w:pStyle w:val="Heading2"/>
        <w:spacing w:before="220" w:after="60" w:line="240" w:lineRule="auto"/>
      </w:pPr>
      <w:r>
        <w:rPr>
          <w:rFonts w:ascii="Calibri" w:hAnsi="Calibri"/>
          <w:b/>
          <w:i w:val="0"/>
          <w:color w:val="2A5C45"/>
          <w:sz w:val="25"/>
        </w:rPr>
        <w:t>Evaluate &amp; sustain</w:t>
      </w:r>
    </w:p>
    <w:p>
      <w:pPr>
        <w:pStyle w:val="ListBullet"/>
        <w:spacing w:before="0" w:after="80" w:line="269" w:lineRule="auto"/>
      </w:pPr>
      <w:r>
        <w:rPr>
          <w:rFonts w:ascii="Calibri" w:hAnsi="Calibri"/>
          <w:b w:val="0"/>
          <w:i w:val="0"/>
          <w:color w:val="2B2B28"/>
          <w:sz w:val="22"/>
        </w:rPr>
        <w:t>Outcomes interpreted against the Step-2 aims, with numbers and photos</w:t>
      </w:r>
    </w:p>
    <w:p>
      <w:pPr>
        <w:pStyle w:val="ListBullet"/>
        <w:spacing w:before="0" w:after="80" w:line="269" w:lineRule="auto"/>
      </w:pPr>
      <w:r>
        <w:rPr>
          <w:rFonts w:ascii="Calibri" w:hAnsi="Calibri"/>
          <w:b w:val="0"/>
          <w:i w:val="0"/>
          <w:color w:val="2B2B28"/>
          <w:sz w:val="22"/>
        </w:rPr>
        <w:t>Structured reverse to maintenance; a training &amp; habit plan the client owns</w:t>
      </w:r>
    </w:p>
    <w:p>
      <w:pPr>
        <w:pStyle w:val="ListBullet"/>
        <w:spacing w:before="0" w:after="80" w:line="269" w:lineRule="auto"/>
      </w:pPr>
      <w:r>
        <w:rPr>
          <w:rFonts w:ascii="Calibri" w:hAnsi="Calibri"/>
          <w:b w:val="0"/>
          <w:i w:val="0"/>
          <w:color w:val="2B2B28"/>
          <w:sz w:val="22"/>
        </w:rPr>
        <w:t>Case file assembled: needs analysis, baseline, rationale, programme, logs, evaluation, reflection</w:t>
      </w:r>
    </w:p>
    <w:p>
      <w:pPr>
        <w:pStyle w:val="Heading1"/>
        <w:spacing w:before="320" w:after="100" w:line="240" w:lineRule="auto"/>
      </w:pPr>
      <w:r>
        <w:rPr>
          <w:rFonts w:ascii="Calibri" w:hAnsi="Calibri"/>
          <w:b/>
          <w:i w:val="0"/>
          <w:color w:val="C4522A"/>
          <w:sz w:val="30"/>
        </w:rPr>
        <w:t>Appendix B — The Forms, Ready to Use</w:t>
      </w:r>
    </w:p>
    <w:p>
      <w:pPr>
        <w:spacing w:before="0" w:after="160" w:line="269" w:lineRule="auto"/>
      </w:pPr>
      <w:r>
        <w:rPr>
          <w:rFonts w:ascii="Calibri" w:hAnsi="Calibri"/>
          <w:b w:val="0"/>
          <w:i w:val="0"/>
          <w:color w:val="2B2B28"/>
          <w:sz w:val="22"/>
        </w:rPr>
        <w:t>Everything the document asked you to document is here as a form you can copy onto paper or into a spreadsheet. Fill the blanks; keep every version. Example rows (marked “ex.”) show what an honest, slightly-bumpy record looks like — copy the format, not the numbers.</w:t>
      </w:r>
    </w:p>
    <w:p>
      <w:pPr>
        <w:pStyle w:val="Heading2"/>
        <w:spacing w:before="220" w:after="60" w:line="240" w:lineRule="auto"/>
      </w:pPr>
      <w:r>
        <w:rPr>
          <w:rFonts w:ascii="Calibri" w:hAnsi="Calibri"/>
          <w:b/>
          <w:i w:val="0"/>
          <w:color w:val="2A5C45"/>
          <w:sz w:val="25"/>
        </w:rPr>
        <w:t>Form 1 — Health screen (PAR-Q) &amp; readiness</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Client / date</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PAR-Q questions passed / any “yes”</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Medical conditions / medications</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Injuries / movement limitations</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Relationship with food — any concern?</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if flagged → refer before proceeding</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Cleared to train, or referred first?</w:t>
            </w:r>
          </w:p>
        </w:tc>
        <w:tc>
          <w:tcPr>
            <w:tcW w:type="dxa" w:w="67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2 — Informed consent (sample wording — adapt and sign)</w:t>
      </w:r>
    </w:p>
    <w:p>
      <w:pPr>
        <w:spacing w:before="0" w:after="160" w:line="269" w:lineRule="auto"/>
      </w:pPr>
      <w:r>
        <w:rPr>
          <w:rFonts w:ascii="Calibri" w:hAnsi="Calibri"/>
          <w:b w:val="0"/>
          <w:i w:val="0"/>
          <w:color w:val="2B2B28"/>
          <w:sz w:val="22"/>
        </w:rPr>
        <w:t>“I, [client name], agree that [coach name] may record my training, measurements, body-composition data and photographs for the purpose of designing and monitoring my programme; may store them securely; and may use my information, in an anonymised form, for professional development, accreditation and portfolio purposes. I understand my photographs will be kept confidential, and that I can withdraw this consent at any time.”</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Client signature / date</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Coach signature / date</w:t>
            </w:r>
          </w:p>
        </w:tc>
        <w:tc>
          <w:tcPr>
            <w:tcW w:type="dxa" w:w="67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3 — Goal-setting &amp; lifestyle intake</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Primary goal (made measurable)</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waist under half height; +20 kg on squat e1RM</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Timeline &amp; why now</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Training history / current activity</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Typical week — work, sleep, stress, travel</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Food environment — who cooks, eating out, barriers</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What has failed before, and why</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Communication method &amp; frequency</w:t>
            </w:r>
          </w:p>
        </w:tc>
        <w:tc>
          <w:tcPr>
            <w:tcW w:type="dxa" w:w="67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4 — Baseline assessment record sheet (repeat identically every 4 weeks)</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3050"/>
        <w:gridCol w:w="1650"/>
        <w:gridCol w:w="1650"/>
        <w:gridCol w:w="3000"/>
      </w:tblGrid>
      <w:tr>
        <w:tc>
          <w:tcPr>
            <w:tcW w:type="dxa" w:w="30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Measure</w:t>
            </w:r>
          </w:p>
        </w:tc>
        <w:tc>
          <w:tcPr>
            <w:tcW w:type="dxa" w:w="16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Baseline</w:t>
            </w:r>
          </w:p>
        </w:tc>
        <w:tc>
          <w:tcPr>
            <w:tcW w:type="dxa" w:w="16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Retest</w:t>
            </w:r>
          </w:p>
        </w:tc>
        <w:tc>
          <w:tcPr>
            <w:tcW w:type="dxa" w:w="30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Notes / conditions</w:t>
            </w: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Body mass — 7-day average (kg)</w:t>
            </w:r>
          </w:p>
        </w:tc>
        <w:tc>
          <w:tcPr>
            <w:tcW w:type="dxa" w:w="1650"/>
            <w:tcMar>
              <w:top w:w="70" w:type="dxa"/>
              <w:left w:w="130" w:type="dxa"/>
              <w:bottom w:w="70" w:type="dxa"/>
              <w:right w:w="130" w:type="dxa"/>
            </w:tcMar>
            <w:vAlign w:val="top"/>
          </w:tcPr>
          <w:p>
            <w:pPr>
              <w:spacing w:before="0" w:after="0" w:line="240" w:lineRule="auto"/>
            </w:pPr>
          </w:p>
        </w:tc>
        <w:tc>
          <w:tcPr>
            <w:tcW w:type="dxa" w:w="1650"/>
            <w:tcMar>
              <w:top w:w="70" w:type="dxa"/>
              <w:left w:w="130" w:type="dxa"/>
              <w:bottom w:w="70" w:type="dxa"/>
              <w:right w:w="130" w:type="dxa"/>
            </w:tcMar>
            <w:vAlign w:val="top"/>
          </w:tcPr>
          <w:p>
            <w:pPr>
              <w:spacing w:before="0" w:after="0" w:line="240" w:lineRule="auto"/>
            </w:pPr>
          </w:p>
        </w:tc>
        <w:tc>
          <w:tcPr>
            <w:tcW w:type="dxa" w:w="30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Same scale, AM, fasted, post-void</w:t>
            </w: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Waist (cm) &amp; waist-to-height ratio</w:t>
            </w:r>
          </w:p>
        </w:tc>
        <w:tc>
          <w:tcPr>
            <w:tcW w:type="dxa" w:w="1650"/>
            <w:tcMar>
              <w:top w:w="70" w:type="dxa"/>
              <w:left w:w="130" w:type="dxa"/>
              <w:bottom w:w="70" w:type="dxa"/>
              <w:right w:w="130" w:type="dxa"/>
            </w:tcMar>
            <w:vAlign w:val="top"/>
          </w:tcPr>
          <w:p>
            <w:pPr>
              <w:spacing w:before="0" w:after="0" w:line="240" w:lineRule="auto"/>
            </w:pPr>
          </w:p>
        </w:tc>
        <w:tc>
          <w:tcPr>
            <w:tcW w:type="dxa" w:w="1650"/>
            <w:tcMar>
              <w:top w:w="70" w:type="dxa"/>
              <w:left w:w="130" w:type="dxa"/>
              <w:bottom w:w="70" w:type="dxa"/>
              <w:right w:w="130" w:type="dxa"/>
            </w:tcMar>
            <w:vAlign w:val="top"/>
          </w:tcPr>
          <w:p>
            <w:pPr>
              <w:spacing w:before="0" w:after="0" w:line="240" w:lineRule="auto"/>
            </w:pPr>
          </w:p>
        </w:tc>
        <w:tc>
          <w:tcPr>
            <w:tcW w:type="dxa" w:w="30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End of normal breath, marked landmark</w:t>
            </w: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Girths — hip / thigh / arm / chest (cm)</w:t>
            </w:r>
          </w:p>
        </w:tc>
        <w:tc>
          <w:tcPr>
            <w:tcW w:type="dxa" w:w="1650"/>
            <w:tcMar>
              <w:top w:w="70" w:type="dxa"/>
              <w:left w:w="130" w:type="dxa"/>
              <w:bottom w:w="70" w:type="dxa"/>
              <w:right w:w="130" w:type="dxa"/>
            </w:tcMar>
            <w:vAlign w:val="top"/>
          </w:tcPr>
          <w:p>
            <w:pPr>
              <w:spacing w:before="0" w:after="0" w:line="240" w:lineRule="auto"/>
            </w:pPr>
          </w:p>
        </w:tc>
        <w:tc>
          <w:tcPr>
            <w:tcW w:type="dxa" w:w="1650"/>
            <w:tcMar>
              <w:top w:w="70" w:type="dxa"/>
              <w:left w:w="130" w:type="dxa"/>
              <w:bottom w:w="70" w:type="dxa"/>
              <w:right w:w="130" w:type="dxa"/>
            </w:tcMar>
            <w:vAlign w:val="top"/>
          </w:tcPr>
          <w:p>
            <w:pPr>
              <w:spacing w:before="0" w:after="0" w:line="240" w:lineRule="auto"/>
            </w:pPr>
          </w:p>
        </w:tc>
        <w:tc>
          <w:tcPr>
            <w:tcW w:type="dxa" w:w="30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Marked landmarks, averaged</w:t>
            </w: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BIA body-fat %</w:t>
            </w:r>
          </w:p>
        </w:tc>
        <w:tc>
          <w:tcPr>
            <w:tcW w:type="dxa" w:w="1650"/>
            <w:tcMar>
              <w:top w:w="70" w:type="dxa"/>
              <w:left w:w="130" w:type="dxa"/>
              <w:bottom w:w="70" w:type="dxa"/>
              <w:right w:w="130" w:type="dxa"/>
            </w:tcMar>
            <w:vAlign w:val="top"/>
          </w:tcPr>
          <w:p>
            <w:pPr>
              <w:spacing w:before="0" w:after="0" w:line="240" w:lineRule="auto"/>
            </w:pPr>
          </w:p>
        </w:tc>
        <w:tc>
          <w:tcPr>
            <w:tcW w:type="dxa" w:w="1650"/>
            <w:tcMar>
              <w:top w:w="70" w:type="dxa"/>
              <w:left w:w="130" w:type="dxa"/>
              <w:bottom w:w="70" w:type="dxa"/>
              <w:right w:w="130" w:type="dxa"/>
            </w:tcMar>
            <w:vAlign w:val="top"/>
          </w:tcPr>
          <w:p>
            <w:pPr>
              <w:spacing w:before="0" w:after="0" w:line="240" w:lineRule="auto"/>
            </w:pPr>
          </w:p>
        </w:tc>
        <w:tc>
          <w:tcPr>
            <w:tcW w:type="dxa" w:w="30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Standardised; trend only</w:t>
            </w: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Progress photos taken (F/S/B)</w:t>
            </w:r>
          </w:p>
        </w:tc>
        <w:tc>
          <w:tcPr>
            <w:tcW w:type="dxa" w:w="1650"/>
            <w:tcMar>
              <w:top w:w="70" w:type="dxa"/>
              <w:left w:w="130" w:type="dxa"/>
              <w:bottom w:w="70" w:type="dxa"/>
              <w:right w:w="130" w:type="dxa"/>
            </w:tcMar>
            <w:vAlign w:val="top"/>
          </w:tcPr>
          <w:p>
            <w:pPr>
              <w:spacing w:before="0" w:after="0" w:line="240" w:lineRule="auto"/>
            </w:pPr>
          </w:p>
        </w:tc>
        <w:tc>
          <w:tcPr>
            <w:tcW w:type="dxa" w:w="1650"/>
            <w:tcMar>
              <w:top w:w="70" w:type="dxa"/>
              <w:left w:w="130" w:type="dxa"/>
              <w:bottom w:w="70" w:type="dxa"/>
              <w:right w:w="130" w:type="dxa"/>
            </w:tcMar>
            <w:vAlign w:val="top"/>
          </w:tcPr>
          <w:p>
            <w:pPr>
              <w:spacing w:before="0" w:after="0" w:line="240" w:lineRule="auto"/>
            </w:pPr>
          </w:p>
        </w:tc>
        <w:tc>
          <w:tcPr>
            <w:tcW w:type="dxa" w:w="30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Same light, distance, pose, AM</w:t>
            </w: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Estimated 1RM — squat / press / row</w:t>
            </w:r>
          </w:p>
        </w:tc>
        <w:tc>
          <w:tcPr>
            <w:tcW w:type="dxa" w:w="1650"/>
            <w:tcMar>
              <w:top w:w="70" w:type="dxa"/>
              <w:left w:w="130" w:type="dxa"/>
              <w:bottom w:w="70" w:type="dxa"/>
              <w:right w:w="130" w:type="dxa"/>
            </w:tcMar>
            <w:vAlign w:val="top"/>
          </w:tcPr>
          <w:p>
            <w:pPr>
              <w:spacing w:before="0" w:after="0" w:line="240" w:lineRule="auto"/>
            </w:pPr>
          </w:p>
        </w:tc>
        <w:tc>
          <w:tcPr>
            <w:tcW w:type="dxa" w:w="1650"/>
            <w:tcMar>
              <w:top w:w="70" w:type="dxa"/>
              <w:left w:w="130" w:type="dxa"/>
              <w:bottom w:w="70" w:type="dxa"/>
              <w:right w:w="130" w:type="dxa"/>
            </w:tcMar>
            <w:vAlign w:val="top"/>
          </w:tcPr>
          <w:p>
            <w:pPr>
              <w:spacing w:before="0" w:after="0" w:line="240" w:lineRule="auto"/>
            </w:pPr>
          </w:p>
        </w:tc>
        <w:tc>
          <w:tcPr>
            <w:tcW w:type="dxa" w:w="30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From a sub-max rep-max</w:t>
            </w: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Grip strength (kg, best of 3 / hand)</w:t>
            </w:r>
          </w:p>
        </w:tc>
        <w:tc>
          <w:tcPr>
            <w:tcW w:type="dxa" w:w="1650"/>
            <w:tcMar>
              <w:top w:w="70" w:type="dxa"/>
              <w:left w:w="130" w:type="dxa"/>
              <w:bottom w:w="70" w:type="dxa"/>
              <w:right w:w="130" w:type="dxa"/>
            </w:tcMar>
            <w:vAlign w:val="top"/>
          </w:tcPr>
          <w:p>
            <w:pPr>
              <w:spacing w:before="0" w:after="0" w:line="240" w:lineRule="auto"/>
            </w:pPr>
          </w:p>
        </w:tc>
        <w:tc>
          <w:tcPr>
            <w:tcW w:type="dxa" w:w="1650"/>
            <w:tcMar>
              <w:top w:w="70" w:type="dxa"/>
              <w:left w:w="130" w:type="dxa"/>
              <w:bottom w:w="70" w:type="dxa"/>
              <w:right w:w="130" w:type="dxa"/>
            </w:tcMar>
            <w:vAlign w:val="top"/>
          </w:tcPr>
          <w:p>
            <w:pPr>
              <w:spacing w:before="0" w:after="0" w:line="240" w:lineRule="auto"/>
            </w:pPr>
          </w:p>
        </w:tc>
        <w:tc>
          <w:tcPr>
            <w:tcW w:type="dxa" w:w="30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Aerobic / work-capacity test</w:t>
            </w:r>
          </w:p>
        </w:tc>
        <w:tc>
          <w:tcPr>
            <w:tcW w:type="dxa" w:w="1650"/>
            <w:tcMar>
              <w:top w:w="70" w:type="dxa"/>
              <w:left w:w="130" w:type="dxa"/>
              <w:bottom w:w="70" w:type="dxa"/>
              <w:right w:w="130" w:type="dxa"/>
            </w:tcMar>
            <w:vAlign w:val="top"/>
          </w:tcPr>
          <w:p>
            <w:pPr>
              <w:spacing w:before="0" w:after="0" w:line="240" w:lineRule="auto"/>
            </w:pPr>
          </w:p>
        </w:tc>
        <w:tc>
          <w:tcPr>
            <w:tcW w:type="dxa" w:w="1650"/>
            <w:tcMar>
              <w:top w:w="70" w:type="dxa"/>
              <w:left w:w="130" w:type="dxa"/>
              <w:bottom w:w="70" w:type="dxa"/>
              <w:right w:w="130" w:type="dxa"/>
            </w:tcMar>
            <w:vAlign w:val="top"/>
          </w:tcPr>
          <w:p>
            <w:pPr>
              <w:spacing w:before="0" w:after="0" w:line="240" w:lineRule="auto"/>
            </w:pPr>
          </w:p>
        </w:tc>
        <w:tc>
          <w:tcPr>
            <w:tcW w:type="dxa" w:w="30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Same protocol every time</w:t>
            </w: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Resting HR / blood pressure</w:t>
            </w:r>
          </w:p>
        </w:tc>
        <w:tc>
          <w:tcPr>
            <w:tcW w:type="dxa" w:w="1650"/>
            <w:tcMar>
              <w:top w:w="70" w:type="dxa"/>
              <w:left w:w="130" w:type="dxa"/>
              <w:bottom w:w="70" w:type="dxa"/>
              <w:right w:w="130" w:type="dxa"/>
            </w:tcMar>
            <w:vAlign w:val="top"/>
          </w:tcPr>
          <w:p>
            <w:pPr>
              <w:spacing w:before="0" w:after="0" w:line="240" w:lineRule="auto"/>
            </w:pPr>
          </w:p>
        </w:tc>
        <w:tc>
          <w:tcPr>
            <w:tcW w:type="dxa" w:w="1650"/>
            <w:tcMar>
              <w:top w:w="70" w:type="dxa"/>
              <w:left w:w="130" w:type="dxa"/>
              <w:bottom w:w="70" w:type="dxa"/>
              <w:right w:w="130" w:type="dxa"/>
            </w:tcMar>
            <w:vAlign w:val="top"/>
          </w:tcPr>
          <w:p>
            <w:pPr>
              <w:spacing w:before="0" w:after="0" w:line="240" w:lineRule="auto"/>
            </w:pPr>
          </w:p>
        </w:tc>
        <w:tc>
          <w:tcPr>
            <w:tcW w:type="dxa" w:w="30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Seated, settled</w:t>
            </w:r>
          </w:p>
        </w:tc>
      </w:tr>
    </w:tbl>
    <w:p>
      <w:pPr>
        <w:spacing w:after="40"/>
      </w:pPr>
    </w:p>
    <w:p>
      <w:pPr>
        <w:spacing w:before="0" w:after="140" w:line="269" w:lineRule="auto"/>
      </w:pPr>
      <w:r>
        <w:rPr>
          <w:rFonts w:ascii="Calibri" w:hAnsi="Calibri"/>
          <w:b w:val="0"/>
          <w:i/>
          <w:color w:val="6B6B66"/>
          <w:sz w:val="20"/>
        </w:rPr>
        <w:t>Worked example (week 1): 92.0 kg · waist 104 cm · WHtR 0.58 · BIA 30% · squat e1RM 70 kg · RHR 72 · BP 134/86. Unflattering and honest — exactly what a real baseline looks like.</w:t>
      </w:r>
    </w:p>
    <w:p>
      <w:pPr>
        <w:pStyle w:val="Heading2"/>
        <w:spacing w:before="220" w:after="60" w:line="240" w:lineRule="auto"/>
      </w:pPr>
      <w:r>
        <w:rPr>
          <w:rFonts w:ascii="Calibri" w:hAnsi="Calibri"/>
          <w:b/>
          <w:i w:val="0"/>
          <w:color w:val="2A5C45"/>
          <w:sz w:val="25"/>
        </w:rPr>
        <w:t>Form 5 — Nutrition targets &amp; energy-balance plan (in scope)</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Estimated maintenance intake (kcal)</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~2,600 (from bodyweight × activity, then verified against the weight trend)</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Target intake — modest deficit</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~2,150 (≈15% deficit)</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Protein target (g/day)</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~150–180 g (1.6–2.2 g/kg)</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Daily step / activity target</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8,000–10,000 steps</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Meal structure the client will keep</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Maintenance-break / refeed plan</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Referral line (what → who)</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any medical/clinical nutrition or ED flag → dietitian / GP</w:t>
            </w:r>
          </w:p>
        </w:tc>
      </w:tr>
    </w:tbl>
    <w:p>
      <w:pPr>
        <w:spacing w:after="40"/>
      </w:pPr>
    </w:p>
    <w:p>
      <w:pPr>
        <w:pStyle w:val="Heading2"/>
        <w:spacing w:before="220" w:after="60" w:line="240" w:lineRule="auto"/>
      </w:pPr>
      <w:r>
        <w:rPr>
          <w:rFonts w:ascii="Calibri" w:hAnsi="Calibri"/>
          <w:b/>
          <w:i w:val="0"/>
          <w:color w:val="2A5C45"/>
          <w:sz w:val="25"/>
        </w:rPr>
        <w:t>Form 6 — Weekly monitoring log</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820"/>
        <w:gridCol w:w="1450"/>
        <w:gridCol w:w="1150"/>
        <w:gridCol w:w="1500"/>
        <w:gridCol w:w="1230"/>
        <w:gridCol w:w="3200"/>
      </w:tblGrid>
      <w:tr>
        <w:tc>
          <w:tcPr>
            <w:tcW w:type="dxa" w:w="82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Week</w:t>
            </w:r>
          </w:p>
        </w:tc>
        <w:tc>
          <w:tcPr>
            <w:tcW w:type="dxa" w:w="14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7-day avg wt &amp; trend</w:t>
            </w:r>
          </w:p>
        </w:tc>
        <w:tc>
          <w:tcPr>
            <w:tcW w:type="dxa" w:w="11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Waist (cm)</w:t>
            </w:r>
          </w:p>
        </w:tc>
        <w:tc>
          <w:tcPr>
            <w:tcW w:type="dxa" w:w="1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Adherence (sessions · protein · steps)</w:t>
            </w:r>
          </w:p>
        </w:tc>
        <w:tc>
          <w:tcPr>
            <w:tcW w:type="dxa" w:w="123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Sleep / hunger / energy</w:t>
            </w:r>
          </w:p>
        </w:tc>
        <w:tc>
          <w:tcPr>
            <w:tcW w:type="dxa" w:w="32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Notes + action</w:t>
            </w:r>
          </w:p>
        </w:tc>
      </w:tr>
      <w:tr>
        <w:trPr>
          <w:trHeight w:val="300" w:hRule="atLeast"/>
        </w:trPr>
        <w:tc>
          <w:tcPr>
            <w:tcW w:type="dxa" w:w="82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1 (ex.)</w:t>
            </w:r>
          </w:p>
        </w:tc>
        <w:tc>
          <w:tcPr>
            <w:tcW w:type="dxa" w:w="14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92.0 · —</w:t>
            </w:r>
          </w:p>
        </w:tc>
        <w:tc>
          <w:tcPr>
            <w:tcW w:type="dxa" w:w="11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104</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3/3 · hit · 9k</w:t>
            </w:r>
          </w:p>
        </w:tc>
        <w:tc>
          <w:tcPr>
            <w:tcW w:type="dxa" w:w="123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7 / ok / good</w:t>
            </w:r>
          </w:p>
        </w:tc>
        <w:tc>
          <w:tcPr>
            <w:tcW w:type="dxa" w:w="3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Baseline set. Green.</w:t>
            </w:r>
          </w:p>
        </w:tc>
      </w:tr>
      <w:tr>
        <w:trPr>
          <w:trHeight w:val="300" w:hRule="atLeast"/>
        </w:trPr>
        <w:tc>
          <w:tcPr>
            <w:tcW w:type="dxa" w:w="82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5 (ex.)</w:t>
            </w:r>
          </w:p>
        </w:tc>
        <w:tc>
          <w:tcPr>
            <w:tcW w:type="dxa" w:w="14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90.6 · flat 2 wks</w:t>
            </w:r>
          </w:p>
        </w:tc>
        <w:tc>
          <w:tcPr>
            <w:tcW w:type="dxa" w:w="11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102</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3/3 · hit · 7k</w:t>
            </w:r>
          </w:p>
        </w:tc>
        <w:tc>
          <w:tcPr>
            <w:tcW w:type="dxa" w:w="123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6 / high / low</w:t>
            </w:r>
          </w:p>
        </w:tc>
        <w:tc>
          <w:tcPr>
            <w:tcW w:type="dxa" w:w="3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Stall + good adherence → steps back to 9k, hold calories. Trend, not panic.</w:t>
            </w:r>
          </w:p>
        </w:tc>
      </w:tr>
      <w:tr>
        <w:trPr>
          <w:trHeight w:val="300" w:hRule="atLeast"/>
        </w:trPr>
        <w:tc>
          <w:tcPr>
            <w:tcW w:type="dxa" w:w="820"/>
            <w:tcMar>
              <w:top w:w="70" w:type="dxa"/>
              <w:left w:w="130" w:type="dxa"/>
              <w:bottom w:w="70" w:type="dxa"/>
              <w:right w:w="130" w:type="dxa"/>
            </w:tcMar>
            <w:vAlign w:val="top"/>
          </w:tcPr>
          <w:p>
            <w:pPr>
              <w:spacing w:before="0" w:after="0" w:line="240" w:lineRule="auto"/>
            </w:pPr>
          </w:p>
        </w:tc>
        <w:tc>
          <w:tcPr>
            <w:tcW w:type="dxa" w:w="1450"/>
            <w:tcMar>
              <w:top w:w="70" w:type="dxa"/>
              <w:left w:w="130" w:type="dxa"/>
              <w:bottom w:w="70" w:type="dxa"/>
              <w:right w:w="130" w:type="dxa"/>
            </w:tcMar>
            <w:vAlign w:val="top"/>
          </w:tcPr>
          <w:p>
            <w:pPr>
              <w:spacing w:before="0" w:after="0" w:line="240" w:lineRule="auto"/>
            </w:pPr>
          </w:p>
        </w:tc>
        <w:tc>
          <w:tcPr>
            <w:tcW w:type="dxa" w:w="115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230"/>
            <w:tcMar>
              <w:top w:w="70" w:type="dxa"/>
              <w:left w:w="130" w:type="dxa"/>
              <w:bottom w:w="70" w:type="dxa"/>
              <w:right w:w="130" w:type="dxa"/>
            </w:tcMar>
            <w:vAlign w:val="top"/>
          </w:tcPr>
          <w:p>
            <w:pPr>
              <w:spacing w:before="0" w:after="0" w:line="240" w:lineRule="auto"/>
            </w:pPr>
          </w:p>
        </w:tc>
        <w:tc>
          <w:tcPr>
            <w:tcW w:type="dxa" w:w="3200"/>
            <w:tcMar>
              <w:top w:w="70" w:type="dxa"/>
              <w:left w:w="130" w:type="dxa"/>
              <w:bottom w:w="70" w:type="dxa"/>
              <w:right w:w="130" w:type="dxa"/>
            </w:tcMar>
            <w:vAlign w:val="top"/>
          </w:tcPr>
          <w:p>
            <w:pPr>
              <w:spacing w:before="0" w:after="0" w:line="240" w:lineRule="auto"/>
            </w:pPr>
          </w:p>
        </w:tc>
      </w:tr>
      <w:tr>
        <w:trPr>
          <w:trHeight w:val="300" w:hRule="atLeast"/>
        </w:trPr>
        <w:tc>
          <w:tcPr>
            <w:tcW w:type="dxa" w:w="820"/>
            <w:tcMar>
              <w:top w:w="70" w:type="dxa"/>
              <w:left w:w="130" w:type="dxa"/>
              <w:bottom w:w="70" w:type="dxa"/>
              <w:right w:w="130" w:type="dxa"/>
            </w:tcMar>
            <w:vAlign w:val="top"/>
          </w:tcPr>
          <w:p>
            <w:pPr>
              <w:spacing w:before="0" w:after="0" w:line="240" w:lineRule="auto"/>
            </w:pPr>
          </w:p>
        </w:tc>
        <w:tc>
          <w:tcPr>
            <w:tcW w:type="dxa" w:w="1450"/>
            <w:tcMar>
              <w:top w:w="70" w:type="dxa"/>
              <w:left w:w="130" w:type="dxa"/>
              <w:bottom w:w="70" w:type="dxa"/>
              <w:right w:w="130" w:type="dxa"/>
            </w:tcMar>
            <w:vAlign w:val="top"/>
          </w:tcPr>
          <w:p>
            <w:pPr>
              <w:spacing w:before="0" w:after="0" w:line="240" w:lineRule="auto"/>
            </w:pPr>
          </w:p>
        </w:tc>
        <w:tc>
          <w:tcPr>
            <w:tcW w:type="dxa" w:w="115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230"/>
            <w:tcMar>
              <w:top w:w="70" w:type="dxa"/>
              <w:left w:w="130" w:type="dxa"/>
              <w:bottom w:w="70" w:type="dxa"/>
              <w:right w:w="130" w:type="dxa"/>
            </w:tcMar>
            <w:vAlign w:val="top"/>
          </w:tcPr>
          <w:p>
            <w:pPr>
              <w:spacing w:before="0" w:after="0" w:line="240" w:lineRule="auto"/>
            </w:pPr>
          </w:p>
        </w:tc>
        <w:tc>
          <w:tcPr>
            <w:tcW w:type="dxa" w:w="3200"/>
            <w:tcMar>
              <w:top w:w="70" w:type="dxa"/>
              <w:left w:w="130" w:type="dxa"/>
              <w:bottom w:w="70" w:type="dxa"/>
              <w:right w:w="130" w:type="dxa"/>
            </w:tcMar>
            <w:vAlign w:val="top"/>
          </w:tcPr>
          <w:p>
            <w:pPr>
              <w:spacing w:before="0" w:after="0" w:line="240" w:lineRule="auto"/>
            </w:pPr>
          </w:p>
        </w:tc>
      </w:tr>
    </w:tbl>
    <w:p>
      <w:pPr>
        <w:spacing w:after="40"/>
      </w:pPr>
    </w:p>
    <w:p>
      <w:pPr>
        <w:spacing w:before="0" w:after="140" w:line="269" w:lineRule="auto"/>
      </w:pPr>
      <w:r>
        <w:rPr>
          <w:rFonts w:ascii="Calibri" w:hAnsi="Calibri"/>
          <w:b w:val="0"/>
          <w:i/>
          <w:color w:val="6B6B66"/>
          <w:sz w:val="20"/>
        </w:rPr>
        <w:t>Week 5 is “the mess”: a genuine stall with honest adherence, read as a trend and steered with one lever. That entry is the most credible thing in the file — log it, never hide it.</w:t>
      </w:r>
    </w:p>
    <w:p>
      <w:pPr>
        <w:pStyle w:val="Heading2"/>
        <w:spacing w:before="220" w:after="60" w:line="240" w:lineRule="auto"/>
      </w:pPr>
      <w:r>
        <w:rPr>
          <w:rFonts w:ascii="Calibri" w:hAnsi="Calibri"/>
          <w:b/>
          <w:i w:val="0"/>
          <w:color w:val="2A5C45"/>
          <w:sz w:val="25"/>
        </w:rPr>
        <w:t>Form 7 — 4-weekly progress review</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Body mass / waist / WHtR — then vs now</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Girths &amp; BIA trend — fat off, muscle on?</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Strength — e1RM &amp; grip, then vs now</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Health markers — HR / BP / aerobic</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Photos compared</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Read of the dashboard (triangulated)</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Decision — hold / adjust one lever / change phase, and why</w:t>
            </w:r>
          </w:p>
        </w:tc>
        <w:tc>
          <w:tcPr>
            <w:tcW w:type="dxa" w:w="67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8 — Training session plan (worked example — one session)</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1250"/>
        <w:gridCol w:w="2500"/>
        <w:gridCol w:w="1900"/>
        <w:gridCol w:w="2200"/>
        <w:gridCol w:w="1500"/>
      </w:tblGrid>
      <w:tr>
        <w:tc>
          <w:tcPr>
            <w:tcW w:type="dxa" w:w="12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Block</w:t>
            </w:r>
          </w:p>
        </w:tc>
        <w:tc>
          <w:tcPr>
            <w:tcW w:type="dxa" w:w="2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Exercise</w:t>
            </w:r>
          </w:p>
        </w:tc>
        <w:tc>
          <w:tcPr>
            <w:tcW w:type="dxa" w:w="19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Sets × reps @ effort</w:t>
            </w:r>
          </w:p>
        </w:tc>
        <w:tc>
          <w:tcPr>
            <w:tcW w:type="dxa" w:w="22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Coaching focus</w:t>
            </w:r>
          </w:p>
        </w:tc>
        <w:tc>
          <w:tcPr>
            <w:tcW w:type="dxa" w:w="1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Notes</w:t>
            </w:r>
          </w:p>
        </w:tc>
      </w:tr>
      <w:tr>
        <w:trPr>
          <w:trHeight w:val="300" w:hRule="atLeast"/>
        </w:trPr>
        <w:tc>
          <w:tcPr>
            <w:tcW w:type="dxa" w:w="12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Warm-up</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Bike · mobility · ramp-up sets</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~8 min</w:t>
            </w:r>
          </w:p>
        </w:tc>
        <w:tc>
          <w:tcPr>
            <w:tcW w:type="dxa" w:w="2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Raise temp, groove pattern</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r>
      <w:tr>
        <w:trPr>
          <w:trHeight w:val="300" w:hRule="atLeast"/>
        </w:trPr>
        <w:tc>
          <w:tcPr>
            <w:tcW w:type="dxa" w:w="12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Main</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Goblet / back squat</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3 × 6–8 @ 2 RIR</w:t>
            </w:r>
          </w:p>
        </w:tc>
        <w:tc>
          <w:tcPr>
            <w:tcW w:type="dxa" w:w="2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Brace, knees track toes</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+load when 8s are clean</w:t>
            </w:r>
          </w:p>
        </w:tc>
      </w:tr>
      <w:tr>
        <w:trPr>
          <w:trHeight w:val="300" w:hRule="atLeast"/>
        </w:trPr>
        <w:tc>
          <w:tcPr>
            <w:tcW w:type="dxa" w:w="12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Main</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Dumbbell bench press</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3 × 8–10 @ 2 RIR</w:t>
            </w:r>
          </w:p>
        </w:tc>
        <w:tc>
          <w:tcPr>
            <w:tcW w:type="dxa" w:w="2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Shoulders set, control down</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r>
      <w:tr>
        <w:trPr>
          <w:trHeight w:val="300" w:hRule="atLeast"/>
        </w:trPr>
        <w:tc>
          <w:tcPr>
            <w:tcW w:type="dxa" w:w="12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Accessory</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Row · RDL · carry</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2–3 sets each</w:t>
            </w:r>
          </w:p>
        </w:tc>
        <w:tc>
          <w:tcPr>
            <w:tcW w:type="dxa" w:w="2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Lead with the elbow; hips back</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Build the back &amp; hinge</w:t>
            </w:r>
          </w:p>
        </w:tc>
      </w:tr>
      <w:tr>
        <w:trPr>
          <w:trHeight w:val="300" w:hRule="atLeast"/>
        </w:trPr>
        <w:tc>
          <w:tcPr>
            <w:tcW w:type="dxa" w:w="12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Finish</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Steps target / easy cardio</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c>
          <w:tcPr>
            <w:tcW w:type="dxa" w:w="2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Health &amp; deficit</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Log the session RPE</w:t>
            </w:r>
          </w:p>
        </w:tc>
      </w:tr>
    </w:tbl>
    <w:p>
      <w:pPr>
        <w:spacing w:after="40"/>
      </w:pPr>
    </w:p>
    <w:p>
      <w:pPr>
        <w:pStyle w:val="Heading2"/>
        <w:spacing w:before="220" w:after="60" w:line="240" w:lineRule="auto"/>
      </w:pPr>
      <w:r>
        <w:rPr>
          <w:rFonts w:ascii="Calibri" w:hAnsi="Calibri"/>
          <w:b/>
          <w:i w:val="0"/>
          <w:color w:val="2A5C45"/>
          <w:sz w:val="25"/>
        </w:rPr>
        <w:t>Form 9 — Measurement &amp; photo standardisation card (the validity backbone)</w:t>
      </w:r>
    </w:p>
    <w:p>
      <w:pPr>
        <w:spacing w:before="0" w:after="60" w:line="269" w:lineRule="auto"/>
        <w:ind w:left="432" w:hanging="432"/>
      </w:pPr>
      <w:r>
        <w:rPr>
          <w:rFonts w:ascii="Calibri" w:hAnsi="Calibri"/>
          <w:b w:val="0"/>
          <w:i w:val="0"/>
          <w:color w:val="2B2B28"/>
          <w:sz w:val="22"/>
        </w:rPr>
        <w:t>☐   Weight: same scale, AM, post-void, fasted, minimal clothing — track the 7-day average</w:t>
      </w:r>
    </w:p>
    <w:p>
      <w:pPr>
        <w:spacing w:before="0" w:after="60" w:line="269" w:lineRule="auto"/>
        <w:ind w:left="432" w:hanging="432"/>
      </w:pPr>
      <w:r>
        <w:rPr>
          <w:rFonts w:ascii="Calibri" w:hAnsi="Calibri"/>
          <w:b w:val="0"/>
          <w:i w:val="0"/>
          <w:color w:val="2B2B28"/>
          <w:sz w:val="22"/>
        </w:rPr>
        <w:t>☐   Waist/girths: skin not clothing, end of normal breath, marked landmarks, averaged</w:t>
      </w:r>
    </w:p>
    <w:p>
      <w:pPr>
        <w:spacing w:before="0" w:after="60" w:line="269" w:lineRule="auto"/>
        <w:ind w:left="432" w:hanging="432"/>
      </w:pPr>
      <w:r>
        <w:rPr>
          <w:rFonts w:ascii="Calibri" w:hAnsi="Calibri"/>
          <w:b w:val="0"/>
          <w:i w:val="0"/>
          <w:color w:val="2B2B28"/>
          <w:sz w:val="22"/>
        </w:rPr>
        <w:t>☐   BIA: AM, fasted, hydrated, no exercise/alcohol prior, same device — trend only</w:t>
      </w:r>
    </w:p>
    <w:p>
      <w:pPr>
        <w:spacing w:before="0" w:after="60" w:line="269" w:lineRule="auto"/>
        <w:ind w:left="432" w:hanging="432"/>
      </w:pPr>
      <w:r>
        <w:rPr>
          <w:rFonts w:ascii="Calibri" w:hAnsi="Calibri"/>
          <w:b w:val="0"/>
          <w:i w:val="0"/>
          <w:color w:val="2B2B28"/>
          <w:sz w:val="22"/>
        </w:rPr>
        <w:t>☐   Photos: same room, light, distance, time, minimal clothing, 3 poses (F/S/B)</w:t>
      </w:r>
    </w:p>
    <w:p>
      <w:pPr>
        <w:spacing w:before="0" w:after="60" w:line="269" w:lineRule="auto"/>
        <w:ind w:left="432" w:hanging="432"/>
      </w:pPr>
      <w:r>
        <w:rPr>
          <w:rFonts w:ascii="Calibri" w:hAnsi="Calibri"/>
          <w:b w:val="0"/>
          <w:i w:val="0"/>
          <w:color w:val="2B2B28"/>
          <w:sz w:val="22"/>
        </w:rPr>
        <w:t>☐   Strength: same warm-up &amp; rep-max protocol; estimate 1RM from the same formula</w:t>
      </w:r>
    </w:p>
    <w:p>
      <w:pPr>
        <w:spacing w:before="0" w:after="60" w:line="269" w:lineRule="auto"/>
        <w:ind w:left="432" w:hanging="432"/>
      </w:pPr>
      <w:r>
        <w:rPr>
          <w:rFonts w:ascii="Calibri" w:hAnsi="Calibri"/>
          <w:b w:val="0"/>
          <w:i w:val="0"/>
          <w:color w:val="2B2B28"/>
          <w:sz w:val="22"/>
        </w:rPr>
        <w:t>☐   Never react to a single reading — read the trend across measures</w:t>
      </w:r>
    </w:p>
    <w:p>
      <w:pPr>
        <w:pStyle w:val="Heading2"/>
        <w:spacing w:before="220" w:after="60" w:line="240" w:lineRule="auto"/>
      </w:pPr>
      <w:r>
        <w:rPr>
          <w:rFonts w:ascii="Calibri" w:hAnsi="Calibri"/>
          <w:b/>
          <w:i w:val="0"/>
          <w:color w:val="2A5C45"/>
          <w:sz w:val="25"/>
        </w:rPr>
        <w:t>Form 10 — Scope-of-practice &amp; referral network</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What I coach</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training; energy-balance &amp; protein principles; habits</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What I refer</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clinical nutrition; medical conditions; any disordered-eating sign</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Registered dietitian</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name / contact</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GP / doctor</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name / contact</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Mental-health / ED support</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name / contact</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Disordered-eating red flags → act</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bingeing, purging, severe restriction, distress around food/body → refer, pause aesthetic goal</w:t>
            </w:r>
          </w:p>
        </w:tc>
      </w:tr>
    </w:tbl>
    <w:p>
      <w:pPr>
        <w:spacing w:after="40"/>
      </w:pPr>
    </w:p>
    <w:p>
      <w:pPr>
        <w:pStyle w:val="Heading2"/>
        <w:spacing w:before="220" w:after="60" w:line="240" w:lineRule="auto"/>
      </w:pPr>
      <w:r>
        <w:rPr>
          <w:rFonts w:ascii="Calibri" w:hAnsi="Calibri"/>
          <w:b/>
          <w:i w:val="0"/>
          <w:color w:val="2A5C45"/>
          <w:sz w:val="25"/>
        </w:rPr>
        <w:t>Form 11 — Evidence &amp; reference log (fill as you reason)</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3200"/>
        <w:gridCol w:w="2650"/>
        <w:gridCol w:w="3500"/>
      </w:tblGrid>
      <w:tr>
        <w:tc>
          <w:tcPr>
            <w:tcW w:type="dxa" w:w="32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Decision / claim</w:t>
            </w:r>
          </w:p>
        </w:tc>
        <w:tc>
          <w:tcPr>
            <w:tcW w:type="dxa" w:w="26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Source</w:t>
            </w:r>
          </w:p>
        </w:tc>
        <w:tc>
          <w:tcPr>
            <w:tcW w:type="dxa" w:w="3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How it applied here</w:t>
            </w:r>
          </w:p>
        </w:tc>
      </w:tr>
      <w:tr>
        <w:trPr>
          <w:trHeight w:val="300" w:hRule="atLeast"/>
        </w:trPr>
        <w:tc>
          <w:tcPr>
            <w:tcW w:type="dxa" w:w="3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(ex.) Protein ~1.6–2.2 g/kg to protect muscle in a deficit</w:t>
            </w:r>
          </w:p>
        </w:tc>
        <w:tc>
          <w:tcPr>
            <w:tcW w:type="dxa" w:w="26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Protein &amp; resistance-training meta-analyses</w:t>
            </w:r>
          </w:p>
        </w:tc>
        <w:tc>
          <w:tcPr>
            <w:tcW w:type="dxa" w:w="3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Set 150–180 g/day target</w:t>
            </w:r>
          </w:p>
        </w:tc>
      </w:tr>
      <w:tr>
        <w:trPr>
          <w:trHeight w:val="300" w:hRule="atLeast"/>
        </w:trPr>
        <w:tc>
          <w:tcPr>
            <w:tcW w:type="dxa" w:w="3200"/>
            <w:tcMar>
              <w:top w:w="70" w:type="dxa"/>
              <w:left w:w="130" w:type="dxa"/>
              <w:bottom w:w="70" w:type="dxa"/>
              <w:right w:w="130" w:type="dxa"/>
            </w:tcMar>
            <w:vAlign w:val="top"/>
          </w:tcPr>
          <w:p>
            <w:pPr>
              <w:spacing w:before="0" w:after="0" w:line="240" w:lineRule="auto"/>
            </w:pPr>
          </w:p>
        </w:tc>
        <w:tc>
          <w:tcPr>
            <w:tcW w:type="dxa" w:w="2650"/>
            <w:tcMar>
              <w:top w:w="70" w:type="dxa"/>
              <w:left w:w="130" w:type="dxa"/>
              <w:bottom w:w="70" w:type="dxa"/>
              <w:right w:w="130" w:type="dxa"/>
            </w:tcMar>
            <w:vAlign w:val="top"/>
          </w:tcPr>
          <w:p>
            <w:pPr>
              <w:spacing w:before="0" w:after="0" w:line="240" w:lineRule="auto"/>
            </w:pPr>
          </w:p>
        </w:tc>
        <w:tc>
          <w:tcPr>
            <w:tcW w:type="dxa" w:w="3500"/>
            <w:tcMar>
              <w:top w:w="70" w:type="dxa"/>
              <w:left w:w="130" w:type="dxa"/>
              <w:bottom w:w="70" w:type="dxa"/>
              <w:right w:w="130" w:type="dxa"/>
            </w:tcMar>
            <w:vAlign w:val="top"/>
          </w:tcPr>
          <w:p>
            <w:pPr>
              <w:spacing w:before="0" w:after="0" w:line="240" w:lineRule="auto"/>
            </w:pPr>
          </w:p>
        </w:tc>
      </w:tr>
      <w:tr>
        <w:trPr>
          <w:trHeight w:val="300" w:hRule="atLeast"/>
        </w:trPr>
        <w:tc>
          <w:tcPr>
            <w:tcW w:type="dxa" w:w="3200"/>
            <w:tcMar>
              <w:top w:w="70" w:type="dxa"/>
              <w:left w:w="130" w:type="dxa"/>
              <w:bottom w:w="70" w:type="dxa"/>
              <w:right w:w="130" w:type="dxa"/>
            </w:tcMar>
            <w:vAlign w:val="top"/>
          </w:tcPr>
          <w:p>
            <w:pPr>
              <w:spacing w:before="0" w:after="0" w:line="240" w:lineRule="auto"/>
            </w:pPr>
          </w:p>
        </w:tc>
        <w:tc>
          <w:tcPr>
            <w:tcW w:type="dxa" w:w="2650"/>
            <w:tcMar>
              <w:top w:w="70" w:type="dxa"/>
              <w:left w:w="130" w:type="dxa"/>
              <w:bottom w:w="70" w:type="dxa"/>
              <w:right w:w="130" w:type="dxa"/>
            </w:tcMar>
            <w:vAlign w:val="top"/>
          </w:tcPr>
          <w:p>
            <w:pPr>
              <w:spacing w:before="0" w:after="0" w:line="240" w:lineRule="auto"/>
            </w:pPr>
          </w:p>
        </w:tc>
        <w:tc>
          <w:tcPr>
            <w:tcW w:type="dxa" w:w="35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12 — Reflective practice log (one at every review)</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1700"/>
        <w:gridCol w:w="2450"/>
        <w:gridCol w:w="2450"/>
        <w:gridCol w:w="2750"/>
      </w:tblGrid>
      <w:tr>
        <w:tc>
          <w:tcPr>
            <w:tcW w:type="dxa" w:w="17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Date / block</w:t>
            </w:r>
          </w:p>
        </w:tc>
        <w:tc>
          <w:tcPr>
            <w:tcW w:type="dxa" w:w="24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I planned</w:t>
            </w:r>
          </w:p>
        </w:tc>
        <w:tc>
          <w:tcPr>
            <w:tcW w:type="dxa" w:w="24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actually happened</w:t>
            </w:r>
          </w:p>
        </w:tc>
        <w:tc>
          <w:tcPr>
            <w:tcW w:type="dxa" w:w="27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I changed &amp; what I learned</w:t>
            </w:r>
          </w:p>
        </w:tc>
      </w:tr>
      <w:tr>
        <w:trPr>
          <w:trHeight w:val="300" w:hRule="atLeast"/>
        </w:trPr>
        <w:tc>
          <w:tcPr>
            <w:tcW w:type="dxa" w:w="1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(ex.) Week 8</w:t>
            </w:r>
          </w:p>
        </w:tc>
        <w:tc>
          <w:tcPr>
            <w:tcW w:type="dxa" w:w="24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Steady linear fat loss</w:t>
            </w:r>
          </w:p>
        </w:tc>
        <w:tc>
          <w:tcPr>
            <w:tcW w:type="dxa" w:w="24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Stalled, then a holiday week</w:t>
            </w:r>
          </w:p>
        </w:tc>
        <w:tc>
          <w:tcPr>
            <w:tcW w:type="dxa" w:w="27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Read the dashboard, added steps not restriction — adherence beats a bigger deficit</w:t>
            </w:r>
          </w:p>
        </w:tc>
      </w:tr>
      <w:tr>
        <w:trPr>
          <w:trHeight w:val="300" w:hRule="atLeast"/>
        </w:trPr>
        <w:tc>
          <w:tcPr>
            <w:tcW w:type="dxa" w:w="1700"/>
            <w:tcMar>
              <w:top w:w="70" w:type="dxa"/>
              <w:left w:w="130" w:type="dxa"/>
              <w:bottom w:w="70" w:type="dxa"/>
              <w:right w:w="130" w:type="dxa"/>
            </w:tcMar>
            <w:vAlign w:val="top"/>
          </w:tcPr>
          <w:p>
            <w:pPr>
              <w:spacing w:before="0" w:after="0" w:line="240" w:lineRule="auto"/>
            </w:pPr>
          </w:p>
        </w:tc>
        <w:tc>
          <w:tcPr>
            <w:tcW w:type="dxa" w:w="2450"/>
            <w:tcMar>
              <w:top w:w="70" w:type="dxa"/>
              <w:left w:w="130" w:type="dxa"/>
              <w:bottom w:w="70" w:type="dxa"/>
              <w:right w:w="130" w:type="dxa"/>
            </w:tcMar>
            <w:vAlign w:val="top"/>
          </w:tcPr>
          <w:p>
            <w:pPr>
              <w:spacing w:before="0" w:after="0" w:line="240" w:lineRule="auto"/>
            </w:pPr>
          </w:p>
        </w:tc>
        <w:tc>
          <w:tcPr>
            <w:tcW w:type="dxa" w:w="2450"/>
            <w:tcMar>
              <w:top w:w="70" w:type="dxa"/>
              <w:left w:w="130" w:type="dxa"/>
              <w:bottom w:w="70" w:type="dxa"/>
              <w:right w:w="130" w:type="dxa"/>
            </w:tcMar>
            <w:vAlign w:val="top"/>
          </w:tcPr>
          <w:p>
            <w:pPr>
              <w:spacing w:before="0" w:after="0" w:line="240" w:lineRule="auto"/>
            </w:pPr>
          </w:p>
        </w:tc>
        <w:tc>
          <w:tcPr>
            <w:tcW w:type="dxa" w:w="2750"/>
            <w:tcMar>
              <w:top w:w="70" w:type="dxa"/>
              <w:left w:w="130" w:type="dxa"/>
              <w:bottom w:w="70" w:type="dxa"/>
              <w:right w:w="130" w:type="dxa"/>
            </w:tcMar>
            <w:vAlign w:val="top"/>
          </w:tcPr>
          <w:p>
            <w:pPr>
              <w:spacing w:before="0" w:after="0" w:line="240" w:lineRule="auto"/>
            </w:pPr>
          </w:p>
        </w:tc>
      </w:tr>
      <w:tr>
        <w:trPr>
          <w:trHeight w:val="300" w:hRule="atLeast"/>
        </w:trPr>
        <w:tc>
          <w:tcPr>
            <w:tcW w:type="dxa" w:w="1700"/>
            <w:tcMar>
              <w:top w:w="70" w:type="dxa"/>
              <w:left w:w="130" w:type="dxa"/>
              <w:bottom w:w="70" w:type="dxa"/>
              <w:right w:w="130" w:type="dxa"/>
            </w:tcMar>
            <w:vAlign w:val="top"/>
          </w:tcPr>
          <w:p>
            <w:pPr>
              <w:spacing w:before="0" w:after="0" w:line="240" w:lineRule="auto"/>
            </w:pPr>
          </w:p>
        </w:tc>
        <w:tc>
          <w:tcPr>
            <w:tcW w:type="dxa" w:w="2450"/>
            <w:tcMar>
              <w:top w:w="70" w:type="dxa"/>
              <w:left w:w="130" w:type="dxa"/>
              <w:bottom w:w="70" w:type="dxa"/>
              <w:right w:w="130" w:type="dxa"/>
            </w:tcMar>
            <w:vAlign w:val="top"/>
          </w:tcPr>
          <w:p>
            <w:pPr>
              <w:spacing w:before="0" w:after="0" w:line="240" w:lineRule="auto"/>
            </w:pPr>
          </w:p>
        </w:tc>
        <w:tc>
          <w:tcPr>
            <w:tcW w:type="dxa" w:w="2450"/>
            <w:tcMar>
              <w:top w:w="70" w:type="dxa"/>
              <w:left w:w="130" w:type="dxa"/>
              <w:bottom w:w="70" w:type="dxa"/>
              <w:right w:w="130" w:type="dxa"/>
            </w:tcMar>
            <w:vAlign w:val="top"/>
          </w:tcPr>
          <w:p>
            <w:pPr>
              <w:spacing w:before="0" w:after="0" w:line="240" w:lineRule="auto"/>
            </w:pPr>
          </w:p>
        </w:tc>
        <w:tc>
          <w:tcPr>
            <w:tcW w:type="dxa" w:w="275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13 — Movement screen record (baseline &amp; every 4 weeks)</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050"/>
        <w:gridCol w:w="2500"/>
        <w:gridCol w:w="2050"/>
        <w:gridCol w:w="2750"/>
      </w:tblGrid>
      <w:tr>
        <w:tc>
          <w:tcPr>
            <w:tcW w:type="dxa" w:w="20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Movement / test</w:t>
            </w:r>
          </w:p>
        </w:tc>
        <w:tc>
          <w:tcPr>
            <w:tcW w:type="dxa" w:w="2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good looks like</w:t>
            </w:r>
          </w:p>
        </w:tc>
        <w:tc>
          <w:tcPr>
            <w:tcW w:type="dxa" w:w="20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Result / what you saw</w:t>
            </w:r>
          </w:p>
        </w:tc>
        <w:tc>
          <w:tcPr>
            <w:tcW w:type="dxa" w:w="27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Action (select · regress · cue · refer)</w:t>
            </w:r>
          </w:p>
        </w:tc>
      </w:tr>
      <w:tr>
        <w:trPr>
          <w:trHeight w:val="300" w:hRule="atLeast"/>
        </w:trPr>
        <w:tc>
          <w:tcPr>
            <w:tcW w:type="dxa" w:w="2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Bodyweight / overhead squat</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Heels down, torso fairly upright, ~parallel depth, knees track toes</w:t>
            </w:r>
          </w:p>
        </w:tc>
        <w:tc>
          <w:tcPr>
            <w:tcW w:type="dxa" w:w="2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(ex.) heels lift, mild knee-cave</w:t>
            </w:r>
          </w:p>
        </w:tc>
        <w:tc>
          <w:tcPr>
            <w:tcW w:type="dxa" w:w="27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Heel-elevated goblet squat; ankle mobility; cue “knees out”</w:t>
            </w:r>
          </w:p>
        </w:tc>
      </w:tr>
      <w:tr>
        <w:trPr>
          <w:trHeight w:val="300" w:hRule="atLeast"/>
        </w:trPr>
        <w:tc>
          <w:tcPr>
            <w:tcW w:type="dxa" w:w="2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Ankle dorsiflexion (knee-to-wall)</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Knee past toes ~10 cm, symmetrical</w:t>
            </w:r>
          </w:p>
        </w:tc>
        <w:tc>
          <w:tcPr>
            <w:tcW w:type="dxa" w:w="2050"/>
            <w:tcMar>
              <w:top w:w="70" w:type="dxa"/>
              <w:left w:w="130" w:type="dxa"/>
              <w:bottom w:w="70" w:type="dxa"/>
              <w:right w:w="130" w:type="dxa"/>
            </w:tcMar>
            <w:vAlign w:val="top"/>
          </w:tcPr>
          <w:p>
            <w:pPr>
              <w:spacing w:before="0" w:after="0" w:line="240" w:lineRule="auto"/>
            </w:pPr>
          </w:p>
        </w:tc>
        <w:tc>
          <w:tcPr>
            <w:tcW w:type="dxa" w:w="2750"/>
            <w:tcMar>
              <w:top w:w="70" w:type="dxa"/>
              <w:left w:w="130" w:type="dxa"/>
              <w:bottom w:w="70" w:type="dxa"/>
              <w:right w:w="130" w:type="dxa"/>
            </w:tcMar>
            <w:vAlign w:val="top"/>
          </w:tcPr>
          <w:p>
            <w:pPr>
              <w:spacing w:before="0" w:after="0" w:line="240" w:lineRule="auto"/>
            </w:pPr>
          </w:p>
        </w:tc>
      </w:tr>
      <w:tr>
        <w:trPr>
          <w:trHeight w:val="300" w:hRule="atLeast"/>
        </w:trPr>
        <w:tc>
          <w:tcPr>
            <w:tcW w:type="dxa" w:w="2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Hip hinge / toe-touch</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Hinge from the hips, flat back, reaches ~mid-shin</w:t>
            </w:r>
          </w:p>
        </w:tc>
        <w:tc>
          <w:tcPr>
            <w:tcW w:type="dxa" w:w="2050"/>
            <w:tcMar>
              <w:top w:w="70" w:type="dxa"/>
              <w:left w:w="130" w:type="dxa"/>
              <w:bottom w:w="70" w:type="dxa"/>
              <w:right w:w="130" w:type="dxa"/>
            </w:tcMar>
            <w:vAlign w:val="top"/>
          </w:tcPr>
          <w:p>
            <w:pPr>
              <w:spacing w:before="0" w:after="0" w:line="240" w:lineRule="auto"/>
            </w:pPr>
          </w:p>
        </w:tc>
        <w:tc>
          <w:tcPr>
            <w:tcW w:type="dxa" w:w="2750"/>
            <w:tcMar>
              <w:top w:w="70" w:type="dxa"/>
              <w:left w:w="130" w:type="dxa"/>
              <w:bottom w:w="70" w:type="dxa"/>
              <w:right w:w="130" w:type="dxa"/>
            </w:tcMar>
            <w:vAlign w:val="top"/>
          </w:tcPr>
          <w:p>
            <w:pPr>
              <w:spacing w:before="0" w:after="0" w:line="240" w:lineRule="auto"/>
            </w:pPr>
          </w:p>
        </w:tc>
      </w:tr>
      <w:tr>
        <w:trPr>
          <w:trHeight w:val="300" w:hRule="atLeast"/>
        </w:trPr>
        <w:tc>
          <w:tcPr>
            <w:tcW w:type="dxa" w:w="2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Single-leg squat / step-down</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Level pelvis, knee over foot, controlled, symmetrical</w:t>
            </w:r>
          </w:p>
        </w:tc>
        <w:tc>
          <w:tcPr>
            <w:tcW w:type="dxa" w:w="2050"/>
            <w:tcMar>
              <w:top w:w="70" w:type="dxa"/>
              <w:left w:w="130" w:type="dxa"/>
              <w:bottom w:w="70" w:type="dxa"/>
              <w:right w:w="130" w:type="dxa"/>
            </w:tcMar>
            <w:vAlign w:val="top"/>
          </w:tcPr>
          <w:p>
            <w:pPr>
              <w:spacing w:before="0" w:after="0" w:line="240" w:lineRule="auto"/>
            </w:pPr>
          </w:p>
        </w:tc>
        <w:tc>
          <w:tcPr>
            <w:tcW w:type="dxa" w:w="2750"/>
            <w:tcMar>
              <w:top w:w="70" w:type="dxa"/>
              <w:left w:w="130" w:type="dxa"/>
              <w:bottom w:w="70" w:type="dxa"/>
              <w:right w:w="130" w:type="dxa"/>
            </w:tcMar>
            <w:vAlign w:val="top"/>
          </w:tcPr>
          <w:p>
            <w:pPr>
              <w:spacing w:before="0" w:after="0" w:line="240" w:lineRule="auto"/>
            </w:pPr>
          </w:p>
        </w:tc>
      </w:tr>
      <w:tr>
        <w:trPr>
          <w:trHeight w:val="300" w:hRule="atLeast"/>
        </w:trPr>
        <w:tc>
          <w:tcPr>
            <w:tcW w:type="dxa" w:w="2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Push-up</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Rigid trunk, elbows ~45°, full range</w:t>
            </w:r>
          </w:p>
        </w:tc>
        <w:tc>
          <w:tcPr>
            <w:tcW w:type="dxa" w:w="2050"/>
            <w:tcMar>
              <w:top w:w="70" w:type="dxa"/>
              <w:left w:w="130" w:type="dxa"/>
              <w:bottom w:w="70" w:type="dxa"/>
              <w:right w:w="130" w:type="dxa"/>
            </w:tcMar>
            <w:vAlign w:val="top"/>
          </w:tcPr>
          <w:p>
            <w:pPr>
              <w:spacing w:before="0" w:after="0" w:line="240" w:lineRule="auto"/>
            </w:pPr>
          </w:p>
        </w:tc>
        <w:tc>
          <w:tcPr>
            <w:tcW w:type="dxa" w:w="2750"/>
            <w:tcMar>
              <w:top w:w="70" w:type="dxa"/>
              <w:left w:w="130" w:type="dxa"/>
              <w:bottom w:w="70" w:type="dxa"/>
              <w:right w:w="130" w:type="dxa"/>
            </w:tcMar>
            <w:vAlign w:val="top"/>
          </w:tcPr>
          <w:p>
            <w:pPr>
              <w:spacing w:before="0" w:after="0" w:line="240" w:lineRule="auto"/>
            </w:pPr>
          </w:p>
        </w:tc>
      </w:tr>
      <w:tr>
        <w:trPr>
          <w:trHeight w:val="300" w:hRule="atLeast"/>
        </w:trPr>
        <w:tc>
          <w:tcPr>
            <w:tcW w:type="dxa" w:w="2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Overhead reach</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Arms to the ears without arching the back</w:t>
            </w:r>
          </w:p>
        </w:tc>
        <w:tc>
          <w:tcPr>
            <w:tcW w:type="dxa" w:w="2050"/>
            <w:tcMar>
              <w:top w:w="70" w:type="dxa"/>
              <w:left w:w="130" w:type="dxa"/>
              <w:bottom w:w="70" w:type="dxa"/>
              <w:right w:w="130" w:type="dxa"/>
            </w:tcMar>
            <w:vAlign w:val="top"/>
          </w:tcPr>
          <w:p>
            <w:pPr>
              <w:spacing w:before="0" w:after="0" w:line="240" w:lineRule="auto"/>
            </w:pPr>
          </w:p>
        </w:tc>
        <w:tc>
          <w:tcPr>
            <w:tcW w:type="dxa" w:w="2750"/>
            <w:tcMar>
              <w:top w:w="70" w:type="dxa"/>
              <w:left w:w="130" w:type="dxa"/>
              <w:bottom w:w="70" w:type="dxa"/>
              <w:right w:w="130" w:type="dxa"/>
            </w:tcMar>
            <w:vAlign w:val="top"/>
          </w:tcPr>
          <w:p>
            <w:pPr>
              <w:spacing w:before="0" w:after="0" w:line="240" w:lineRule="auto"/>
            </w:pPr>
          </w:p>
        </w:tc>
      </w:tr>
      <w:tr>
        <w:trPr>
          <w:trHeight w:val="300" w:hRule="atLeast"/>
        </w:trPr>
        <w:tc>
          <w:tcPr>
            <w:tcW w:type="dxa" w:w="2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Loaded carry</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Tall and braced, steady for the walk</w:t>
            </w:r>
          </w:p>
        </w:tc>
        <w:tc>
          <w:tcPr>
            <w:tcW w:type="dxa" w:w="2050"/>
            <w:tcMar>
              <w:top w:w="70" w:type="dxa"/>
              <w:left w:w="130" w:type="dxa"/>
              <w:bottom w:w="70" w:type="dxa"/>
              <w:right w:w="130" w:type="dxa"/>
            </w:tcMar>
            <w:vAlign w:val="top"/>
          </w:tcPr>
          <w:p>
            <w:pPr>
              <w:spacing w:before="0" w:after="0" w:line="240" w:lineRule="auto"/>
            </w:pPr>
          </w:p>
        </w:tc>
        <w:tc>
          <w:tcPr>
            <w:tcW w:type="dxa" w:w="2750"/>
            <w:tcMar>
              <w:top w:w="70" w:type="dxa"/>
              <w:left w:w="130" w:type="dxa"/>
              <w:bottom w:w="70" w:type="dxa"/>
              <w:right w:w="130" w:type="dxa"/>
            </w:tcMar>
            <w:vAlign w:val="top"/>
          </w:tcPr>
          <w:p>
            <w:pPr>
              <w:spacing w:before="0" w:after="0" w:line="240" w:lineRule="auto"/>
            </w:pPr>
          </w:p>
        </w:tc>
      </w:tr>
      <w:tr>
        <w:trPr>
          <w:trHeight w:val="300" w:hRule="atLeast"/>
        </w:trPr>
        <w:tc>
          <w:tcPr>
            <w:tcW w:type="dxa" w:w="2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Pain in ANY pattern?</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None</w:t>
            </w:r>
          </w:p>
        </w:tc>
        <w:tc>
          <w:tcPr>
            <w:tcW w:type="dxa" w:w="2050"/>
            <w:tcMar>
              <w:top w:w="70" w:type="dxa"/>
              <w:left w:w="130" w:type="dxa"/>
              <w:bottom w:w="70" w:type="dxa"/>
              <w:right w:w="130" w:type="dxa"/>
            </w:tcMar>
            <w:vAlign w:val="top"/>
          </w:tcPr>
          <w:p>
            <w:pPr>
              <w:spacing w:before="0" w:after="0" w:line="240" w:lineRule="auto"/>
            </w:pPr>
          </w:p>
        </w:tc>
        <w:tc>
          <w:tcPr>
            <w:tcW w:type="dxa" w:w="27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If yes → stop, modify, refer if it persists</w:t>
            </w:r>
          </w:p>
        </w:tc>
      </w:tr>
    </w:tbl>
    <w:p>
      <w:pPr>
        <w:spacing w:after="40"/>
      </w:pPr>
    </w:p>
    <w:p>
      <w:pPr>
        <w:spacing w:before="0" w:after="140" w:line="269" w:lineRule="auto"/>
      </w:pPr>
      <w:r>
        <w:rPr>
          <w:rFonts w:ascii="Calibri" w:hAnsi="Calibri"/>
          <w:b w:val="0"/>
          <w:i/>
          <w:color w:val="6B6B66"/>
          <w:sz w:val="20"/>
        </w:rPr>
        <w:t>Any pain in a pattern is a stop-and-refer signal, not a coaching cue. Everything else is information for exercise selection — re-test at the 4-week marks, because improving movement is an outcome you can show.</w:t>
      </w:r>
    </w:p>
    <w:p>
      <w:pPr>
        <w:spacing w:before="200" w:after="0" w:line="240" w:lineRule="auto"/>
        <w:pBdr>
          <w:bottom w:val="single" w:sz="4" w:space="4" w:color="BFBDB6"/>
        </w:pBdr>
      </w:pPr>
    </w:p>
    <w:p>
      <w:pPr>
        <w:spacing w:before="80" w:after="0" w:line="269" w:lineRule="auto"/>
      </w:pPr>
      <w:r>
        <w:rPr>
          <w:rFonts w:ascii="Calibri" w:hAnsi="Calibri"/>
          <w:b w:val="0"/>
          <w:i/>
          <w:color w:val="6B6B66"/>
          <w:sz w:val="18"/>
        </w:rPr>
        <w:t>AA Performance · Learning Series — internal coach-education document. Method template only; all client casework to be documented from real, completed programmes.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Coaching Body Recomposition — Fat Loss and Muscle Gain</dc:title>
  <dc:subject/>
  <dc:creator>AA Performance</dc:creator>
  <cp:keywords/>
  <dc:description>generated by python-docx</dc:description>
  <cp:lastModifiedBy/>
  <cp:revision>1</cp:revision>
  <dcterms:created xsi:type="dcterms:W3CDTF">2013-12-23T23:15:00Z</dcterms:created>
  <dcterms:modified xsi:type="dcterms:W3CDTF">2013-12-23T23:15:00Z</dcterms:modified>
  <cp:category>Learning Series</cp:category>
</cp:coreProperties>
</file>