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</w:tblPr>
      <w:tblGrid>
        <w:gridCol w:w="900"/>
        <w:gridCol w:w="5300"/>
        <w:gridCol w:w="2872"/>
      </w:tblGrid>
      <w:tr>
        <w:tc>
          <w:tcPr>
            <w:tcW w:type="dxa" w:w="90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Logo" descr="Arus Digital logo" title="Arus Digi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0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A0F2E"/>
                <w:sz w:val="32"/>
                <w:szCs w:val="32"/>
              </w:rPr>
              <w:t xml:space="preserve">ARUS DIGITAL SDN. BHD.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B74A8"/>
                <w:sz w:val="18"/>
                <w:szCs w:val="18"/>
              </w:rPr>
              <w:t xml:space="preserve">AI-Native Technology  ·  Kuala Lumpur</w:t>
            </w:r>
          </w:p>
        </w:tc>
        <w:tc>
          <w:tcPr>
            <w:tcW w:type="dxa" w:w="287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color w:val="6B74A8"/>
                <w:sz w:val="18"/>
                <w:szCs w:val="18"/>
              </w:rPr>
              <w:t xml:space="preserve">hello@arusdigital.com</w:t>
            </w:r>
          </w:p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color w:val="6B74A8"/>
                <w:sz w:val="18"/>
                <w:szCs w:val="18"/>
              </w:rPr>
              <w:t xml:space="preserve">+60 13-984 4412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A5FF0"/>
                <w:sz w:val="18"/>
                <w:szCs w:val="18"/>
              </w:rPr>
              <w:t xml:space="preserve">arusdigital.com</w:t>
            </w:r>
          </w:p>
        </w:tc>
      </w:tr>
    </w:tbl>
    <w:p>
      <w:pPr>
        <w:pBdr>
          <w:bottom w:val="single" w:color="1F49EE" w:sz="24" w:space="0"/>
        </w:pBdr>
        <w:spacing w:after="0" w:before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after="3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tbl>
      <w:tblPr>
        <w:tblW w:type="dxa" w:w="9072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4A8"/>
                <w:sz w:val="20"/>
                <w:szCs w:val="20"/>
              </w:rPr>
              <w:t xml:space="preserve">Rujukan / Our Ref: 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AD/MD/2026/001</w:t>
            </w:r>
          </w:p>
        </w:tc>
        <w:tc>
          <w:tcPr>
            <w:tcW w:type="dxa" w:w="453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6B74A8"/>
                <w:sz w:val="20"/>
                <w:szCs w:val="20"/>
              </w:rPr>
              <w:t xml:space="preserve">Tarikh / Date: 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15 June 2026</w:t>
            </w:r>
          </w:p>
        </w:tc>
      </w:tr>
    </w:tbl>
    <w:p>
      <w:pPr>
        <w:spacing w:after="3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0F2E"/>
          <w:sz w:val="22"/>
          <w:szCs w:val="22"/>
        </w:rPr>
        <w:t xml:space="preserve">Yang Berhormat Menteri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Kementerian Sains, Teknologi dan Inovasi (MOSTI)</w:t>
      </w:r>
    </w:p>
    <w:p>
      <w:pPr>
        <w:spacing w:after="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Malaysia</w:t>
      </w:r>
    </w:p>
    <w:p>
      <w:pPr>
        <w:spacing w:after="3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after="3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Yang Berhormat,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A0F2E"/>
          <w:sz w:val="22"/>
          <w:szCs w:val="22"/>
          <w:u w:val="single"/>
        </w:rPr>
        <w:t xml:space="preserve">PERKARA: PERMOHONAN KUNJUNGAN HORMAT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A0F2E"/>
          <w:sz w:val="22"/>
          <w:szCs w:val="22"/>
          <w:u w:val="single"/>
        </w:rPr>
        <w:t xml:space="preserve">RE: COURTESY VISIT REQUEST — ARUS DIGITAL SDN. BHD.</w:t>
      </w:r>
    </w:p>
    <w:p>
      <w:pPr>
        <w:spacing w:after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after="240"/>
        <w:jc w:val="both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We write on behalf of Arus Digital Sdn. Bhd., a Kuala Lumpur-based technology company, to respectfully request a 30-minute courtesy visit with Your Honourable Ministry. The visit will include a live demonstration of our flagship product,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Miccy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and an overview of our AI-native operating model and their relevance to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AI Nation 2030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— Malaysia’s national ambition, announced by YAB Prime Minister in August 2024, to achieve a top-20 global AI economy ranking and RM60 billion in AI-driven GDP contribution by 2030.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Miccy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is an AI intelligence officer built for Malaysian business leaders and GLC decision-makers. Each morning at 7:00 a.m., Miccy synthesises financial signals, competitive movements, and operational exceptions from more than 40 connected business systems — including accounting and financial reporting platforms, customer relationship and sales management systems, e-commerce and inventory platforms, and digital business analytics — and delivers a five-point prioritised brief directly to the leader’s WhatsApp. A leader reads it in under five minutes and enters the day with a clear decision list.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Miccy Command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our enterprise tier, is built to GLC-compliance standards, with structured governance reporting and multi-entity visibility across a full corporate group.</w:t>
      </w:r>
    </w:p>
    <w:p>
      <w:pPr>
        <w:spacing w:after="240"/>
        <w:jc w:val="both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Arus Digital is also a working demonstration of what AI-augmented human capital can achieve. Our three-person team operates a full-service digital agency — delivering search optimisation, paid media, content, conversion strategy, and web development — through proprietary autonomous AI agents built and operated in Kuala Lumpur, with output equivalent to that of a conventional agency many times our headcount. We raise this not as a company credential but as evidence directly relevant to Malaysia’s policy direction: if a three-person Malaysian team can sustain commercial operations at this scale using locally developed AI systems, the productivity implications for enterprise digitalisation are significant. Both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Miccy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and this operating model align with the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National AI Office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mandate launched in December 2024 under MOSTI, and with the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AI-RMAP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MyDIGITAL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objectives to develop sovereign AI capability and accelerate enterprise adoption across Malaysia.</w:t>
      </w:r>
    </w:p>
    <w:p>
      <w:pPr>
        <w:spacing w:after="240"/>
        <w:jc w:val="both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We respectfully request 30 minutes at a date and time convenient to Your Honourable Ministry. To arrange the appointment, please contact Mohd Hazim at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hello@arusdigital.com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+60 13-984 4412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We would be pleased to provide any briefing materials Your Honourable Ministry’s office may require in advance.</w:t>
      </w:r>
    </w:p>
    <w:p>
      <w:pPr>
        <w:spacing w:after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/>
      </w:r>
    </w:p>
    <w:p>
      <w:pPr>
        <w:spacing w:after="6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Yang benar,</w:t>
      </w:r>
    </w:p>
    <w:p>
      <w:pPr>
        <w:pBdr>
          <w:top w:val="single" w:color="1F49EE" w:sz="8" w:space="6"/>
        </w:pBdr>
        <w:spacing w:after="80"/>
      </w:pPr>
      <w:r>
        <w:rPr>
          <w:rFonts w:ascii="Calibri" w:cs="Calibri" w:eastAsia="Calibri" w:hAnsi="Calibri"/>
          <w:b/>
          <w:bCs/>
          <w:color w:val="0A0F2E"/>
          <w:sz w:val="23"/>
          <w:szCs w:val="23"/>
        </w:rPr>
        <w:t xml:space="preserve">MOHD HAZIM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Managing Director</w:t>
      </w:r>
    </w:p>
    <w:p>
      <w:p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Arus Digital Sdn. Bhd.</w:t>
      </w:r>
    </w:p>
    <w:p>
      <w:pPr>
        <w:spacing w:after="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hello@arusdigital.com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+60 13-984 4412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3A5FF0"/>
          <w:sz w:val="22"/>
          <w:szCs w:val="22"/>
        </w:rPr>
        <w:t xml:space="preserve">arusdigital.com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CEB" w:sz="4" w:space="8"/>
      </w:pBdr>
      <w:jc w:val="center"/>
    </w:pPr>
    <w:r>
      <w:rPr>
        <w:rFonts w:ascii="Calibri" w:cs="Calibri" w:eastAsia="Calibri" w:hAnsi="Calibri"/>
        <w:color w:val="6B74A8"/>
        <w:sz w:val="16"/>
        <w:szCs w:val="16"/>
      </w:rPr>
      <w:t xml:space="preserve">Arus Digital Sdn. Bhd.  ·  Kuala Lumpur, Malaysia  ·  arusdigital.com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098b99df63ef30e8bd697be88b8cf9c968e4f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2026-06-14T17:17:35.414Z</dcterms:created>
  <dcterms:modified xsi:type="dcterms:W3CDTF">2026-06-14T17:17:35.414Z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