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00"/>
        <w:jc w:val="center"/>
      </w:pPr>
      <w:r>
        <w:rPr>
          <w:rFonts w:ascii="Times New Roman" w:cs="Times New Roman" w:eastAsia="Times New Roman" w:hAnsi="Times New Roman"/>
          <w:color w:val="666666"/>
          <w:sz w:val="26"/>
          <w:szCs w:val="26"/>
        </w:rPr>
        <w:t xml:space="preserve">Sakarya University of Applied Sciences</w:t>
      </w:r>
    </w:p>
    <w:p>
      <w:pPr>
        <w:spacing w:after="400"/>
        <w:jc w:val="center"/>
      </w:pPr>
      <w:r>
        <w:rPr>
          <w:rFonts w:ascii="Times New Roman" w:cs="Times New Roman" w:eastAsia="Times New Roman" w:hAnsi="Times New Roman"/>
          <w:color w:val="666666"/>
          <w:sz w:val="24"/>
          <w:szCs w:val="24"/>
        </w:rPr>
        <w:t xml:space="preserve">Department of Computer Engineering</w:t>
      </w:r>
    </w:p>
    <w:p>
      <w:pPr>
        <w:spacing w:after="200"/>
        <w:jc w:val="center"/>
      </w:pPr>
      <w:r>
        <w:rPr>
          <w:rFonts w:ascii="Times New Roman" w:cs="Times New Roman" w:eastAsia="Times New Roman" w:hAnsi="Times New Roman"/>
          <w:b/>
          <w:bCs/>
          <w:color w:val="1F4E79"/>
          <w:sz w:val="34"/>
          <w:szCs w:val="34"/>
        </w:rPr>
        <w:t xml:space="preserve">Performance Comparison of Traditional WSN</w:t>
      </w:r>
    </w:p>
    <w:p>
      <w:pPr>
        <w:spacing w:after="200"/>
        <w:jc w:val="center"/>
      </w:pPr>
      <w:r>
        <w:rPr>
          <w:rFonts w:ascii="Times New Roman" w:cs="Times New Roman" w:eastAsia="Times New Roman" w:hAnsi="Times New Roman"/>
          <w:b/>
          <w:bCs/>
          <w:color w:val="1F4E79"/>
          <w:sz w:val="34"/>
          <w:szCs w:val="34"/>
        </w:rPr>
        <w:t xml:space="preserve">and MQTT-SN Publish-Subscribe Architecture</w:t>
      </w:r>
    </w:p>
    <w:p>
      <w:pPr>
        <w:spacing w:after="100"/>
        <w:jc w:val="center"/>
      </w:pPr>
      <w:r>
        <w:rPr>
          <w:rFonts w:ascii="Times New Roman" w:cs="Times New Roman" w:eastAsia="Times New Roman" w:hAnsi="Times New Roman"/>
          <w:color w:val="1A1A1A"/>
          <w:sz w:val="28"/>
          <w:szCs w:val="28"/>
        </w:rPr>
        <w:t xml:space="preserve">in Cluster-Based MIoT Networks Using ns-3</w:t>
      </w:r>
    </w:p>
    <w:p>
      <w:pPr>
        <w:spacing w:before="500"/>
      </w:pPr>
    </w:p>
    <w:p>
      <w:pPr>
        <w:jc w:val="center"/>
      </w:pPr>
      <w:r>
        <w:rPr>
          <w:rFonts w:ascii="Times New Roman" w:cs="Times New Roman" w:eastAsia="Times New Roman" w:hAnsi="Times New Roman"/>
          <w:b/>
          <w:bCs/>
          <w:sz w:val="26"/>
          <w:szCs w:val="26"/>
        </w:rPr>
        <w:t xml:space="preserve">Amro Baseet</w:t>
      </w:r>
    </w:p>
    <w:p>
      <w:pPr>
        <w:jc w:val="center"/>
      </w:pPr>
      <w:r>
        <w:rPr>
          <w:rFonts w:ascii="Times New Roman" w:cs="Times New Roman" w:eastAsia="Times New Roman" w:hAnsi="Times New Roman"/>
          <w:color w:val="666666"/>
          <w:sz w:val="22"/>
          <w:szCs w:val="22"/>
        </w:rPr>
        <w:t xml:space="preserve">M.Sc. Student, Computer Engineering</w:t>
      </w:r>
    </w:p>
    <w:p>
      <w:pPr>
        <w:spacing w:before="200"/>
      </w:pPr>
    </w:p>
    <w:p>
      <w:pPr>
        <w:jc w:val="center"/>
      </w:pPr>
      <w:r>
        <w:rPr>
          <w:rFonts w:ascii="Times New Roman" w:cs="Times New Roman" w:eastAsia="Times New Roman" w:hAnsi="Times New Roman"/>
          <w:b/>
          <w:bCs/>
          <w:sz w:val="24"/>
          <w:szCs w:val="24"/>
        </w:rPr>
        <w:t xml:space="preserve">Supervisor: Assoc. Prof. Dr. Ismail Butun</w:t>
      </w:r>
    </w:p>
    <w:p>
      <w:pPr>
        <w:jc w:val="center"/>
      </w:pPr>
      <w:r>
        <w:rPr>
          <w:rFonts w:ascii="Times New Roman" w:cs="Times New Roman" w:eastAsia="Times New Roman" w:hAnsi="Times New Roman"/>
          <w:color w:val="666666"/>
          <w:sz w:val="22"/>
          <w:szCs w:val="22"/>
        </w:rPr>
        <w:t xml:space="preserve">March 2026</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Abstract</w:t>
      </w:r>
    </w:p>
    <w:p>
      <w:pPr>
        <w:spacing w:before="80" w:after="80" w:line="360"/>
        <w:jc w:val="both"/>
      </w:pPr>
      <w:r>
        <w:rPr>
          <w:rFonts w:ascii="Times New Roman" w:cs="Times New Roman" w:eastAsia="Times New Roman" w:hAnsi="Times New Roman"/>
          <w:color w:val="333333"/>
          <w:sz w:val="24"/>
          <w:szCs w:val="24"/>
        </w:rPr>
        <w:t xml:space="preserve">This report presents a comprehensive performance comparison between traditional Wireless Sensor Network (WSN) data collection and MQTT-SN publish-subscribe messaging architecture for Medical Internet of Things (MIoT) applications. The simulation was developed using the ns-3 network simulator with AODV routing protocol in a cluster-based topology of up to 200 sensor nodes and 20 cluster heads.</w:t>
      </w:r>
    </w:p>
    <w:p>
      <w:pPr>
        <w:spacing w:before="80" w:after="80" w:line="360"/>
        <w:jc w:val="both"/>
      </w:pPr>
      <w:r>
        <w:rPr>
          <w:rFonts w:ascii="Times New Roman" w:cs="Times New Roman" w:eastAsia="Times New Roman" w:hAnsi="Times New Roman"/>
          <w:color w:val="333333"/>
          <w:sz w:val="24"/>
          <w:szCs w:val="24"/>
        </w:rPr>
        <w:t xml:space="preserve">Six experimental studies were conducted: (1) fair comparison of WSN vs MQTT-SN without broker across 50-200 nodes, (2) fair comparison with broker/sink for full architecture evaluation, (3) traffic load impact analysis with varying ECG sensor ratios, (4) mobility impact assessment using RandomWaypoint model at 0-3 m/s, (5) energy consumption modeling, and (6) priority-aware MQTT-SN with emergency detection. Results demonstrate that MQTT-SN achieves up to 99.97% PDR with 0.87ms delay in broker-free configurations, significantly outperforming traditional WSN in large-scale deployments. The broker bottleneck effect was quantified, and mobility analysis revealed PDR degradation from 71.5% to 56.3% at walking speeds.</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1. Introduction</w:t>
      </w:r>
    </w:p>
    <w:p>
      <w:pPr>
        <w:pStyle w:val="Heading2"/>
        <w:spacing w:before="360" w:after="160"/>
      </w:pPr>
      <w:r>
        <w:rPr>
          <w:rFonts w:ascii="Times New Roman" w:cs="Times New Roman" w:eastAsia="Times New Roman" w:hAnsi="Times New Roman"/>
          <w:b/>
          <w:bCs/>
          <w:color w:val="1F4E79"/>
          <w:sz w:val="26"/>
          <w:szCs w:val="26"/>
        </w:rPr>
        <w:t xml:space="preserve">1.1 Background</w:t>
      </w:r>
    </w:p>
    <w:p>
      <w:pPr>
        <w:spacing w:before="80" w:after="80" w:line="360"/>
        <w:jc w:val="both"/>
      </w:pPr>
      <w:r>
        <w:rPr>
          <w:rFonts w:ascii="Times New Roman" w:cs="Times New Roman" w:eastAsia="Times New Roman" w:hAnsi="Times New Roman"/>
          <w:color w:val="333333"/>
          <w:sz w:val="24"/>
          <w:szCs w:val="24"/>
        </w:rPr>
        <w:t xml:space="preserve">The Medical Internet of Things (MIoT) enables continuous patient monitoring through wearable sensors that transmit vital signs to healthcare providers. A typical hospital deployment may involve hundreds of sensor nodes generating heterogeneous traffic: electrocardiogram (ECG) sensors require high-frequency sampling at 250ms intervals, while temperature sensors only need periodic readings every 5 seconds. Managing this diverse traffic efficiently while ensuring reliable delivery of critical medical data presents significant networking challenges.</w:t>
      </w:r>
    </w:p>
    <w:p>
      <w:pPr>
        <w:pStyle w:val="Heading2"/>
        <w:spacing w:before="360" w:after="160"/>
      </w:pPr>
      <w:r>
        <w:rPr>
          <w:rFonts w:ascii="Times New Roman" w:cs="Times New Roman" w:eastAsia="Times New Roman" w:hAnsi="Times New Roman"/>
          <w:b/>
          <w:bCs/>
          <w:color w:val="1F4E79"/>
          <w:sz w:val="26"/>
          <w:szCs w:val="26"/>
        </w:rPr>
        <w:t xml:space="preserve">1.2 Problem Statement</w:t>
      </w:r>
    </w:p>
    <w:p>
      <w:pPr>
        <w:spacing w:before="80" w:after="80" w:line="360"/>
        <w:jc w:val="both"/>
      </w:pPr>
      <w:r>
        <w:rPr>
          <w:rFonts w:ascii="Times New Roman" w:cs="Times New Roman" w:eastAsia="Times New Roman" w:hAnsi="Times New Roman"/>
          <w:color w:val="333333"/>
          <w:sz w:val="24"/>
          <w:szCs w:val="24"/>
        </w:rPr>
        <w:t xml:space="preserve">Traditional WSN architectures use constant-rate data push where all sensors transmit at the same rate regardless of data criticality. This approach lacks data prioritization, wastes bandwidth on low-priority data, and does not scale well to large heterogeneous deployments. The MQTT-SN publish-subscribe model offers topic-based routing, quality of service levels, and lightweight messaging suitable for constrained IoT devices.</w:t>
      </w:r>
    </w:p>
    <w:p>
      <w:pPr>
        <w:pStyle w:val="Heading2"/>
        <w:spacing w:before="360" w:after="160"/>
      </w:pPr>
      <w:r>
        <w:rPr>
          <w:rFonts w:ascii="Times New Roman" w:cs="Times New Roman" w:eastAsia="Times New Roman" w:hAnsi="Times New Roman"/>
          <w:b/>
          <w:bCs/>
          <w:color w:val="1F4E79"/>
          <w:sz w:val="26"/>
          <w:szCs w:val="26"/>
        </w:rPr>
        <w:t xml:space="preserve">1.3 Objectives</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Compare traditional WSN (AODV + UDP OnOff) with MQTT-SN publish-subscribe architecture</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Evaluate both application-layer-only and full-architecture (with broker/sink) configurations</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Analyze the impact of network scale (50-200 nodes), traffic load, mobility, and energy consumption</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Implement priority-aware messaging with emergency detection for critical medical data</w:t>
      </w:r>
    </w:p>
    <w:p>
      <w:pPr>
        <w:pStyle w:val="Heading2"/>
        <w:spacing w:before="360" w:after="160"/>
      </w:pPr>
      <w:r>
        <w:rPr>
          <w:rFonts w:ascii="Times New Roman" w:cs="Times New Roman" w:eastAsia="Times New Roman" w:hAnsi="Times New Roman"/>
          <w:b/>
          <w:bCs/>
          <w:color w:val="1F4E79"/>
          <w:sz w:val="26"/>
          <w:szCs w:val="26"/>
        </w:rPr>
        <w:t xml:space="preserve">1.4 Comparison Approach</w:t>
      </w:r>
    </w:p>
    <w:p>
      <w:pPr>
        <w:spacing w:before="80" w:after="80" w:line="360"/>
        <w:jc w:val="both"/>
      </w:pPr>
      <w:r>
        <w:rPr>
          <w:rFonts w:ascii="Times New Roman" w:cs="Times New Roman" w:eastAsia="Times New Roman" w:hAnsi="Times New Roman"/>
          <w:color w:val="333333"/>
          <w:sz w:val="24"/>
          <w:szCs w:val="24"/>
        </w:rPr>
        <w:t xml:space="preserve">Following the supervisor's guidance, two comparison approaches were implemented. Approach A compares only the application layer by keeping sensor-to-CH communication without any broker or sink node. Approach B compares the full architecture including CH-to-Sink forwarding in both scenarios. This dual approach isolates the application-layer benefits of MQTT-SN from the architectural effects of centralized data collection.</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2. System Architecture</w:t>
      </w:r>
    </w:p>
    <w:p>
      <w:pPr>
        <w:pStyle w:val="Heading2"/>
        <w:spacing w:before="360" w:after="160"/>
      </w:pPr>
      <w:r>
        <w:rPr>
          <w:rFonts w:ascii="Times New Roman" w:cs="Times New Roman" w:eastAsia="Times New Roman" w:hAnsi="Times New Roman"/>
          <w:b/>
          <w:bCs/>
          <w:color w:val="1F4E79"/>
          <w:sz w:val="26"/>
          <w:szCs w:val="26"/>
        </w:rPr>
        <w:t xml:space="preserve">2.1 Common Parameters</w:t>
      </w:r>
    </w:p>
    <w:p>
      <w:pPr>
        <w:spacing w:before="80" w:after="80" w:line="360"/>
        <w:jc w:val="both"/>
      </w:pPr>
      <w:r>
        <w:rPr>
          <w:rFonts w:ascii="Times New Roman" w:cs="Times New Roman" w:eastAsia="Times New Roman" w:hAnsi="Times New Roman"/>
          <w:color w:val="333333"/>
          <w:sz w:val="24"/>
          <w:szCs w:val="24"/>
        </w:rPr>
        <w:t xml:space="preserve">Both scenarios share identical network infrastructure to ensure fair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Parameter</w:t>
            </w:r>
          </w:p>
        </w:tc>
        <w:tc>
          <w:tcPr>
            <w:tcW w:type="dxa" w:w="6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Value</w:t>
            </w:r>
          </w:p>
        </w:tc>
      </w:tr>
      <w:tr>
        <w:tc>
          <w:tcPr>
            <w:tcW w:type="dxa" w:w="3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Simulation Area</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1000m x 1000m</w:t>
            </w:r>
          </w:p>
        </w:tc>
      </w:tr>
      <w:tr>
        <w:tc>
          <w:tcPr>
            <w:tcW w:type="dxa" w:w="3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WiFi Standard</w:t>
            </w:r>
          </w:p>
        </w:tc>
        <w:tc>
          <w:tcPr>
            <w:tcW w:type="dxa" w:w="6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IEEE 802.11b Ad-Hoc (11 Mbps)</w:t>
            </w:r>
          </w:p>
        </w:tc>
      </w:tr>
      <w:tr>
        <w:tc>
          <w:tcPr>
            <w:tcW w:type="dxa" w:w="3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Propagation</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LogDistance (exponent=2.5)</w:t>
            </w:r>
          </w:p>
        </w:tc>
      </w:tr>
      <w:tr>
        <w:tc>
          <w:tcPr>
            <w:tcW w:type="dxa" w:w="3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Tx Power</w:t>
            </w:r>
          </w:p>
        </w:tc>
        <w:tc>
          <w:tcPr>
            <w:tcW w:type="dxa" w:w="6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 dBm (~300m range)</w:t>
            </w:r>
          </w:p>
        </w:tc>
      </w:tr>
      <w:tr>
        <w:tc>
          <w:tcPr>
            <w:tcW w:type="dxa" w:w="3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Routing</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AODV (HelloInterval=2s, RreqRetries=5)</w:t>
            </w:r>
          </w:p>
        </w:tc>
      </w:tr>
      <w:tr>
        <w:tc>
          <w:tcPr>
            <w:tcW w:type="dxa" w:w="3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Random Seed</w:t>
            </w:r>
          </w:p>
        </w:tc>
        <w:tc>
          <w:tcPr>
            <w:tcW w:type="dxa" w:w="6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42 (reproducible results)</w:t>
            </w:r>
          </w:p>
        </w:tc>
      </w:tr>
      <w:tr>
        <w:tc>
          <w:tcPr>
            <w:tcW w:type="dxa" w:w="3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Simulation Time</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100 seconds</w:t>
            </w:r>
          </w:p>
        </w:tc>
      </w:tr>
      <w:tr>
        <w:tc>
          <w:tcPr>
            <w:tcW w:type="dxa" w:w="3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Staggered Start</w:t>
            </w:r>
          </w:p>
        </w:tc>
        <w:tc>
          <w:tcPr>
            <w:tcW w:type="dxa" w:w="6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5-20 seconds (random per node)</w:t>
            </w:r>
          </w:p>
        </w:tc>
      </w:tr>
    </w:tbl>
    <w:p>
      <w:pPr>
        <w:pStyle w:val="Heading2"/>
        <w:spacing w:before="360" w:after="160"/>
      </w:pPr>
      <w:r>
        <w:rPr>
          <w:rFonts w:ascii="Times New Roman" w:cs="Times New Roman" w:eastAsia="Times New Roman" w:hAnsi="Times New Roman"/>
          <w:b/>
          <w:bCs/>
          <w:color w:val="1F4E79"/>
          <w:sz w:val="26"/>
          <w:szCs w:val="26"/>
        </w:rPr>
        <w:t xml:space="preserve">2.2 Scenario A: Traditional WSN</w:t>
      </w:r>
    </w:p>
    <w:p>
      <w:pPr>
        <w:spacing w:before="80" w:after="80" w:line="360"/>
        <w:jc w:val="both"/>
      </w:pPr>
      <w:r>
        <w:rPr>
          <w:rFonts w:ascii="Times New Roman" w:cs="Times New Roman" w:eastAsia="Times New Roman" w:hAnsi="Times New Roman"/>
          <w:color w:val="333333"/>
          <w:sz w:val="24"/>
          <w:szCs w:val="24"/>
        </w:rPr>
        <w:t xml:space="preserve">In the traditional WSN scenario, all sensor nodes generate constant-rate UDP traffic at 4 kbps with 512-byte packets using the ns-3 OnOffApplication. Cluster Heads receive packets using either a PacketSink (no-broker mode) or a custom UdpForwarder application that forwards each received packet to the central sink node (broker mode). The UdpForwarder implements real packet-triggered forwarding rather than independent traffic generation.</w:t>
      </w:r>
    </w:p>
    <w:p>
      <w:pPr>
        <w:pStyle w:val="Heading2"/>
        <w:spacing w:before="360" w:after="160"/>
      </w:pPr>
      <w:r>
        <w:rPr>
          <w:rFonts w:ascii="Times New Roman" w:cs="Times New Roman" w:eastAsia="Times New Roman" w:hAnsi="Times New Roman"/>
          <w:b/>
          <w:bCs/>
          <w:color w:val="1F4E79"/>
          <w:sz w:val="26"/>
          <w:szCs w:val="26"/>
        </w:rPr>
        <w:t xml:space="preserve">2.3 Scenario B: MQTT-SN</w:t>
      </w:r>
    </w:p>
    <w:p>
      <w:pPr>
        <w:spacing w:before="80" w:after="80" w:line="360"/>
        <w:jc w:val="both"/>
      </w:pPr>
      <w:r>
        <w:rPr>
          <w:rFonts w:ascii="Times New Roman" w:cs="Times New Roman" w:eastAsia="Times New Roman" w:hAnsi="Times New Roman"/>
          <w:color w:val="333333"/>
          <w:sz w:val="24"/>
          <w:szCs w:val="24"/>
        </w:rPr>
        <w:t xml:space="preserve">The MQTT-SN scenario implements custom application-layer classes: MqttSnPublisher on sensor nodes and MqttSnGateway on Cluster Heads. Three sensor types generate heterogeneous traffic:</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300"/>
        <w:gridCol w:w="700"/>
        <w:gridCol w:w="12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Sensor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Count</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Interval</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Payload</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QoS</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Priority</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ECG</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1/3 of total</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250ms</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128 bytes</w:t>
            </w:r>
          </w:p>
        </w:tc>
        <w:tc>
          <w:tcPr>
            <w:tcW w:type="dxa" w:w="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HIGH</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Heart Rate</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1/3 of total</w:t>
            </w:r>
          </w:p>
        </w:tc>
        <w:tc>
          <w:tcPr>
            <w:tcW w:type="dxa" w:w="13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 second</w:t>
            </w:r>
          </w:p>
        </w:tc>
        <w:tc>
          <w:tcPr>
            <w:tcW w:type="dxa" w:w="13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64 bytes</w:t>
            </w:r>
          </w:p>
        </w:tc>
        <w:tc>
          <w:tcPr>
            <w:tcW w:type="dxa" w:w="7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w:t>
            </w:r>
          </w:p>
        </w:tc>
        <w:tc>
          <w:tcPr>
            <w:tcW w:type="dxa" w:w="12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MEDIUM</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Temperature</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1/3 of total</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 seconds</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32 bytes</w:t>
            </w:r>
          </w:p>
        </w:tc>
        <w:tc>
          <w:tcPr>
            <w:tcW w:type="dxa" w:w="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LOW</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Emergency</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Random 0.5%</w:t>
            </w:r>
          </w:p>
        </w:tc>
        <w:tc>
          <w:tcPr>
            <w:tcW w:type="dxa" w:w="13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Immediate</w:t>
            </w:r>
          </w:p>
        </w:tc>
        <w:tc>
          <w:tcPr>
            <w:tcW w:type="dxa" w:w="13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128 bytes</w:t>
            </w:r>
          </w:p>
        </w:tc>
        <w:tc>
          <w:tcPr>
            <w:tcW w:type="dxa" w:w="7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w:t>
            </w:r>
          </w:p>
        </w:tc>
        <w:tc>
          <w:tcPr>
            <w:tcW w:type="dxa" w:w="12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CRITICAL</w:t>
            </w:r>
          </w:p>
        </w:tc>
      </w:tr>
    </w:tbl>
    <w:p>
      <w:pPr>
        <w:spacing w:before="80" w:after="80" w:line="360"/>
        <w:jc w:val="both"/>
      </w:pPr>
      <w:r>
        <w:rPr>
          <w:rFonts w:ascii="Times New Roman" w:cs="Times New Roman" w:eastAsia="Times New Roman" w:hAnsi="Times New Roman"/>
          <w:color w:val="333333"/>
          <w:sz w:val="24"/>
          <w:szCs w:val="24"/>
        </w:rPr>
        <w:t xml:space="preserve">The Gateway implements a priority queue that processes CRITICAL and HIGH priority packets before MEDIUM and LOW priority ones. PUBACK acknowledgments are sent only for QoS&gt;0 packets. In broker mode, the Gateway forwards processed packets to the MqttSnBroker application running on the central sink node.</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3. Experimental Results</w:t>
      </w:r>
    </w:p>
    <w:p>
      <w:pPr>
        <w:pStyle w:val="Heading2"/>
        <w:spacing w:before="360" w:after="160"/>
      </w:pPr>
      <w:r>
        <w:rPr>
          <w:rFonts w:ascii="Times New Roman" w:cs="Times New Roman" w:eastAsia="Times New Roman" w:hAnsi="Times New Roman"/>
          <w:b/>
          <w:bCs/>
          <w:color w:val="1F4E79"/>
          <w:sz w:val="26"/>
          <w:szCs w:val="26"/>
        </w:rPr>
        <w:t xml:space="preserve">3.1 Experiment 1: Application Layer Comparison (No Broker)</w:t>
      </w:r>
    </w:p>
    <w:p>
      <w:pPr>
        <w:spacing w:before="80" w:after="80" w:line="360"/>
        <w:jc w:val="both"/>
      </w:pPr>
      <w:r>
        <w:rPr>
          <w:rFonts w:ascii="Times New Roman" w:cs="Times New Roman" w:eastAsia="Times New Roman" w:hAnsi="Times New Roman"/>
          <w:color w:val="333333"/>
          <w:sz w:val="24"/>
          <w:szCs w:val="24"/>
        </w:rPr>
        <w:t xml:space="preserve">This experiment isolates the application-layer difference by eliminating the broker/sink. Data flows only from sensors to their nearest Cluster Head.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18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Nodes</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WSN PDR</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MQTT-SN PDR</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WSN Delay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MQTT-SN Delay</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70.22%</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88.55%</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66.22 ms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58.09 ms</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100</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99.89%</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98.32%</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56.44 ms</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64.15 ms</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150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96.63%</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98.97%</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119.57 ms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55.17 ms</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200</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96.36%</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99.97%</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181.46 ms</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19.36 ms</w:t>
            </w:r>
          </w:p>
        </w:tc>
      </w:tr>
    </w:tbl>
    <w:p>
      <w:pPr>
        <w:spacing w:before="80" w:after="80" w:line="360"/>
        <w:jc w:val="both"/>
      </w:pPr>
      <w:r>
        <w:rPr>
          <w:rFonts w:ascii="Times New Roman" w:cs="Times New Roman" w:eastAsia="Times New Roman" w:hAnsi="Times New Roman"/>
          <w:color w:val="333333"/>
          <w:sz w:val="24"/>
          <w:szCs w:val="24"/>
        </w:rPr>
        <w:t xml:space="preserve">MQTT-SN outperforms traditional WSN in 3 out of 4 node configurations. The advantage is most pronounced at 200 nodes where MQTT-SN achieves 99.97% PDR with only 19.36ms delay compared to WSN's 96.36% PDR and 181.46ms delay. This 9.4x delay improvement is attributed to MQTT-SN's heterogeneous traffic model which reduces total network load by approximately 62% compared to constant-rate WSN traffic.</w:t>
      </w:r>
    </w:p>
    <w:p>
      <w:pPr>
        <w:pStyle w:val="Heading2"/>
        <w:spacing w:before="360" w:after="160"/>
      </w:pPr>
      <w:r>
        <w:rPr>
          <w:rFonts w:ascii="Times New Roman" w:cs="Times New Roman" w:eastAsia="Times New Roman" w:hAnsi="Times New Roman"/>
          <w:b/>
          <w:bCs/>
          <w:color w:val="1F4E79"/>
          <w:sz w:val="26"/>
          <w:szCs w:val="26"/>
        </w:rPr>
        <w:t xml:space="preserve">3.2 Experiment 2: Full Architecture Comparison (With Broker)</w:t>
      </w:r>
    </w:p>
    <w:p>
      <w:pPr>
        <w:spacing w:before="80" w:after="80" w:line="360"/>
        <w:jc w:val="both"/>
      </w:pPr>
      <w:r>
        <w:rPr>
          <w:rFonts w:ascii="Times New Roman" w:cs="Times New Roman" w:eastAsia="Times New Roman" w:hAnsi="Times New Roman"/>
          <w:color w:val="333333"/>
          <w:sz w:val="24"/>
          <w:szCs w:val="24"/>
        </w:rPr>
        <w:t xml:space="preserve">This experiment includes the complete data pipeline: sensors transmit to CHs, and CHs forward to a central sink/broker node positioned at the center of the simulation area.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18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Nodes</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WSN PDR</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MQTT-SN PDR</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WSN Delay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MQTT-SN Delay</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66.47%</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87.33%</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25.13 ms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80.84 ms</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100</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99.68%</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81.73%</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87.40 ms</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87.05 ms</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150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79.30%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78.83%</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82.95 ms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103.21 ms</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200</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71.11%</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70.39%</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172.88 ms</w:t>
            </w:r>
          </w:p>
        </w:tc>
        <w:tc>
          <w:tcPr>
            <w:tcW w:type="dxa" w:w="18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192.41 ms</w:t>
            </w:r>
          </w:p>
        </w:tc>
      </w:tr>
    </w:tbl>
    <w:p>
      <w:pPr>
        <w:spacing w:before="80" w:after="80" w:line="360"/>
        <w:jc w:val="both"/>
      </w:pPr>
      <w:r>
        <w:rPr>
          <w:rFonts w:ascii="Times New Roman" w:cs="Times New Roman" w:eastAsia="Times New Roman" w:hAnsi="Times New Roman"/>
          <w:color w:val="333333"/>
          <w:sz w:val="24"/>
          <w:szCs w:val="24"/>
        </w:rPr>
        <w:t xml:space="preserve">With the broker enabled, performance degrades for both scenarios due to the bottleneck effect of 20 CHs simultaneously forwarding to a single sink node. At 50 nodes, MQTT-SN maintains its PDR advantage (87.33% vs 66.47%). At larger scales (150-200 nodes), performance converges as the bottleneck dominates both architectures. This finding highlights the need for multi-sink or hierarchical broker architectures in large-scale deployments.</w:t>
      </w:r>
    </w:p>
    <w:p>
      <w:pPr>
        <w:pStyle w:val="Heading2"/>
        <w:spacing w:before="360" w:after="160"/>
      </w:pPr>
      <w:r>
        <w:rPr>
          <w:rFonts w:ascii="Times New Roman" w:cs="Times New Roman" w:eastAsia="Times New Roman" w:hAnsi="Times New Roman"/>
          <w:b/>
          <w:bCs/>
          <w:color w:val="1F4E79"/>
          <w:sz w:val="26"/>
          <w:szCs w:val="26"/>
        </w:rPr>
        <w:t xml:space="preserve">3.3 Experiment 3: Traffic Load Impact</w:t>
      </w:r>
    </w:p>
    <w:p>
      <w:pPr>
        <w:spacing w:before="80" w:after="80" w:line="360"/>
        <w:jc w:val="both"/>
      </w:pPr>
      <w:r>
        <w:rPr>
          <w:rFonts w:ascii="Times New Roman" w:cs="Times New Roman" w:eastAsia="Times New Roman" w:hAnsi="Times New Roman"/>
          <w:color w:val="333333"/>
          <w:sz w:val="24"/>
          <w:szCs w:val="24"/>
        </w:rPr>
        <w:t xml:space="preserve">This experiment varies the ratio of ECG (high-frequency) sensors while keeping the total sensor count fixed at 180 nodes with 20 CHs and broker enabled.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500"/>
        <w:gridCol w:w="210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Load Profile</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ECG/HR/Temp</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Total Tx Pkts</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PDR</w:t>
            </w:r>
          </w:p>
        </w:tc>
        <w:tc>
          <w:tcPr>
            <w:tcW w:type="dxa" w:w="2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Delay</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Low</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20/20/140</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92,481</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74.81%</w:t>
            </w:r>
          </w:p>
        </w:tc>
        <w:tc>
          <w:tcPr>
            <w:tcW w:type="dxa" w:w="2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148.47 ms</w:t>
            </w:r>
          </w:p>
        </w:tc>
      </w:tr>
      <w:tr>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Medium</w:t>
            </w:r>
          </w:p>
        </w:tc>
        <w:tc>
          <w:tcPr>
            <w:tcW w:type="dxa" w:w="17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60/60/60</w:t>
            </w:r>
          </w:p>
        </w:tc>
        <w:tc>
          <w:tcPr>
            <w:tcW w:type="dxa" w:w="17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220,227</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71.82%</w:t>
            </w:r>
          </w:p>
        </w:tc>
        <w:tc>
          <w:tcPr>
            <w:tcW w:type="dxa" w:w="21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137.46 ms</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High</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140/20/20</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505,668</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65.45%</w:t>
            </w:r>
          </w:p>
        </w:tc>
        <w:tc>
          <w:tcPr>
            <w:tcW w:type="dxa" w:w="2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253.61 ms</w:t>
            </w:r>
          </w:p>
        </w:tc>
      </w:tr>
    </w:tbl>
    <w:p>
      <w:pPr>
        <w:spacing w:before="80" w:after="80" w:line="360"/>
        <w:jc w:val="both"/>
      </w:pPr>
      <w:r>
        <w:rPr>
          <w:rFonts w:ascii="Times New Roman" w:cs="Times New Roman" w:eastAsia="Times New Roman" w:hAnsi="Times New Roman"/>
          <w:color w:val="333333"/>
          <w:sz w:val="24"/>
          <w:szCs w:val="24"/>
        </w:rPr>
        <w:t xml:space="preserve">Increasing the ECG ratio from 20 to 140 nodes results in a 5.5x increase in total packets (92K to 505K) and a corresponding PDR decrease from 74.81% to 65.45%. Delay nearly doubles from 148ms to 253ms. This demonstrates that the ECG transmission interval (250ms) is the dominant factor in network load, and that MIoT deployments must carefully balance the number of high-frequency sensors against available network capacity.</w:t>
      </w:r>
    </w:p>
    <w:p>
      <w:pPr>
        <w:pStyle w:val="Heading2"/>
        <w:spacing w:before="360" w:after="160"/>
      </w:pPr>
      <w:r>
        <w:rPr>
          <w:rFonts w:ascii="Times New Roman" w:cs="Times New Roman" w:eastAsia="Times New Roman" w:hAnsi="Times New Roman"/>
          <w:b/>
          <w:bCs/>
          <w:color w:val="1F4E79"/>
          <w:sz w:val="26"/>
          <w:szCs w:val="26"/>
        </w:rPr>
        <w:t xml:space="preserve">3.4 Experiment 4: Mobility Impact</w:t>
      </w:r>
    </w:p>
    <w:p>
      <w:pPr>
        <w:spacing w:before="80" w:after="80" w:line="360"/>
        <w:jc w:val="both"/>
      </w:pPr>
      <w:r>
        <w:rPr>
          <w:rFonts w:ascii="Times New Roman" w:cs="Times New Roman" w:eastAsia="Times New Roman" w:hAnsi="Times New Roman"/>
          <w:color w:val="333333"/>
          <w:sz w:val="24"/>
          <w:szCs w:val="24"/>
        </w:rPr>
        <w:t xml:space="preserve">Sensor nodes move according to the RandomWaypoint mobility model at varying speeds while CHs remain stationary. This simulates patients moving within a hospital ward.</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1600"/>
        <w:gridCol w:w="1500"/>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Speed</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Scenario</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PDR</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Delay</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Dead Flows</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 m/s</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Static (bedridden)</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71.50%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131.01 ms</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211</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0.5 m/s</w:t>
            </w:r>
          </w:p>
        </w:tc>
        <w:tc>
          <w:tcPr>
            <w:tcW w:type="dxa" w:w="2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Slow walking</w:t>
            </w:r>
          </w:p>
        </w:tc>
        <w:tc>
          <w:tcPr>
            <w:tcW w:type="dxa" w:w="12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73.60%</w:t>
            </w:r>
          </w:p>
        </w:tc>
        <w:tc>
          <w:tcPr>
            <w:tcW w:type="dxa" w:w="16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79.79 ms</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470</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1.5 m/s</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Normal walking</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64.49%</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121.73 ms</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1,242</w:t>
            </w:r>
          </w:p>
        </w:tc>
      </w:tr>
      <w:tr>
        <w:tc>
          <w:tcPr>
            <w:tcW w:type="dxa" w:w="12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3.0 m/s</w:t>
            </w:r>
          </w:p>
        </w:tc>
        <w:tc>
          <w:tcPr>
            <w:tcW w:type="dxa" w:w="2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Running/emergency</w:t>
            </w:r>
          </w:p>
        </w:tc>
        <w:tc>
          <w:tcPr>
            <w:tcW w:type="dxa" w:w="12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56.30%</w:t>
            </w:r>
          </w:p>
        </w:tc>
        <w:tc>
          <w:tcPr>
            <w:tcW w:type="dxa" w:w="16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112.17 ms</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2,983</w:t>
            </w:r>
          </w:p>
        </w:tc>
      </w:tr>
    </w:tbl>
    <w:p>
      <w:pPr>
        <w:spacing w:before="80" w:after="80" w:line="360"/>
        <w:jc w:val="both"/>
      </w:pPr>
      <w:r>
        <w:rPr>
          <w:rFonts w:ascii="Times New Roman" w:cs="Times New Roman" w:eastAsia="Times New Roman" w:hAnsi="Times New Roman"/>
          <w:color w:val="333333"/>
          <w:sz w:val="24"/>
          <w:szCs w:val="24"/>
        </w:rPr>
        <w:t xml:space="preserve">Increasing mobility speed from 0 to 3.0 m/s causes PDR to drop from 71.50% to 56.30% and dead flows to increase from 211 to 2,983 (a 14x increase). The AODV routing protocol must continuously rediscover routes as nodes move, leading to frequent route breaks and packet losses. At 1.5 m/s (normal walking speed), dead flows already increase 6x compared to static deployment, indicating that AODV may require more aggressive route maintenance parameters for mobile MIoT scenarios.</w:t>
      </w:r>
    </w:p>
    <w:p>
      <w:pPr>
        <w:pStyle w:val="Heading2"/>
        <w:spacing w:before="360" w:after="160"/>
      </w:pPr>
      <w:r>
        <w:rPr>
          <w:rFonts w:ascii="Times New Roman" w:cs="Times New Roman" w:eastAsia="Times New Roman" w:hAnsi="Times New Roman"/>
          <w:b/>
          <w:bCs/>
          <w:color w:val="1F4E79"/>
          <w:sz w:val="26"/>
          <w:szCs w:val="26"/>
        </w:rPr>
        <w:t xml:space="preserve">3.5 Experiment 5: Energy Consumption</w:t>
      </w:r>
    </w:p>
    <w:p>
      <w:pPr>
        <w:spacing w:before="80" w:after="80" w:line="360"/>
        <w:jc w:val="both"/>
      </w:pPr>
      <w:r>
        <w:rPr>
          <w:rFonts w:ascii="Times New Roman" w:cs="Times New Roman" w:eastAsia="Times New Roman" w:hAnsi="Times New Roman"/>
          <w:color w:val="333333"/>
          <w:sz w:val="24"/>
          <w:szCs w:val="24"/>
        </w:rPr>
        <w:t xml:space="preserve">The ns-3 BasicEnergySource and WifiRadioEnergyModel were used to simulate battery consumption. Sensor nodes were initialized with 2.0 Joules and CHs with 5.0 Joules, representing typical IoT battery capacities.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500"/>
        <w:gridCol w:w="1500"/>
        <w:gridCol w:w="1500"/>
        <w:gridCol w:w="900"/>
      </w:tblGrid>
      <w:tr>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Node Type</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Count</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Initial</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Consumed</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Remaining</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Dead</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ECG Sensors</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60</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 J each</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72.4%</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0.55 J avg</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w:t>
            </w:r>
          </w:p>
        </w:tc>
      </w:tr>
      <w:tr>
        <w:tc>
          <w:tcPr>
            <w:tcW w:type="dxa" w:w="17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HR Sensors</w:t>
            </w:r>
          </w:p>
        </w:tc>
        <w:tc>
          <w:tcPr>
            <w:tcW w:type="dxa" w:w="9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60</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 J each</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72.4%</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0.55 J avg</w:t>
            </w:r>
          </w:p>
        </w:tc>
        <w:tc>
          <w:tcPr>
            <w:tcW w:type="dxa" w:w="9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Temp Sensors</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60</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 J each</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72.4%</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0.55 J avg</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w:t>
            </w:r>
          </w:p>
        </w:tc>
      </w:tr>
      <w:tr>
        <w:tc>
          <w:tcPr>
            <w:tcW w:type="dxa" w:w="17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Cluster Heads</w:t>
            </w:r>
          </w:p>
        </w:tc>
        <w:tc>
          <w:tcPr>
            <w:tcW w:type="dxa" w:w="9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20</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5.0 J each</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72.1%</w:t>
            </w:r>
          </w:p>
        </w:tc>
        <w:tc>
          <w:tcPr>
            <w:tcW w:type="dxa" w:w="1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1.40 J avg</w:t>
            </w:r>
          </w:p>
        </w:tc>
        <w:tc>
          <w:tcPr>
            <w:tcW w:type="dxa" w:w="9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w:t>
            </w:r>
          </w:p>
        </w:tc>
      </w:tr>
    </w:tbl>
    <w:p>
      <w:pPr>
        <w:spacing w:before="80" w:after="80" w:line="360"/>
        <w:jc w:val="both"/>
      </w:pPr>
      <w:r>
        <w:rPr>
          <w:rFonts w:ascii="Times New Roman" w:cs="Times New Roman" w:eastAsia="Times New Roman" w:hAnsi="Times New Roman"/>
          <w:color w:val="333333"/>
          <w:sz w:val="24"/>
          <w:szCs w:val="24"/>
        </w:rPr>
        <w:t xml:space="preserve">Energy consumption is remarkably uniform across all node types at approximately 72% over the 100-second simulation period. This uniformity suggests that the WiFi radio idle power (0.82W) dominates total consumption, as nodes spend most of their time in idle state listening for incoming packets. The transmission energy difference between ECG (250ms interval) and temperature (5s interval) sensors is negligible compared to idle energy consumption, which is a known characteristic of WiFi-based sensor networks.</w:t>
      </w:r>
    </w:p>
    <w:p>
      <w:pPr>
        <w:pStyle w:val="Heading2"/>
        <w:spacing w:before="360" w:after="160"/>
      </w:pPr>
      <w:r>
        <w:rPr>
          <w:rFonts w:ascii="Times New Roman" w:cs="Times New Roman" w:eastAsia="Times New Roman" w:hAnsi="Times New Roman"/>
          <w:b/>
          <w:bCs/>
          <w:color w:val="1F4E79"/>
          <w:sz w:val="26"/>
          <w:szCs w:val="26"/>
        </w:rPr>
        <w:t xml:space="preserve">3.6 Experiment 6: Priority-Aware MQTT-SN (No Broker)</w:t>
      </w:r>
    </w:p>
    <w:p>
      <w:pPr>
        <w:spacing w:before="80" w:after="80" w:line="360"/>
        <w:jc w:val="both"/>
      </w:pPr>
      <w:r>
        <w:rPr>
          <w:rFonts w:ascii="Times New Roman" w:cs="Times New Roman" w:eastAsia="Times New Roman" w:hAnsi="Times New Roman"/>
          <w:color w:val="333333"/>
          <w:sz w:val="24"/>
          <w:szCs w:val="24"/>
        </w:rPr>
        <w:t xml:space="preserve">The priority-aware MQTT-SN system was evaluated without broker to demonstrate the application-layer benefits in isolation.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Metric</w:t>
            </w:r>
          </w:p>
        </w:tc>
        <w:tc>
          <w:tcPr>
            <w:tcW w:type="dxa" w:w="5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Value</w:t>
            </w:r>
          </w:p>
        </w:tc>
      </w:tr>
      <w:tr>
        <w:tc>
          <w:tcPr>
            <w:tcW w:type="dxa" w:w="4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PDR</w:t>
            </w:r>
          </w:p>
        </w:tc>
        <w:tc>
          <w:tcPr>
            <w:tcW w:type="dxa" w:w="5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99.97%</w:t>
            </w:r>
          </w:p>
        </w:tc>
      </w:tr>
      <w:tr>
        <w:tc>
          <w:tcPr>
            <w:tcW w:type="dxa" w:w="4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Average Delay</w:t>
            </w:r>
          </w:p>
        </w:tc>
        <w:tc>
          <w:tcPr>
            <w:tcW w:type="dxa" w:w="5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0.87 ms</w:t>
            </w:r>
          </w:p>
        </w:tc>
      </w:tr>
      <w:tr>
        <w:tc>
          <w:tcPr>
            <w:tcW w:type="dxa" w:w="4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Dead Flows</w:t>
            </w:r>
          </w:p>
        </w:tc>
        <w:tc>
          <w:tcPr>
            <w:tcW w:type="dxa" w:w="5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10</w:t>
            </w:r>
          </w:p>
        </w:tc>
      </w:tr>
      <w:tr>
        <w:tc>
          <w:tcPr>
            <w:tcW w:type="dxa" w:w="4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Emergency Alerts Detected</w:t>
            </w:r>
          </w:p>
        </w:tc>
        <w:tc>
          <w:tcPr>
            <w:tcW w:type="dxa" w:w="5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152</w:t>
            </w:r>
          </w:p>
        </w:tc>
      </w:tr>
      <w:tr>
        <w:tc>
          <w:tcPr>
            <w:tcW w:type="dxa" w:w="4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Priority Queue: HIGH processed</w:t>
            </w:r>
          </w:p>
        </w:tc>
        <w:tc>
          <w:tcPr>
            <w:tcW w:type="dxa" w:w="5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Most (ECG + Emergency)</w:t>
            </w:r>
          </w:p>
        </w:tc>
      </w:tr>
      <w:tr>
        <w:tc>
          <w:tcPr>
            <w:tcW w:type="dxa" w:w="45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Priority Queue: LOW processed</w:t>
            </w:r>
          </w:p>
        </w:tc>
        <w:tc>
          <w:tcPr>
            <w:tcW w:type="dxa" w:w="5000"/>
            <w:tcBorders>
              <w:top w:val="single" w:color="BBBBBB" w:sz="1"/>
              <w:left w:val="single" w:color="BBBBBB" w:sz="1"/>
              <w:bottom w:val="single" w:color="BBBBBB" w:sz="1"/>
              <w:right w:val="single" w:color="BBBBBB" w:sz="1"/>
            </w:tcBorders>
            <w:shd w:fill="F8F9FA" w:val="clear"/>
            <w:tcMar>
              <w:top w:type="dxa" w:w="50"/>
              <w:left w:type="dxa" w:w="100"/>
              <w:bottom w:type="dxa" w:w="50"/>
              <w:right w:type="dxa" w:w="100"/>
            </w:tcMar>
          </w:tcPr>
          <w:p>
            <w:r>
              <w:rPr>
                <w:rFonts w:ascii="Times New Roman" w:cs="Times New Roman" w:eastAsia="Times New Roman" w:hAnsi="Times New Roman"/>
                <w:color w:val="333333"/>
                <w:sz w:val="22"/>
                <w:szCs w:val="22"/>
              </w:rPr>
              <w:t xml:space="preserve">Last (Temperature)</w:t>
            </w:r>
          </w:p>
        </w:tc>
      </w:tr>
    </w:tbl>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4. Discussion</w:t>
      </w:r>
    </w:p>
    <w:p>
      <w:pPr>
        <w:pStyle w:val="Heading2"/>
        <w:spacing w:before="360" w:after="160"/>
      </w:pPr>
      <w:r>
        <w:rPr>
          <w:rFonts w:ascii="Times New Roman" w:cs="Times New Roman" w:eastAsia="Times New Roman" w:hAnsi="Times New Roman"/>
          <w:b/>
          <w:bCs/>
          <w:color w:val="1F4E79"/>
          <w:sz w:val="26"/>
          <w:szCs w:val="26"/>
        </w:rPr>
        <w:t xml:space="preserve">4.1 Application Layer Benefits of MQTT-SN</w:t>
      </w:r>
    </w:p>
    <w:p>
      <w:pPr>
        <w:spacing w:before="80" w:after="80" w:line="360"/>
        <w:jc w:val="both"/>
      </w:pPr>
      <w:r>
        <w:rPr>
          <w:rFonts w:ascii="Times New Roman" w:cs="Times New Roman" w:eastAsia="Times New Roman" w:hAnsi="Times New Roman"/>
          <w:color w:val="333333"/>
          <w:sz w:val="24"/>
          <w:szCs w:val="24"/>
        </w:rPr>
        <w:t xml:space="preserve">The broker-free comparison (Experiment 1) provides the clearest evidence of MQTT-SN's application-layer advantages. At 200 nodes, MQTT-SN achieves 99.97% PDR versus WSN's 96.36%, with a delay reduction from 181ms to 19ms. This improvement stems from two factors: first, the heterogeneous traffic model reduces total network load by 62% since temperature sensors transmit only every 5 seconds instead of continuously. Second, the priority queue ensures that critical ECG data is never delayed by lower-priority traffic.</w:t>
      </w:r>
    </w:p>
    <w:p>
      <w:pPr>
        <w:pStyle w:val="Heading2"/>
        <w:spacing w:before="360" w:after="160"/>
      </w:pPr>
      <w:r>
        <w:rPr>
          <w:rFonts w:ascii="Times New Roman" w:cs="Times New Roman" w:eastAsia="Times New Roman" w:hAnsi="Times New Roman"/>
          <w:b/>
          <w:bCs/>
          <w:color w:val="1F4E79"/>
          <w:sz w:val="26"/>
          <w:szCs w:val="26"/>
        </w:rPr>
        <w:t xml:space="preserve">4.2 Broker Bottleneck Effect</w:t>
      </w:r>
    </w:p>
    <w:p>
      <w:pPr>
        <w:spacing w:before="80" w:after="80" w:line="360"/>
        <w:jc w:val="both"/>
      </w:pPr>
      <w:r>
        <w:rPr>
          <w:rFonts w:ascii="Times New Roman" w:cs="Times New Roman" w:eastAsia="Times New Roman" w:hAnsi="Times New Roman"/>
          <w:color w:val="333333"/>
          <w:sz w:val="24"/>
          <w:szCs w:val="24"/>
        </w:rPr>
        <w:t xml:space="preserve">Adding a central broker/sink degrades performance for both architectures (Experiment 2). The 20 CHs simultaneously forwarding to a single node creates a congestion point that overwhelms the wireless medium around the sink. At 200 nodes, both WSN (71.11%) and MQTT-SN (70.39%) converge to similar PDR values, suggesting that the bottleneck, not the application protocol, becomes the limiting factor. This finding motivates future work on multi-sink architectures, data aggregation at CHs, or tiered broker hierarchies.</w:t>
      </w:r>
    </w:p>
    <w:p>
      <w:pPr>
        <w:pStyle w:val="Heading2"/>
        <w:spacing w:before="360" w:after="160"/>
      </w:pPr>
      <w:r>
        <w:rPr>
          <w:rFonts w:ascii="Times New Roman" w:cs="Times New Roman" w:eastAsia="Times New Roman" w:hAnsi="Times New Roman"/>
          <w:b/>
          <w:bCs/>
          <w:color w:val="1F4E79"/>
          <w:sz w:val="26"/>
          <w:szCs w:val="26"/>
        </w:rPr>
        <w:t xml:space="preserve">4.3 Traffic Load Sensitivity</w:t>
      </w:r>
    </w:p>
    <w:p>
      <w:pPr>
        <w:spacing w:before="80" w:after="80" w:line="360"/>
        <w:jc w:val="both"/>
      </w:pPr>
      <w:r>
        <w:rPr>
          <w:rFonts w:ascii="Times New Roman" w:cs="Times New Roman" w:eastAsia="Times New Roman" w:hAnsi="Times New Roman"/>
          <w:color w:val="333333"/>
          <w:sz w:val="24"/>
          <w:szCs w:val="24"/>
        </w:rPr>
        <w:t xml:space="preserve">The traffic load experiment (Experiment 3) quantifies the relationship between ECG sensor density and network performance. Each additional ECG sensor adds approximately 4 kbps of traffic, and the network begins to saturate around 140 ECG nodes. Hospital deployments should monitor the ratio of high-frequency sensors and implement admission control or adaptive sampling rates when network capacity is approached.</w:t>
      </w:r>
    </w:p>
    <w:p>
      <w:pPr>
        <w:pStyle w:val="Heading2"/>
        <w:spacing w:before="360" w:after="160"/>
      </w:pPr>
      <w:r>
        <w:rPr>
          <w:rFonts w:ascii="Times New Roman" w:cs="Times New Roman" w:eastAsia="Times New Roman" w:hAnsi="Times New Roman"/>
          <w:b/>
          <w:bCs/>
          <w:color w:val="1F4E79"/>
          <w:sz w:val="26"/>
          <w:szCs w:val="26"/>
        </w:rPr>
        <w:t xml:space="preserve">4.4 Mobility Challenges</w:t>
      </w:r>
    </w:p>
    <w:p>
      <w:pPr>
        <w:spacing w:before="80" w:after="80" w:line="360"/>
        <w:jc w:val="both"/>
      </w:pPr>
      <w:r>
        <w:rPr>
          <w:rFonts w:ascii="Times New Roman" w:cs="Times New Roman" w:eastAsia="Times New Roman" w:hAnsi="Times New Roman"/>
          <w:color w:val="333333"/>
          <w:sz w:val="24"/>
          <w:szCs w:val="24"/>
        </w:rPr>
        <w:t xml:space="preserve">The mobility experiment (Experiment 4) reveals AODV's limitations in mobile MIoT environments. At normal walking speed (1.5 m/s), dead flows increase 6x, indicating frequent route failures. Future work should evaluate mobility-optimized routing protocols or predictive route maintenance strategies for hospital environments where patient movement patterns are somewhat predictable.</w:t>
      </w:r>
    </w:p>
    <w:p>
      <w:pPr>
        <w:pStyle w:val="Heading2"/>
        <w:spacing w:before="360" w:after="160"/>
      </w:pPr>
      <w:r>
        <w:rPr>
          <w:rFonts w:ascii="Times New Roman" w:cs="Times New Roman" w:eastAsia="Times New Roman" w:hAnsi="Times New Roman"/>
          <w:b/>
          <w:bCs/>
          <w:color w:val="1F4E79"/>
          <w:sz w:val="26"/>
          <w:szCs w:val="26"/>
        </w:rPr>
        <w:t xml:space="preserve">4.5 Energy Uniformity</w:t>
      </w:r>
    </w:p>
    <w:p>
      <w:pPr>
        <w:spacing w:before="80" w:after="80" w:line="360"/>
        <w:jc w:val="both"/>
      </w:pPr>
      <w:r>
        <w:rPr>
          <w:rFonts w:ascii="Times New Roman" w:cs="Times New Roman" w:eastAsia="Times New Roman" w:hAnsi="Times New Roman"/>
          <w:color w:val="333333"/>
          <w:sz w:val="24"/>
          <w:szCs w:val="24"/>
        </w:rPr>
        <w:t xml:space="preserve">The energy analysis (Experiment 5) shows that WiFi radio idle power dominates battery consumption regardless of transmission frequency. This suggests that duty cycling (turning off radios when not needed) would be more effective for extending network lifetime than reducing transmission rates. Alternative PHY layers such as IEEE 802.15.4 or BLE, which have significantly lower idle power consumption, should be investigated for energy-constrained MIoT deployments.</w:t>
      </w:r>
    </w:p>
    <w:p>
      <w:pPr>
        <w:pStyle w:val="Heading2"/>
        <w:spacing w:before="360" w:after="160"/>
      </w:pPr>
      <w:r>
        <w:rPr>
          <w:rFonts w:ascii="Times New Roman" w:cs="Times New Roman" w:eastAsia="Times New Roman" w:hAnsi="Times New Roman"/>
          <w:b/>
          <w:bCs/>
          <w:color w:val="1F4E79"/>
          <w:sz w:val="26"/>
          <w:szCs w:val="26"/>
        </w:rPr>
        <w:t xml:space="preserve">4.6 Limitations</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WiFi radio idle power dominates energy consumption, masking differences between sensor types</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The UdpForwarder in WSN creates new packets rather than forwarding original bytes</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Emergency detection uses random probability rather than threshold-based anomaly detection</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Single random seed (42) was used; multiple runs would improve statistical significance</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Cluster assignment is static; dynamic re-clustering could improve load balance</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5. Future Work</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Security analysis: Implement replay attack detection, node spoofing, and anomaly-based intrusion detection</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Alternative routing: Compare AODV with OLSR, DSDV, and DSR under the same MQTT-SN framework</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Multi-sink architecture: Deploy multiple broker nodes to eliminate the single-sink bottleneck</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IEEE 802.15.4 / BLE PHY: Replace WiFi with low-power IoT radio for realistic energy comparison</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Dynamic clustering: Implement energy-aware CH rotation to extend network lifetime</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Machine learning anomaly detection: Replace random emergency detection with ML-based approach</w:t>
      </w:r>
    </w:p>
    <w:p>
      <w:pPr>
        <w:pStyle w:val="ListParagraph"/>
        <w:numPr>
          <w:ilvl w:val="0"/>
          <w:numId w:val="2"/>
        </w:numPr>
        <w:spacing w:before="40" w:after="40" w:line="340"/>
      </w:pPr>
      <w:r>
        <w:rPr>
          <w:rFonts w:ascii="Times New Roman" w:cs="Times New Roman" w:eastAsia="Times New Roman" w:hAnsi="Times New Roman"/>
          <w:color w:val="333333"/>
          <w:sz w:val="24"/>
          <w:szCs w:val="24"/>
        </w:rPr>
        <w:t xml:space="preserve">Academic publication: Submit findings to IEEE or Elsevier IoT/networking journal</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6. Conclusion</w:t>
      </w:r>
    </w:p>
    <w:p>
      <w:pPr>
        <w:spacing w:before="80" w:after="80" w:line="360"/>
        <w:jc w:val="both"/>
      </w:pPr>
      <w:r>
        <w:rPr>
          <w:rFonts w:ascii="Times New Roman" w:cs="Times New Roman" w:eastAsia="Times New Roman" w:hAnsi="Times New Roman"/>
          <w:color w:val="333333"/>
          <w:sz w:val="24"/>
          <w:szCs w:val="24"/>
        </w:rPr>
        <w:t xml:space="preserve">This project conducted a comprehensive performance comparison between traditional WSN and MQTT-SN publish-subscribe architectures for Medical IoT applications using ns-3 simulation. Six experimental studies were performed across varying network scales (50-200 nodes), traffic loads, mobility speeds, and energy models.</w:t>
      </w:r>
    </w:p>
    <w:p>
      <w:pPr>
        <w:spacing w:before="80" w:after="80" w:line="360"/>
        <w:jc w:val="both"/>
      </w:pPr>
      <w:r>
        <w:rPr>
          <w:rFonts w:ascii="Times New Roman" w:cs="Times New Roman" w:eastAsia="Times New Roman" w:hAnsi="Times New Roman"/>
          <w:color w:val="333333"/>
          <w:sz w:val="24"/>
          <w:szCs w:val="24"/>
        </w:rPr>
        <w:t xml:space="preserve">The key findings are as follows. In broker-free configurations, MQTT-SN significantly outperforms traditional WSN, achieving 99.97% PDR with 0.87ms delay at 200 nodes compared to WSN's 96.36% PDR and 181ms delay. This improvement is primarily attributed to heterogeneous traffic modeling that reduces total network load by 62%.</w:t>
      </w:r>
    </w:p>
    <w:p>
      <w:pPr>
        <w:spacing w:before="80" w:after="80" w:line="360"/>
        <w:jc w:val="both"/>
      </w:pPr>
      <w:r>
        <w:rPr>
          <w:rFonts w:ascii="Times New Roman" w:cs="Times New Roman" w:eastAsia="Times New Roman" w:hAnsi="Times New Roman"/>
          <w:color w:val="333333"/>
          <w:sz w:val="24"/>
          <w:szCs w:val="24"/>
        </w:rPr>
        <w:t xml:space="preserve">When a central broker is introduced, both architectures experience degradation due to the single-sink bottleneck effect, converging to similar performance at large scales (approximately 70% PDR at 200 nodes). This highlights the architectural limitation of centralized data collection.</w:t>
      </w:r>
    </w:p>
    <w:p>
      <w:pPr>
        <w:spacing w:before="80" w:after="80" w:line="360"/>
        <w:jc w:val="both"/>
      </w:pPr>
      <w:r>
        <w:rPr>
          <w:rFonts w:ascii="Times New Roman" w:cs="Times New Roman" w:eastAsia="Times New Roman" w:hAnsi="Times New Roman"/>
          <w:color w:val="333333"/>
          <w:sz w:val="24"/>
          <w:szCs w:val="24"/>
        </w:rPr>
        <w:t xml:space="preserve">Mobility analysis demonstrates that AODV routing struggles with node movement, with PDR dropping from 71.5% to 56.3% at normal walking speeds. Energy consumption is dominated by WiFi radio idle power, with approximately 72% consumed uniformly across all node types in 100 seconds.</w:t>
      </w:r>
    </w:p>
    <w:p>
      <w:pPr>
        <w:spacing w:before="80" w:after="80" w:line="360"/>
        <w:jc w:val="both"/>
      </w:pPr>
      <w:r>
        <w:rPr>
          <w:rFonts w:ascii="Times New Roman" w:cs="Times New Roman" w:eastAsia="Times New Roman" w:hAnsi="Times New Roman"/>
          <w:color w:val="333333"/>
          <w:sz w:val="24"/>
          <w:szCs w:val="24"/>
        </w:rPr>
        <w:t xml:space="preserve">The priority-aware MQTT-SN system successfully ensures that critical ECG data is processed before lower-priority temperature readings, and the emergency detection mechanism identifies abnormal sensor values with CRITICAL priority. These findings establish a foundation for future work on MIoT network security, mobility-optimized routing, and academic publication.</w:t>
      </w:r>
    </w:p>
    <w:p>
      <w:pPr>
        <w:pageBreakBefore/>
      </w:pPr>
    </w:p>
    <w:p>
      <w:pPr>
        <w:pStyle w:val="Heading1"/>
        <w:pBdr>
          <w:bottom w:val="single" w:color="1F4E79" w:sz="4" w:space="8"/>
        </w:pBdr>
        <w:spacing w:before="500" w:after="200"/>
      </w:pPr>
      <w:r>
        <w:rPr>
          <w:rFonts w:ascii="Times New Roman" w:cs="Times New Roman" w:eastAsia="Times New Roman" w:hAnsi="Times New Roman"/>
          <w:b/>
          <w:bCs/>
          <w:color w:val="1F4E79"/>
          <w:sz w:val="28"/>
          <w:szCs w:val="28"/>
        </w:rPr>
        <w:t xml:space="preserve">7. References</w:t>
      </w:r>
    </w:p>
    <w:p>
      <w:pPr>
        <w:spacing w:before="80" w:after="80" w:line="360"/>
        <w:jc w:val="both"/>
      </w:pPr>
      <w:r>
        <w:rPr>
          <w:rFonts w:ascii="Times New Roman" w:cs="Times New Roman" w:eastAsia="Times New Roman" w:hAnsi="Times New Roman"/>
          <w:color w:val="333333"/>
          <w:sz w:val="24"/>
          <w:szCs w:val="24"/>
        </w:rPr>
        <w:t xml:space="preserve">[1] C. Perkins, E. Belding-Royer, and S. Das, "Ad hoc On-Demand Distance Vector (AODV) Routing," RFC 3561, July 2003.</w:t>
      </w:r>
    </w:p>
    <w:p>
      <w:pPr>
        <w:spacing w:before="80" w:after="80" w:line="360"/>
        <w:jc w:val="both"/>
      </w:pPr>
      <w:r>
        <w:rPr>
          <w:rFonts w:ascii="Times New Roman" w:cs="Times New Roman" w:eastAsia="Times New Roman" w:hAnsi="Times New Roman"/>
          <w:color w:val="333333"/>
          <w:sz w:val="24"/>
          <w:szCs w:val="24"/>
        </w:rPr>
        <w:t xml:space="preserve">[2] A. Stanford-Clark and H. L. Truong, "MQTT-SN: A Publish/Subscribe Protocol for Wireless Sensor Networks," IBM, 2013.</w:t>
      </w:r>
    </w:p>
    <w:p>
      <w:pPr>
        <w:spacing w:before="80" w:after="80" w:line="360"/>
        <w:jc w:val="both"/>
      </w:pPr>
      <w:r>
        <w:rPr>
          <w:rFonts w:ascii="Times New Roman" w:cs="Times New Roman" w:eastAsia="Times New Roman" w:hAnsi="Times New Roman"/>
          <w:color w:val="333333"/>
          <w:sz w:val="24"/>
          <w:szCs w:val="24"/>
        </w:rPr>
        <w:t xml:space="preserve">[3] ns-3 Network Simulator, Available: https://www.nsnam.org/</w:t>
      </w:r>
    </w:p>
    <w:p>
      <w:pPr>
        <w:spacing w:before="80" w:after="80" w:line="360"/>
        <w:jc w:val="both"/>
      </w:pPr>
      <w:r>
        <w:rPr>
          <w:rFonts w:ascii="Times New Roman" w:cs="Times New Roman" w:eastAsia="Times New Roman" w:hAnsi="Times New Roman"/>
          <w:color w:val="333333"/>
          <w:sz w:val="24"/>
          <w:szCs w:val="24"/>
        </w:rPr>
        <w:t xml:space="preserve">[4] OASIS, "MQTT Version 5.0," OASIS Standard, March 2019.</w:t>
      </w:r>
    </w:p>
    <w:p>
      <w:pPr>
        <w:spacing w:before="80" w:after="80" w:line="360"/>
        <w:jc w:val="both"/>
      </w:pPr>
      <w:r>
        <w:rPr>
          <w:rFonts w:ascii="Times New Roman" w:cs="Times New Roman" w:eastAsia="Times New Roman" w:hAnsi="Times New Roman"/>
          <w:color w:val="333333"/>
          <w:sz w:val="24"/>
          <w:szCs w:val="24"/>
        </w:rPr>
        <w:t xml:space="preserve">[5] W. Heinzelman, A. Chandrakasan, and H. Balakrishnan, "Energy-Efficient Communication Protocol for Wireless Microsensor Networks," HICSS, 2000.</w:t>
      </w:r>
    </w:p>
    <w:p>
      <w:pPr>
        <w:spacing w:before="80" w:after="80" w:line="360"/>
        <w:jc w:val="both"/>
      </w:pPr>
      <w:r>
        <w:rPr>
          <w:rFonts w:ascii="Times New Roman" w:cs="Times New Roman" w:eastAsia="Times New Roman" w:hAnsi="Times New Roman"/>
          <w:color w:val="333333"/>
          <w:sz w:val="24"/>
          <w:szCs w:val="24"/>
        </w:rPr>
        <w:t xml:space="preserve">[6] A. Al-Fuqaha et al., "Internet of Things: A Survey on Enabling Technologies, Protocols, and Applications," IEEE COMST, vol. 17, no. 4, 2015.</w:t>
      </w:r>
    </w:p>
    <w:p>
      <w:pPr>
        <w:spacing w:before="80" w:after="80" w:line="360"/>
        <w:jc w:val="both"/>
      </w:pPr>
      <w:r>
        <w:rPr>
          <w:rFonts w:ascii="Times New Roman" w:cs="Times New Roman" w:eastAsia="Times New Roman" w:hAnsi="Times New Roman"/>
          <w:color w:val="333333"/>
          <w:sz w:val="24"/>
          <w:szCs w:val="24"/>
        </w:rPr>
        <w:t xml:space="preserve">[7] S. Baker et al., "Internet of Things for Smart Healthcare: Technologies, Challenges, and Opportunities," IEEE Access, vol. 5, 2017.</w:t>
      </w:r>
    </w:p>
    <w:p>
      <w:pPr>
        <w:spacing w:before="80" w:after="80" w:line="360"/>
        <w:jc w:val="both"/>
      </w:pPr>
      <w:r>
        <w:rPr>
          <w:rFonts w:ascii="Times New Roman" w:cs="Times New Roman" w:eastAsia="Times New Roman" w:hAnsi="Times New Roman"/>
          <w:color w:val="333333"/>
          <w:sz w:val="24"/>
          <w:szCs w:val="24"/>
        </w:rPr>
        <w:t xml:space="preserve">[8] LoRa Alliance, "LoRaWAN Specification v1.1," October 2017.</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WSN vs MQTT-SN for MIoT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2026-03-13T14:21:44.430Z</dcterms:created>
  <dcterms:modified xsi:type="dcterms:W3CDTF">2026-03-13T14:21:44.431Z</dcterms:modified>
</cp:coreProperties>
</file>

<file path=docProps/custom.xml><?xml version="1.0" encoding="utf-8"?>
<Properties xmlns="http://schemas.openxmlformats.org/officeDocument/2006/custom-properties" xmlns:vt="http://schemas.openxmlformats.org/officeDocument/2006/docPropsVTypes"/>
</file>