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config.core.lazy_load_plugins=False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env: </w:t>
      </w:r>
      <w:r>
        <w:br/>
      </w:r>
      <w:r>
        <w:rPr>
          <w:rStyle w:val="StringTok"/>
        </w:rPr>
        <w:t xml:space="preserve">   - name: AIRFLOW__CORE__LAZY_LOAD_PLUGINS</w:t>
      </w:r>
      <w:r>
        <w:br/>
      </w:r>
      <w:r>
        <w:rPr>
          <w:rStyle w:val="StringTok"/>
        </w:rPr>
        <w:t xml:space="preserve">     value: 'False' </w:t>
      </w:r>
      <w:r>
        <w:br/>
      </w:r>
      <w:r>
        <w:rPr>
          <w:rStyle w:val="StringTok"/>
        </w:rPr>
        <w:t xml:space="preserve">   - name: _PIP_ADDITIONAL_REQUIREMENTS</w:t>
      </w:r>
      <w:r>
        <w:br/>
      </w:r>
      <w:r>
        <w:rPr>
          <w:rStyle w:val="StringTok"/>
        </w:rPr>
        <w:t xml:space="preserve">     value: 'dbnd-airflow-auto-tracking'</w:t>
      </w:r>
      <w:r>
        <w:br/>
      </w:r>
      <w:r>
        <w:rPr>
          <w:rStyle w:val="OperatorTok"/>
        </w:rPr>
        <w:t xml:space="preserve">EOF</w:t>
      </w:r>
    </w:p>
    <w:bookmarkStart w:id="25" w:name="Xc59cc72300a3c87104ed01a3c72a6e0d59523ac"/>
    <w:p>
      <w:pPr>
        <w:pStyle w:val="Heading1"/>
      </w:pPr>
      <w:r>
        <w:t xml:space="preserve">2. Airflow customization for Databand</w:t>
      </w:r>
    </w:p>
    <w:p>
      <w:pPr>
        <w:pStyle w:val="FirstParagraph"/>
      </w:pPr>
      <w:r>
        <w:t xml:space="preserve">There are several python libraries that activate specialized monitoring features. Although the previous command installed everything we need, you can optionally install the following additional packages, as you may want to do on a real system:</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databand </w:t>
      </w:r>
      <w:r>
        <w:rPr>
          <w:rStyle w:val="StringTok"/>
        </w:rPr>
        <w:t xml:space="preserve">'databand[postgres,airflow]'</w:t>
      </w:r>
      <w:r>
        <w:rPr>
          <w:rStyle w:val="NormalTok"/>
        </w:rPr>
        <w:t xml:space="preserve"> dbnd-airflow-auto-tracking dbnd-airflow-monitor dbnd-airflow-export dbnd-airflow-versioned-dag</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The following cell would add a simply DAG that databand needs to initiate the monitors. We copy it into the default directory for the dags:</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2023-04-20T08:14:28Z</dcterms:created>
  <dcterms:modified xsi:type="dcterms:W3CDTF">2023-04-20T08:14:28Z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