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config.core.lazy_load_plugins=False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env: </w:t>
      </w:r>
      <w:r>
        <w:br/>
      </w:r>
      <w:r>
        <w:rPr>
          <w:rStyle w:val="StringTok"/>
        </w:rPr>
        <w:t xml:space="preserve">   - name: AIRFLOW__CORE__LAZY_LOAD_PLUGINS</w:t>
      </w:r>
      <w:r>
        <w:br/>
      </w:r>
      <w:r>
        <w:rPr>
          <w:rStyle w:val="StringTok"/>
        </w:rPr>
        <w:t xml:space="preserve">     value: 'False' </w:t>
      </w:r>
      <w:r>
        <w:br/>
      </w:r>
      <w:r>
        <w:rPr>
          <w:rStyle w:val="StringTok"/>
        </w:rPr>
        <w:t xml:space="preserve">   - name: _PIP_ADDITIONAL_REQUIREMENTS</w:t>
      </w:r>
      <w:r>
        <w:br/>
      </w:r>
      <w:r>
        <w:rPr>
          <w:rStyle w:val="StringTok"/>
        </w:rPr>
        <w:t xml:space="preserve">     value: 'dbnd-airflow-auto-tracking'</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There are several python libraries that activate specialized monitoring features. Although the previous command installed everything we need, you can optionally install the following additional packages, as you may want to do on a real system:</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The following cell would add a simply DAG that databand needs to initiate the monitors. We copy it into the default directory for the dags:</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2023-04-21T08:13:43Z</dcterms:created>
  <dcterms:modified xsi:type="dcterms:W3CDTF">2023-04-21T08:13:43Z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