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project airflow</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rPr>
          <w:rStyle w:val="ExtensionTok"/>
        </w:rPr>
        <w:t xml:space="preserve">oc</w:t>
      </w:r>
      <w:r>
        <w:rPr>
          <w:rStyle w:val="NormalTok"/>
        </w:rPr>
        <w:t xml:space="preserve"> project airflow</w:t>
      </w:r>
      <w:r>
        <w:br/>
      </w:r>
      <w:r>
        <w:rPr>
          <w:rStyle w:val="NormalTok"/>
        </w:rPr>
        <w:t xml:space="preserve"> </w:t>
      </w:r>
      <w:r>
        <w:br/>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config.core.lazy_load_plugins=False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env: </w:t>
      </w:r>
      <w:r>
        <w:br/>
      </w:r>
      <w:r>
        <w:rPr>
          <w:rStyle w:val="StringTok"/>
        </w:rPr>
        <w:t xml:space="preserve">   - name: AIRFLOW__CORE__LAZY_LOAD_PLUGINS</w:t>
      </w:r>
      <w:r>
        <w:br/>
      </w:r>
      <w:r>
        <w:rPr>
          <w:rStyle w:val="StringTok"/>
        </w:rPr>
        <w:t xml:space="preserve">     value: 'False' </w:t>
      </w:r>
      <w:r>
        <w:br/>
      </w:r>
      <w:r>
        <w:rPr>
          <w:rStyle w:val="StringTok"/>
        </w:rPr>
        <w:t xml:space="preserve">   - name: _PIP_ADDITIONAL_REQUIREMENTS</w:t>
      </w:r>
      <w:r>
        <w:br/>
      </w:r>
      <w:r>
        <w:rPr>
          <w:rStyle w:val="StringTok"/>
        </w:rPr>
        <w:t xml:space="preserve">     value: 'dbnd-airflow-auto-tracking'</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There are several python libraries that activate specialized monitoring features. Although the previous command installed everything we need, you can optionally install the following additional packages, as you may want to do on a real system:</w:t>
      </w:r>
    </w:p>
    <w:p>
      <w:pPr>
        <w:pStyle w:val="BodyText"/>
      </w:pPr>
      <w:r>
        <w:rPr>
          <w:bCs/>
          <w:b/>
        </w:rPr>
        <w:t xml:space="preserve">Warning:</w:t>
      </w:r>
      <w:r>
        <w:t xml:space="preserve"> </w:t>
      </w:r>
      <w:r>
        <w:t xml:space="preserve">in a production system, you should extend the official container with the additional packages and not install them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The following cell would add a simply DAG that databand needs to initiate the monitors. We copy it into the default directory for the dags:</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2023-04-24T12:17:05Z</dcterms:created>
  <dcterms:modified xsi:type="dcterms:W3CDTF">2023-04-24T12:17:05Z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