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MEER FOUNDATION | EDUSUTO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Climate Change: Carbon Capture and Storage</w:t>
      </w:r>
    </w:p>
    <w:p>
      <w:pPr>
        <w:pBdr>
          <w:bottom w:val="single" w:color="2E7D32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Carbon Markets Explained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Compliance Markets, Voluntary Markets, Carbon Credits, and How to Monetise a Carbon Project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Module 5, Topic 5.3  |  Duration: 15 minutes 22 seconds  |  Video Transcript</w:t>
      </w:r>
    </w:p>
    <w:p>
      <w:pPr>
        <w:pBdr>
          <w:bottom w:val="single" w:color="2E7D32" w:sz="6" w:space="1"/>
        </w:pBdr>
        <w:spacing w:after="16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LEARNING OBJECTIVES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By the end of this video, you will be able 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Distinguish between compliance carbon markets and voluntary carbon markets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Explain how carbon credits are created, verified, registered, and sold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Identify the major standards and registries (Verra, Gold Standard, Article 6)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Explain what offtake agreements are and how they work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Apply carbon market concepts to evaluate the commercial viability of a project</w:t>
      </w:r>
    </w:p>
    <w:p>
      <w:pPr>
        <w:spacing w:after="80"/>
      </w:pPr>
      <w:r>
        <w:t xml:space="preserve"/>
      </w:r>
    </w:p>
    <w:p>
      <w:pPr>
        <w:pBdr>
          <w:bottom w:val="single" w:color="2E7D32" w:sz="6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TRANSCRIPT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[00:00 – 01:00] OPENING — THE PRICE OF A TONNE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8C42"/>
        </w:rPr>
        <w:t xml:space="preserve">[VISUAL CUE] </w:t>
      </w:r>
      <w:r>
        <w:rPr>
          <w:rFonts w:ascii="Arial" w:cs="Arial" w:eastAsia="Arial" w:hAnsi="Arial"/>
          <w:i/>
          <w:iCs/>
          <w:color w:val="555555"/>
        </w:rPr>
        <w:t xml:space="preserve">Stock market-style display showing carbon credit prices from different markets: EU ETS (€65/tonne), California Cap-and-Trade ($32/tonne), UK ETS (£45/tonne), Voluntary market nature-based ($15/tonne), Premium DAC credit ($350/tonne). The screen scrolls rapidly.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What is a tonne of carbon dioxide worth?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In the European Union, a company that emits one extra tonne of CO₂ must pay approximately 65 Euros for the privilege. In California, the same tonne costs around 32 US dollars. In some voluntary markets, you can buy a nature-based carbon credit for 8 to 15 dollars. And if you want a premium verified direct air capture credit, you might pay 300 to 400 dollars.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Same gas. Same molecule. Wildly different prices.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Understanding why requires understanding the structure of carbon markets — how they work, who participates, what determines the price, and how a project developer turns CO₂ avoided or removed into a bankable financial instrument.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This is one of the most practically important topics in this course. If you ever want to develop a carbon project, secure investment, or advise a client on decarbonisation, you need to understand carbon markets. So let’s start from the very beginning.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[01:00 – 03:30] PART 1: COMPLIANCE MARKETS — THE MANDATORY SYSTEM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8C42"/>
        </w:rPr>
        <w:t xml:space="preserve">[VISUAL CUE] </w:t>
      </w:r>
      <w:r>
        <w:rPr>
          <w:rFonts w:ascii="Arial" w:cs="Arial" w:eastAsia="Arial" w:hAnsi="Arial"/>
          <w:i/>
          <w:iCs/>
          <w:color w:val="555555"/>
        </w:rPr>
        <w:t xml:space="preserve">Animation: a factory with a cap being placed over it. The cap shrinks each year. Some allowances are distributed; others are auctioned. A company buying extra allowances from another is shown.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Compliance carbon markets are legally mandated. Participation is not a choice — it is a regulatory requirement for covered entities.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The most important is the EU Emissions Trading System, or EU ETS, which covers around 10,500 installations across Europe — power plants, large industrial facilities, and aviation.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Here is how it works: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The Cap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The government (or regulator) sets a cap — a limit — on the total amount of greenhouse gases that covered entities can emit. This cap decreases every year, ensuring that total emissions fall over time.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Allowances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Within the cap, entities receive or purchase allowances — permits to emit. One allowance equals one tonne of CO₂ equivalent. Some allowances are distributed for free; the remainder are auctioned.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Trading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Companies that reduce their emissions below their allocation can sell their spare allowances to companies that have exceeded theirs. This creates a market. The price of allowances — the carbon price — is determined by supply and demand.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Compliance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At the end of each year, every covered company must surrender allowances equal to their actual emissions. If they are short, they must buy more — or pay a steep penalty.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The EU ETS price has fluctuated significantly over the years, from near-zero in the early 2010s (when too many free allowances flooded the market) to over €100 per tonne in 2022. As of the time of this recording, it trades around €60–80 per tonne.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8C42"/>
        </w:rPr>
        <w:t xml:space="preserve">[EMPHASIS] </w:t>
      </w:r>
      <w:r>
        <w:rPr>
          <w:rFonts w:ascii="Arial" w:cs="Arial" w:eastAsia="Arial" w:hAnsi="Arial"/>
          <w:i/>
          <w:iCs/>
          <w:color w:val="555555"/>
        </w:rPr>
        <w:t xml:space="preserve">At €70 per tonne, CCS becomes economically viable for many industrial emitters in Europe. This is why the EU ETS is one of the most important drivers of European CCS investment.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Other major compliance markets include: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California Cap-and-Trade: covers power, industrial, and transport sectors in California and Quebec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UK ETS: post-Brexit, the UK has its own system closely mirroring the EU 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China National ETS: the world’s largest by emissions coverage, currently covering power sector only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CORSIA: the Carbon Offsetting and Reduction Scheme for International Aviation, using offsets rather than allowances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[03:30 – 06:30] PART 2: VOLUNTARY CARBON MARKETS — THE CHOICE SYSTEM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8C42"/>
        </w:rPr>
        <w:t xml:space="preserve">[VISUAL CUE] </w:t>
      </w:r>
      <w:r>
        <w:rPr>
          <w:rFonts w:ascii="Arial" w:cs="Arial" w:eastAsia="Arial" w:hAnsi="Arial"/>
          <w:i/>
          <w:iCs/>
          <w:color w:val="555555"/>
        </w:rPr>
        <w:t xml:space="preserve">A corporate boardroom. A sustainability director presents a net-zero strategy. The slide shows emissions they cannot eliminate, and voluntary carbon credits filling the gap.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Voluntary carbon markets operate alongside — and independently of — compliance markets. Participation is voluntary. Companies buy voluntary carbon credits not because the law requires it, but because they have made commitments to their customers, investors, or employees.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The buyers are typically corporations pursuing net-zero or carbon-neutral claims. The sellers are project developers — people like you and your capstone project — who have implemented activities that reduce or remove CO₂.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The mechanism: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Step 1: The Project Activity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A project implements an activity that reduces or removes CO₂. This might be a biochar project in Rajasthan, an agroforestry scheme in Jharkhand, a soil carbon enhancement project in Maharashtra, or an industrial CCS installation in Odisha.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Step 2: Baseline Establishment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The project demonstrates what would have happened without the project — the baseline. The difference between the baseline emissions and the actual emissions with the project is the ‘additional’ CO₂ reduction. Only reductions beyond the baseline are creditable.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Step 3: Monitoring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The project monitors its actual emissions reductions or removals over time, following a methodology approved by the relevant standard (Verra, Gold Standard, etc.).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Step 4: Verification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An independent, accredited third-party auditor verifies the monitoring data and confirms that the claimed reductions have actually occurred.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Step 5: Issuance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The standard body issues carbon credits based on the verified reductions. Each credit represents one tonne of CO₂ equivalent reduced or removed. Credits are entered into a public registry.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Step 6: Sale and Retirement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The project developer sells the credits to buyers (typically through a broker or directly). When a buyer ‘retires’ a credit — marking it as used and permanently removing it from the market — they can claim the corresponding emission reduction toward their net-zero target.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[06:30 – 09:00] PART 3: THE MAJOR STANDARDS AND REGISTRIES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8C42"/>
        </w:rPr>
        <w:t xml:space="preserve">[VISUAL CUE] </w:t>
      </w:r>
      <w:r>
        <w:rPr>
          <w:rFonts w:ascii="Arial" w:cs="Arial" w:eastAsia="Arial" w:hAnsi="Arial"/>
          <w:i/>
          <w:iCs/>
          <w:color w:val="555555"/>
        </w:rPr>
        <w:t xml:space="preserve">Logos of Verra (VCS), Gold Standard, American Carbon Registry, Climate Action Reserve, Plan Vivo. Each is placed on a map showing their geographic reach and project types.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Not all voluntary carbon credits are equal. The quality of a credit depends critically on the standard and methodology under which it was developed. Let’s look at the major players.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Verra — Verified Carbon Standard (VCS)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Verra is the world’s largest voluntary carbon market standard. It has certified projects representing billions of carbon credits across more than 80 approved methodologies. For land-based carbon projects (soil, biochar, agroforestry), the VCS is the most commonly used standard globally.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Verra’s registry — the Verified Carbon Unit (VCU) registry — is publicly searchable. Anyone can look up any project, see its design document, verification reports, and the number of credits issued.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Gold Standard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Gold Standard was founded by WWF and other environmental NGOs. It imposes stricter requirements than VCS — particularly around co-benefits, community engagement, and sustainable development contributions. Gold Standard projects typically command a price premium over VCS credits, but they require more documentation.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Article 6 (Paris Agreement)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Article 6 of the Paris Agreement creates a framework for international carbon market mechanisms. Article 6.2 allows country-to-country bilateral carbon trading — for example, India selling carbon credits to Japan, with the credits counting toward Japan’s NDC. Article 6.4 establishes a UN-supervised carbon market mechanism — the successor to the Clean Development Mechanism (CDM).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For Indian project developers, Article 6.2 and 6.4 are particularly important because they create pathways for high-quality Indian carbon projects to generate internationally transferable credits.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India Carbon Market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India is in the process of establishing its own carbon market — the Indian Carbon Market — under the Energy Conservation Act (Amended) 2022 and the Bureau of Energy Efficiency. It will initially cover large industrial emitters (similar to the EU ETS) and create a domestic market for carbon credits.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[09:00 – 11:30] PART 4: PRICING — WHAT DETERMINES THE VALUE OF A CREDIT?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8C42"/>
        </w:rPr>
        <w:t xml:space="preserve">[VISUAL CUE] </w:t>
      </w:r>
      <w:r>
        <w:rPr>
          <w:rFonts w:ascii="Arial" w:cs="Arial" w:eastAsia="Arial" w:hAnsi="Arial"/>
          <w:i/>
          <w:iCs/>
          <w:color w:val="555555"/>
        </w:rPr>
        <w:t xml:space="preserve">A sliding scale graphic showing different credit types and their typical voluntary market price ranges. Nature-based — soil/forests: $5–25. Cookstoves/efficient energy: $5–15. Blue Carbon (mangroves): $20–80. Biochar (verified high-quality): $50–150. BECCS/DAC: $100–400.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Carbon credit prices in the voluntary market vary enormously. The key factors that drive price are: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Permanence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How long will the stored carbon stay out of the atmosphere? A nature-based credit from a forest project carries a risk of reversal — the forest could burn. A geological storage credit from CCS or a biochar credit carries much higher permanence. Higher permanence commands higher prices.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Additionality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Would the carbon reductions have happened anyway, without the carbon revenue? High-quality projects can demonstrate clearly that the activity is additional. Projects that were going to happen regardless have weaker additionality and trade at a discount.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Co-benefits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Credits with strong biodiversity, community livelihood, water, and gender co-benefits trade at a premium, particularly from buyers with corporate ESG commitments. A biochar project that also improves soil health and farmer income is worth more than one that does only the carbon accounting.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Vintage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Credits from more recent years (newer vintage) are generally preferred over older credits, as standards have tightened and methodologies have improved.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Verifier Reputation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Credits verified by well-known, respected audit firms trade at a premium.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[11:30 – 13:30] PART 5: OFFTAKE AGREEMENTS — SECURING YOUR REVENUE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8C42"/>
        </w:rPr>
        <w:t xml:space="preserve">[VISUAL CUE] </w:t>
      </w:r>
      <w:r>
        <w:rPr>
          <w:rFonts w:ascii="Arial" w:cs="Arial" w:eastAsia="Arial" w:hAnsi="Arial"/>
          <w:i/>
          <w:iCs/>
          <w:color w:val="555555"/>
        </w:rPr>
        <w:t xml:space="preserve">Two parties at a table — a project developer (left) and a corporate buyer (right). A contract document between them. Key terms highlighted: Volume, Price, Vintage, Delivery Date, Verification Standard.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One of the most important steps in developing a carbon project is securing an offtake agreement — a contract between the project developer and a buyer that commits the buyer to purchase a specified volume of credits at a specified price over a specified period.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Offtake agreements are important for several reasons: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They provide revenue certainty, which helps attract investment and project finance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They lock in a price, protecting the developer from future market price volatility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They demonstrate commercial viability to lenders and equity investors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They create reputational accountability for the buyer, incentivising the buyer to support project quality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Key terms in a typical offtake agreement: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Volume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The number of carbon credits the buyer commits to purchasing per year, expressed in tonnes of CO₂ equivalent. There is often a minimum volume (the floor) and a maximum (the ceiling), with flexibility for project under- or over-performance.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Price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Fixed price, floor price with upside sharing, or market-linked pricing with a floor. Most early-stage projects prefer fixed or floor pricing to ensure financial model viability.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Delivery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When credits will be delivered and retired. Timing is important for the buyer’s reporting cycle.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Quality and Standards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Which registry standard (Verra, Gold Standard), methodology, and verifier must be used. Buyers often have specific standard requirements.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Force Majeure and Reversal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What happens if the project suffers an event (fire, flood, drought) that reduces credit delivery. Buffer pool mechanisms and replacement credit obligations.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[13:30 – 15:22] PART 6: INDIA’S CARBON MARKET OPPORTUNITY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8C42"/>
        </w:rPr>
        <w:t xml:space="preserve">[VISUAL CUE] </w:t>
      </w:r>
      <w:r>
        <w:rPr>
          <w:rFonts w:ascii="Arial" w:cs="Arial" w:eastAsia="Arial" w:hAnsi="Arial"/>
          <w:i/>
          <w:iCs/>
          <w:color w:val="555555"/>
        </w:rPr>
        <w:t xml:space="preserve">Map of India highlighting regions and project types: Northeast (REDD+, agroforestry), Central India (soil carbon in tribal agricultural areas), Rajasthan and Gujarat (renewable + CCS industrial), West Bengal and Odisha (mangrove blue carbon).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India sits at the intersection of several powerful carbon market trends.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First, India has vast land area with significant carbon sequestration potential — in its forests, its agricultural soils, and its coastal mangroves. Nature-based solutions from India have been sold in voluntary markets since the CDM era.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Second, India’s rapidly growing industrial sector — steel, cement, chemicals, aluminium — will eventually face carbon pricing pressures as global trade mechanisms like the EU’s Carbon Border Adjustment Mechanism (CBAM) take effect. This creates demand for domestic CCS and carbon credits.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Third, Article 6.2 creates an opportunity for India to sell internationally transferable carbon credits to countries with large net-zero financing commitments — Japan’s Joint Crediting Mechanism, for example, has already signed agreements with India.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Fourth, India’s domestic carbon market — the ICM — creates a new domestic buyer class for carbon credits from Indian projects.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8C42"/>
        </w:rPr>
        <w:t xml:space="preserve">[EMPHASIS] </w:t>
      </w:r>
      <w:r>
        <w:rPr>
          <w:rFonts w:ascii="Arial" w:cs="Arial" w:eastAsia="Arial" w:hAnsi="Arial"/>
          <w:i/>
          <w:iCs/>
          <w:color w:val="555555"/>
        </w:rPr>
        <w:t xml:space="preserve">India is not just a potential seller of carbon credits. It is a potential carbon market leader. The agricultural smallholder aggregation model, applied at scale across India’s 150 million farm households, could generate tens of millions of carbon credits per year — a market worth billions of dollars annually.</w:t>
      </w:r>
    </w:p>
    <w:p>
      <w:pPr>
        <w:spacing w:after="140"/>
        <w:jc w:val="left"/>
      </w:pPr>
      <w:r>
        <w:rPr>
          <w:rFonts w:ascii="Arial" w:cs="Arial" w:eastAsia="Arial" w:hAnsi="Arial"/>
        </w:rPr>
        <w:t xml:space="preserve">This course will give you the tools to develop, register, and monetise exactly these kinds of projects.</w:t>
      </w:r>
    </w:p>
    <w:p>
      <w:pPr>
        <w:pBdr>
          <w:bottom w:val="single" w:color="2E7D32" w:sz="6" w:space="1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END OF VIDEO</w:t>
      </w:r>
    </w:p>
    <w:p>
      <w:pPr>
        <w:spacing w:after="140"/>
        <w:jc w:val="left"/>
      </w:pPr>
      <w:r>
        <w:rPr>
          <w:rFonts w:ascii="Arial" w:cs="Arial" w:eastAsia="Arial" w:hAnsi="Arial"/>
          <w:i/>
          <w:iCs/>
        </w:rPr>
        <w:t xml:space="preserve">Next: Topic 5.4 — CO₂ Utilisation and the Circular Carbon Economy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PRODUCTION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GRAPHICS: Carbon market price charts (use publicly available data from BloombergNEF, MSCI Carbon Markets, or CarbonPlace). Registry screenshots (Verra and Gold Standard registries are publicly searchable).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GUEST SPEAKERS: Consider featuring an Indian carbon project developer or a carbon market specialist from an organisation such as ClimateSeed, South Pole, or Verra itself.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</w:rPr>
        <w:t xml:space="preserve">UPDATE FREQUENCY: Carbon market prices change rapidly. This video should be updated at least annually.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FF8C42"/>
      <w:sz w:val="24"/>
      <w:szCs w:val="24"/>
    </w:rPr>
  </w:style>
  <w:style w:type="paragraph" w:styleId="Normal">
    <w:name w:val="Normal"/>
    <w:pPr>
      <w:spacing w:after="160"/>
    </w:pPr>
    <w:rPr>
      <w:rFonts w:ascii="Arial" w:cs="Arial" w:eastAsia="Arial" w:hAnsi="Arial"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2026-06-27T11:11:55.448Z</dcterms:created>
  <dcterms:modified xsi:type="dcterms:W3CDTF">2026-06-27T11:11:55.448Z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