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7D6DC" w14:textId="5148F7F3" w:rsidR="00661045" w:rsidRDefault="00B1627F" w:rsidP="00564176">
      <w:pPr>
        <w:pStyle w:val="Articletitle"/>
      </w:pPr>
      <w:r w:rsidRPr="00B1627F">
        <w:t xml:space="preserve">Dynamics of Disruption: </w:t>
      </w:r>
      <w:r w:rsidR="00564176" w:rsidRPr="00564176">
        <w:t>How Security and Constitutional Events Shape Multidimensional Political Extremism</w:t>
      </w:r>
    </w:p>
    <w:p w14:paraId="5F4AB6A6" w14:textId="06E5387E" w:rsidR="00442B9C" w:rsidRPr="009065BE" w:rsidRDefault="0059100A" w:rsidP="009914A5">
      <w:pPr>
        <w:pStyle w:val="Authornames"/>
      </w:pPr>
      <w:r>
        <w:t>Amir Freund</w:t>
      </w:r>
    </w:p>
    <w:p w14:paraId="55C5D0F9" w14:textId="4DD92582" w:rsidR="000A4428" w:rsidRDefault="0059100A" w:rsidP="00FB4758">
      <w:pPr>
        <w:pStyle w:val="Affiliation"/>
        <w:spacing w:before="0"/>
        <w:rPr>
          <w:lang w:val="en-US" w:bidi="he-IL"/>
        </w:rPr>
      </w:pPr>
      <w:r w:rsidRPr="00355C70">
        <w:rPr>
          <w:lang w:val="en-US"/>
        </w:rPr>
        <w:t xml:space="preserve">Contact: Amir Freund, </w:t>
      </w:r>
      <w:hyperlink r:id="rId8" w:history="1">
        <w:r w:rsidR="00FB4758" w:rsidRPr="00E64B05">
          <w:rPr>
            <w:rStyle w:val="Hyperlink"/>
            <w:lang w:val="en-US" w:bidi="he-IL"/>
          </w:rPr>
          <w:t>amir61@gmail.com</w:t>
        </w:r>
      </w:hyperlink>
      <w:r w:rsidR="00FB4758">
        <w:rPr>
          <w:lang w:val="en-US" w:bidi="he-IL"/>
        </w:rPr>
        <w:t xml:space="preserve"> </w:t>
      </w:r>
    </w:p>
    <w:p w14:paraId="2C801BD2" w14:textId="394C6C8C" w:rsidR="00F56DD9" w:rsidRDefault="00F56DD9" w:rsidP="00FB4758">
      <w:pPr>
        <w:pStyle w:val="Heading1"/>
        <w:spacing w:before="240"/>
        <w:rPr>
          <w:lang w:bidi="he-IL"/>
        </w:rPr>
      </w:pPr>
      <w:r>
        <w:rPr>
          <w:lang w:bidi="he-IL"/>
        </w:rPr>
        <w:t>Abstract</w:t>
      </w:r>
    </w:p>
    <w:p w14:paraId="296BD92C" w14:textId="1CA003C6" w:rsidR="00B1627F" w:rsidRPr="008A230F" w:rsidRDefault="00A00B33" w:rsidP="008A230F">
      <w:pPr>
        <w:pStyle w:val="Abstract"/>
      </w:pPr>
      <w:r>
        <w:t>Political and social d</w:t>
      </w:r>
      <w:r w:rsidR="008A230F" w:rsidRPr="008A230F">
        <w:t>estabilizing events often correspond with unpredictable shifts in political extremism.</w:t>
      </w:r>
      <w:r w:rsidR="00AC22B3">
        <w:t xml:space="preserve"> </w:t>
      </w:r>
      <w:r w:rsidR="008A230F" w:rsidRPr="008A230F">
        <w:t>This study investigates the patterns of these shifts across varying political orientations, using longitudinal data from six survey waves in Israel.</w:t>
      </w:r>
      <w:r w:rsidR="00AC22B3">
        <w:t xml:space="preserve"> </w:t>
      </w:r>
      <w:r w:rsidR="008A230F" w:rsidRPr="008A230F">
        <w:t>Theoretical gaps in current research on political extremism often stem from fragmented frameworks and one-dimensional methodologies.</w:t>
      </w:r>
      <w:r w:rsidR="00AC22B3">
        <w:t xml:space="preserve"> </w:t>
      </w:r>
      <w:r w:rsidR="008A230F" w:rsidRPr="008A230F">
        <w:t xml:space="preserve">To address these limitations, this study develops a multidimensional theory of political extremism comprising three distinct dimensions: cognitive, behavioral, and social. This framework enables the implementation of the Political Extremism Gauge (PEG), a context-independent instrument for cross-population comparative analysis. Empirical results demonstrate that identical external events are associated with simultaneous shifts toward political extremism in </w:t>
      </w:r>
      <w:r w:rsidR="00AC22B3">
        <w:t>specific</w:t>
      </w:r>
      <w:r w:rsidR="008A230F" w:rsidRPr="008A230F">
        <w:t xml:space="preserve"> groups and moderation in others. Furthermore, dimensions of political extremism respond independently rather than uniformly during periods of instability. The evidence suggests that political events relate to political extremism primarily through recruitment and demobilization mechanisms rather than through the incremental radicalization of existing extremists. These insights challenge traditional assumptions regarding uniform societal responses to disruption and provide a universal methodology for monitoring political extremism across diverse democratic contexts.</w:t>
      </w:r>
    </w:p>
    <w:p w14:paraId="77375F7A" w14:textId="52768F7F" w:rsidR="009A5B51" w:rsidRPr="00FB4758" w:rsidRDefault="009A5B51" w:rsidP="00B1627F">
      <w:pPr>
        <w:pStyle w:val="Subjectcodes"/>
        <w:ind w:left="0"/>
        <w:rPr>
          <w:sz w:val="24"/>
        </w:rPr>
      </w:pPr>
      <w:r w:rsidRPr="00FB4758">
        <w:rPr>
          <w:b/>
          <w:bCs/>
          <w:sz w:val="24"/>
        </w:rPr>
        <w:t>Keywords</w:t>
      </w:r>
      <w:r w:rsidRPr="00FB4758">
        <w:rPr>
          <w:sz w:val="24"/>
        </w:rPr>
        <w:t xml:space="preserve">: </w:t>
      </w:r>
      <w:r w:rsidRPr="00FB4758">
        <w:rPr>
          <w:sz w:val="24"/>
          <w:lang w:val="en-US" w:eastAsia="en-US" w:bidi="he-IL"/>
        </w:rPr>
        <w:t>Political extremism; Destabilizing events; Political orientation; Multidimensional measurement; Democratic resilience</w:t>
      </w:r>
    </w:p>
    <w:p w14:paraId="049862D1" w14:textId="5D5FC045" w:rsidR="00C246C5" w:rsidRDefault="00C14585" w:rsidP="009B24B5">
      <w:pPr>
        <w:pStyle w:val="Articletitle"/>
      </w:pPr>
      <w:r w:rsidRPr="00355C70">
        <w:rPr>
          <w:lang w:val="en-US"/>
        </w:rPr>
        <w:br w:type="page"/>
      </w:r>
      <w:r w:rsidR="00C971F6">
        <w:lastRenderedPageBreak/>
        <w:t>Effects of Political Destabilizing Events on Political Extremism</w:t>
      </w:r>
    </w:p>
    <w:p w14:paraId="6ECF2F5B" w14:textId="308D6E8A" w:rsidR="0084316D" w:rsidRDefault="001E2DA9" w:rsidP="004074B0">
      <w:pPr>
        <w:pStyle w:val="Heading1"/>
      </w:pPr>
      <w:r w:rsidRPr="00AA0AFD">
        <w:t>Introduction</w:t>
      </w:r>
    </w:p>
    <w:p w14:paraId="0C27BCFC" w14:textId="4B996ADC" w:rsidR="00F56DD9" w:rsidRDefault="00A00B33" w:rsidP="00F67DD3">
      <w:pPr>
        <w:pStyle w:val="Paragraph"/>
      </w:pPr>
      <w:r w:rsidRPr="00A00B33">
        <w:t xml:space="preserve">Political extremism poses a </w:t>
      </w:r>
      <w:r>
        <w:t>critical</w:t>
      </w:r>
      <w:r w:rsidRPr="00A00B33">
        <w:t xml:space="preserve"> threat to democratic </w:t>
      </w:r>
      <w:r>
        <w:t>countries</w:t>
      </w:r>
      <w:r w:rsidRPr="00A00B33">
        <w:t>.</w:t>
      </w:r>
      <w:r>
        <w:t xml:space="preserve"> </w:t>
      </w:r>
      <w:r w:rsidR="003829BA">
        <w:t xml:space="preserve">Destabilizing events </w:t>
      </w:r>
      <w:r w:rsidR="00606C8B">
        <w:t>such as economic crises, terrorist attacks, waves of migration, and political scandals drive citizens to seek radical solutions to achieve political change</w:t>
      </w:r>
      <w:r w:rsidR="003829BA">
        <w:t xml:space="preserve">. </w:t>
      </w:r>
      <w:r w:rsidR="00F67DD3" w:rsidRPr="00F67DD3">
        <w:t>While substantial research has explored this topic, the field lacks integrated frameworks that connect different dimensions of the problem. Much research examines extremism</w:t>
      </w:r>
      <w:r w:rsidR="00AC22B3">
        <w:t>’</w:t>
      </w:r>
      <w:r w:rsidR="00F67DD3" w:rsidRPr="00F67DD3">
        <w:t xml:space="preserve">s </w:t>
      </w:r>
      <w:r w:rsidR="00F67DD3">
        <w:t>cognitive</w:t>
      </w:r>
      <w:r w:rsidR="00F67DD3" w:rsidRPr="00F67DD3">
        <w:t xml:space="preserve">, </w:t>
      </w:r>
      <w:r w:rsidR="00F67DD3">
        <w:t>behavioral</w:t>
      </w:r>
      <w:r w:rsidR="00F67DD3" w:rsidRPr="00F67DD3">
        <w:t xml:space="preserve">, and </w:t>
      </w:r>
      <w:r w:rsidR="00F67DD3">
        <w:t>social</w:t>
      </w:r>
      <w:r w:rsidR="00F67DD3" w:rsidRPr="00F67DD3">
        <w:t xml:space="preserve"> dimensions in isolation rather than as interconnected phenomena. This fragmented approach limits our ability to understand how extremism develops across multiple dimensions simultaneously.</w:t>
      </w:r>
      <w:r w:rsidR="00606C8B" w:rsidRPr="00606C8B">
        <w:t xml:space="preserve"> </w:t>
      </w:r>
      <w:r w:rsidR="00B12176">
        <w:t>It</w:t>
      </w:r>
      <w:r w:rsidR="00606C8B" w:rsidRPr="00606C8B">
        <w:t xml:space="preserve"> specifically obscures how one destabilizing event affects different elements of extremism in various ways.</w:t>
      </w:r>
      <w:r w:rsidR="00606C8B">
        <w:t xml:space="preserve"> </w:t>
      </w:r>
      <w:r w:rsidR="00606C8B" w:rsidRPr="00606C8B">
        <w:t xml:space="preserve">Furthermore, current </w:t>
      </w:r>
      <w:r w:rsidR="00B12176">
        <w:t>research</w:t>
      </w:r>
      <w:r w:rsidR="00606C8B" w:rsidRPr="00606C8B">
        <w:t xml:space="preserve"> overlook</w:t>
      </w:r>
      <w:r w:rsidR="00B12176">
        <w:t>s</w:t>
      </w:r>
      <w:r w:rsidR="00606C8B" w:rsidRPr="00606C8B">
        <w:t xml:space="preserve"> how </w:t>
      </w:r>
      <w:r w:rsidR="00606C8B">
        <w:t>citizens</w:t>
      </w:r>
      <w:r w:rsidR="00AC22B3">
        <w:t>’</w:t>
      </w:r>
      <w:r w:rsidR="00606C8B">
        <w:t xml:space="preserve"> political views shape</w:t>
      </w:r>
      <w:r w:rsidR="00606C8B" w:rsidRPr="00606C8B">
        <w:t xml:space="preserve"> these effects. These factors can lead to opposite </w:t>
      </w:r>
      <w:r w:rsidR="00606C8B">
        <w:t>patterns of radicalization</w:t>
      </w:r>
      <w:r w:rsidR="00606C8B" w:rsidRPr="00606C8B">
        <w:t xml:space="preserve"> within the same society.</w:t>
      </w:r>
    </w:p>
    <w:p w14:paraId="6B89BB4D" w14:textId="0AB496BE" w:rsidR="00F56DD9" w:rsidRDefault="00A02CB8" w:rsidP="00F56DD9">
      <w:pPr>
        <w:pStyle w:val="Newparagraph"/>
      </w:pPr>
      <w:r>
        <w:t xml:space="preserve">The research presents </w:t>
      </w:r>
      <w:r w:rsidR="00F56DD9">
        <w:t xml:space="preserve">a multidimensional conceptualization of political extremism grounded in three core dimensions: Cognitive (extremity and rigidity of political positions), Behavioral (support for violence against </w:t>
      </w:r>
      <w:r w:rsidR="00B12176">
        <w:t>the state</w:t>
      </w:r>
      <w:r w:rsidR="00F56DD9">
        <w:t xml:space="preserve"> and outgroups), and Social (political and personal intolerance toward opposing groups). This </w:t>
      </w:r>
      <w:r w:rsidR="008439DB">
        <w:t>conceptualization</w:t>
      </w:r>
      <w:r w:rsidR="00F56DD9">
        <w:t xml:space="preserve"> synthesizes the most</w:t>
      </w:r>
      <w:r w:rsidR="0060365A">
        <w:t xml:space="preserve"> frequently cited elements in the</w:t>
      </w:r>
      <w:r w:rsidR="00F56DD9">
        <w:t xml:space="preserve"> extremism literature. </w:t>
      </w:r>
      <w:r w:rsidR="008439DB">
        <w:t>A novel</w:t>
      </w:r>
      <w:r w:rsidR="00F56DD9">
        <w:t xml:space="preserve"> Political Extremism Gauge simultaneously measures all three dimensions, transforming them into </w:t>
      </w:r>
      <w:r w:rsidR="008439DB">
        <w:t xml:space="preserve">indices of political extremism. </w:t>
      </w:r>
      <w:r>
        <w:t xml:space="preserve">This study employs </w:t>
      </w:r>
      <w:r w:rsidR="008439DB">
        <w:t>relative indices that measure specific extremism metrics relative to population central tendencies to maintain</w:t>
      </w:r>
      <w:r w:rsidR="00F56DD9">
        <w:t xml:space="preserve"> comparability across different political groups and temporal periods.</w:t>
      </w:r>
      <w:r w:rsidR="008439DB">
        <w:t xml:space="preserve"> The framework focuses on assessing levels and trends of political extremism among the more extreme part of the population (rather than across the </w:t>
      </w:r>
      <w:r w:rsidR="00B12176">
        <w:t>entire</w:t>
      </w:r>
      <w:r w:rsidR="008439DB">
        <w:t xml:space="preserve"> population), to better identify nuanced characteristics and trends of political extremism. </w:t>
      </w:r>
    </w:p>
    <w:p w14:paraId="4CE91190" w14:textId="5D493858" w:rsidR="00254069" w:rsidRPr="00254069" w:rsidRDefault="00A02CB8" w:rsidP="00254069">
      <w:pPr>
        <w:pStyle w:val="Newparagraph"/>
        <w:rPr>
          <w:lang w:val="en-US"/>
        </w:rPr>
      </w:pPr>
      <w:r>
        <w:lastRenderedPageBreak/>
        <w:t xml:space="preserve">The research applies </w:t>
      </w:r>
      <w:r w:rsidR="00973E24">
        <w:t xml:space="preserve">the </w:t>
      </w:r>
      <w:r w:rsidR="008439DB">
        <w:t xml:space="preserve">new framework to </w:t>
      </w:r>
      <w:r w:rsidR="00F56DD9">
        <w:t>examine how different destabilizing events</w:t>
      </w:r>
      <w:r w:rsidR="0060365A">
        <w:t>,</w:t>
      </w:r>
      <w:r w:rsidR="00200851">
        <w:t xml:space="preserve"> including </w:t>
      </w:r>
      <w:r w:rsidR="00F56DD9">
        <w:t>security threats, political transitions, and constitutional crises</w:t>
      </w:r>
      <w:r w:rsidR="00200851">
        <w:t xml:space="preserve">, </w:t>
      </w:r>
      <w:r w:rsidR="00F67DD3">
        <w:t>correlate with</w:t>
      </w:r>
      <w:r w:rsidR="00F56DD9">
        <w:t xml:space="preserve"> specific dimensions of extremism among </w:t>
      </w:r>
      <w:r w:rsidR="00B12176">
        <w:t xml:space="preserve">Israeli </w:t>
      </w:r>
      <w:r w:rsidR="00F56DD9">
        <w:t xml:space="preserve">citizens with distinct political orientations (left-wing, center-wing, right-wing). </w:t>
      </w:r>
      <w:r w:rsidR="00973E24">
        <w:t xml:space="preserve">The </w:t>
      </w:r>
      <w:r w:rsidR="00B12176">
        <w:t>three</w:t>
      </w:r>
      <w:r w:rsidR="00F56DD9">
        <w:t xml:space="preserve"> primary hypotheses</w:t>
      </w:r>
      <w:r w:rsidR="00973E24">
        <w:t xml:space="preserve"> are</w:t>
      </w:r>
      <w:r w:rsidR="00F56DD9">
        <w:t xml:space="preserve">: </w:t>
      </w:r>
      <w:r w:rsidR="00B12176">
        <w:t>(</w:t>
      </w:r>
      <w:r w:rsidR="00667AC4">
        <w:t>H1</w:t>
      </w:r>
      <w:r w:rsidR="00B12176">
        <w:t xml:space="preserve">) </w:t>
      </w:r>
      <w:r w:rsidR="00F56DD9">
        <w:t xml:space="preserve">various dimensions of political extremism respond heterogeneously to socio-political events, </w:t>
      </w:r>
      <w:r w:rsidR="00B12176">
        <w:t>(</w:t>
      </w:r>
      <w:r w:rsidR="00667AC4">
        <w:t>H2</w:t>
      </w:r>
      <w:r w:rsidR="00B12176">
        <w:t>)</w:t>
      </w:r>
      <w:r w:rsidR="00F56DD9">
        <w:t xml:space="preserve"> political orientation moderates these responses</w:t>
      </w:r>
      <w:r w:rsidR="00B12176">
        <w:t>, and (</w:t>
      </w:r>
      <w:r w:rsidR="00667AC4">
        <w:t>H3</w:t>
      </w:r>
      <w:r w:rsidR="00B12176">
        <w:t xml:space="preserve">) </w:t>
      </w:r>
      <w:r w:rsidR="00254069">
        <w:rPr>
          <w:lang w:val="en-US"/>
        </w:rPr>
        <w:t>f</w:t>
      </w:r>
      <w:r w:rsidR="00254069" w:rsidRPr="00254069">
        <w:rPr>
          <w:lang w:val="en-US"/>
        </w:rPr>
        <w:t>ocusing on the more extreme population enables a more nuanced understanding of political extremism and radicalization processes</w:t>
      </w:r>
      <w:r w:rsidR="00254069">
        <w:rPr>
          <w:lang w:val="en-US"/>
        </w:rPr>
        <w:t>.</w:t>
      </w:r>
    </w:p>
    <w:p w14:paraId="3B1F7FEC" w14:textId="7368D542" w:rsidR="00F56DD9" w:rsidRDefault="00254069" w:rsidP="00F56DD9">
      <w:pPr>
        <w:pStyle w:val="Newparagraph"/>
      </w:pPr>
      <w:r>
        <w:t>The research uses a</w:t>
      </w:r>
      <w:r w:rsidR="00F56DD9">
        <w:t xml:space="preserve"> longitudinal study</w:t>
      </w:r>
      <w:r>
        <w:rPr>
          <w:rStyle w:val="FootnoteReference"/>
        </w:rPr>
        <w:footnoteReference w:id="1"/>
      </w:r>
      <w:r w:rsidR="00F56DD9">
        <w:t xml:space="preserve"> </w:t>
      </w:r>
      <w:r>
        <w:t xml:space="preserve">conducted </w:t>
      </w:r>
      <w:r w:rsidR="00F56DD9">
        <w:t>in Israel between 2021 and 2024, capitalizing on the country</w:t>
      </w:r>
      <w:r w:rsidR="00707BC0">
        <w:t>’</w:t>
      </w:r>
      <w:r w:rsidR="00F56DD9">
        <w:t xml:space="preserve">s experience with high-intensity threats across multiple </w:t>
      </w:r>
      <w:r>
        <w:t xml:space="preserve">socio-political </w:t>
      </w:r>
      <w:r w:rsidR="00F56DD9">
        <w:t xml:space="preserve">domains. </w:t>
      </w:r>
      <w:r w:rsidR="008439DB">
        <w:t>The</w:t>
      </w:r>
      <w:r w:rsidR="00F56DD9">
        <w:t xml:space="preserve"> six-wave analysis spans five major destabilizing events, providing a natural quasi-experimental setting for examining </w:t>
      </w:r>
      <w:r w:rsidR="001217E4">
        <w:t>the dynamics of extremism</w:t>
      </w:r>
      <w:r w:rsidR="00F56DD9">
        <w:t>.</w:t>
      </w:r>
    </w:p>
    <w:p w14:paraId="427B55B4" w14:textId="2F3DFC4B" w:rsidR="00F56DD9" w:rsidRDefault="00F56DD9" w:rsidP="00F56DD9">
      <w:pPr>
        <w:pStyle w:val="Newparagraph"/>
      </w:pPr>
      <w:r>
        <w:t xml:space="preserve">The results strongly support </w:t>
      </w:r>
      <w:r w:rsidR="00254069">
        <w:t>the</w:t>
      </w:r>
      <w:r>
        <w:t xml:space="preserve"> hypotheses, revealing that identical events can simultaneously radicalize some political groups while moderating others, with different extremism dimensions responding independently to external stimuli. These findings advance theoretical understanding of radicalization processes while offering practitioners a comprehensive methodology for monitoring and analyzing political extremism across diverse democratic contexts.</w:t>
      </w:r>
    </w:p>
    <w:p w14:paraId="6825F8F2" w14:textId="081C8C6B" w:rsidR="001E2DA9" w:rsidRPr="00FA430D" w:rsidRDefault="001E2DA9" w:rsidP="004074B0">
      <w:pPr>
        <w:pStyle w:val="Heading1"/>
        <w:rPr>
          <w:rtl/>
          <w:lang w:bidi="he-IL"/>
        </w:rPr>
      </w:pPr>
      <w:r>
        <w:t>Assessing Political Extremism</w:t>
      </w:r>
    </w:p>
    <w:p w14:paraId="6C89E32F" w14:textId="6E3BF094" w:rsidR="00D2321C" w:rsidRPr="000D4280" w:rsidRDefault="009B1836" w:rsidP="004E3198">
      <w:pPr>
        <w:pStyle w:val="Paragraph"/>
      </w:pPr>
      <w:r w:rsidRPr="009B1836">
        <w:t xml:space="preserve">Notwithstanding its </w:t>
      </w:r>
      <w:r>
        <w:t>growing importance, the study of political extremism faces three critical barriers that limit our understanding</w:t>
      </w:r>
      <w:r w:rsidRPr="009B1836">
        <w:t xml:space="preserve"> of this phenomenon. First, political extremism remains undefined in any universally accepted way, creating conceptual </w:t>
      </w:r>
      <w:r w:rsidRPr="009B1836">
        <w:lastRenderedPageBreak/>
        <w:t>ambiguity</w:t>
      </w:r>
      <w:r>
        <w:t xml:space="preserve"> </w:t>
      </w:r>
      <w:r w:rsidR="005E3F15" w:rsidRPr="000D4280">
        <w:fldChar w:fldCharType="begin"/>
      </w:r>
      <w:r w:rsidR="00061050" w:rsidRPr="000D4280">
        <w:instrText xml:space="preserve"> ADDIN ZOTERO_ITEM CSL_CITATION {"citationID":"yvI63H5t","properties":{"formattedCitation":"(B\\uc0\\u246{}tticher, 2017; Eatwell &amp; Goodwin, 2010; Sotlar, 2004; Svetlichny &amp; Khorev, 2022)","plainCitation":"(Bötticher, 2017; Eatwell &amp; Goodwin, 2010; Sotlar, 2004; Svetlichny &amp; Khorev, 2022)","noteIndex":0},"citationItems":[{"id":177,"uris":["http://zotero.org/users/11665025/items/X5LS6UIH"],"itemData":{"id":177,"type":"report","language":"en","number":"208033","publisher":"U.S. Department of Justice.","source":"Zotero","title":"Some Problems With Definition And Perception Of Extremism Within Society","URL":"https://www.ojp.gov/pdffiles1/nij/Mesko/208033.pdf","author":[{"family":"Sotlar","given":"Andrej"}],"issued":{"date-parts":[["2004",12]]}}},{"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Roger"},{"family":"Goodwin","given":"Matthew"}],"issued":{"date-parts":[["2010"]]}}},{"id":176,"uris":["http://zotero.org/users/11665025/items/P7U5LEP4"],"itemData":{"id":176,"type":"article-journal","container-title":"Perspectives on Terrorism","issue":"4","language":"en","source":"Zotero","title":"Towards Academic Consensus Definitions of Radicalism and Extremism","volume":"11","author":[{"family":"Bötticher","given":"Astrid"}],"issued":{"date-parts":[["2017"]]}}},{"id":175,"uris":["http://zotero.org/users/11665025/items/QEWGNNJT"],"itemData":{"id":175,"type":"article-journal","abstract":"The article deals with the issues of understanding the term ‘extremism’. The research results showing that in society (among both ordinary citizens and representatives of law enforcement agencies), despite the existing bias against extremism, there is no clear understanding of the meaning of this term are presented. Consideration of extremism without taking into account the meaning and context of the term itself leads to a narrow understanding of the phenomenon and its consequences. This has led to extremism being described in such terms as ‘terrorism’ and ‘radicalisation’ or ‘polarisation’, which require responses (such as counter-terrorism measures and military action) from governments to combat this form of extremism. In our opinion, this approach is not entirely correct and, in some cases, can lead to negative consequences, since the problem of extremism has rather deep roots and an understanding of the social and psychological origins of this phenomenon is required for its effective solution. An analysis of its context provides additional insight into possible solutions to combat extremism. This may prompt governments to take action to ensure a more sustainable approach to countering extremism.","container-title":"Dela Press Conference Series: Humanities and Social Sciences","issue":"01","language":"en","license":"Copyright (c) 2022","note":"number: 01","page":"6-6","source":"dpcshss.delapress.com","title":"On the need to develop a unified terminological approach to the concept of ‘extremism’: 004","title-short":"On the need to develop a unified terminological approach to the concept of ‘extremism’","author":[{"family":"Svetlichny","given":"Aleksander"},{"family":"Khorev","given":"Mikhail"}],"issued":{"date-parts":[["2022",7,24]]}}}],"schema":"https://github.com/citation-style-language/schema/raw/master/csl-citation.json"} </w:instrText>
      </w:r>
      <w:r w:rsidR="005E3F15" w:rsidRPr="000D4280">
        <w:fldChar w:fldCharType="separate"/>
      </w:r>
      <w:r w:rsidR="00061050" w:rsidRPr="000D4280">
        <w:t>(Bötticher, 2017; Eatwell &amp; Goodwin, 2010; Sotlar, 2004; Svetlichny &amp; Khorev, 2022)</w:t>
      </w:r>
      <w:r w:rsidR="005E3F15" w:rsidRPr="000D4280">
        <w:fldChar w:fldCharType="end"/>
      </w:r>
      <w:r w:rsidR="005E3F15" w:rsidRPr="000D4280">
        <w:t xml:space="preserve">. </w:t>
      </w:r>
      <w:r w:rsidR="00CB334B" w:rsidRPr="000D4280">
        <w:t>T</w:t>
      </w:r>
      <w:r w:rsidR="005E3F15" w:rsidRPr="000D4280">
        <w:t>he term</w:t>
      </w:r>
      <w:r w:rsidR="00707BC0">
        <w:t xml:space="preserve">’ </w:t>
      </w:r>
      <w:r w:rsidR="005E3F15" w:rsidRPr="000D4280">
        <w:t>extremism</w:t>
      </w:r>
      <w:r w:rsidR="00707BC0">
        <w:t>’</w:t>
      </w:r>
      <w:r w:rsidR="00CB334B" w:rsidRPr="000D4280">
        <w:t>,</w:t>
      </w:r>
      <w:r w:rsidR="005E3F15" w:rsidRPr="000D4280">
        <w:t xml:space="preserve"> rather than </w:t>
      </w:r>
      <w:r w:rsidR="00707BC0">
        <w:t>‘</w:t>
      </w:r>
      <w:r w:rsidR="005E3F15" w:rsidRPr="000D4280">
        <w:t>political extremism</w:t>
      </w:r>
      <w:r w:rsidR="00707BC0">
        <w:t>’</w:t>
      </w:r>
      <w:r w:rsidR="00CB334B" w:rsidRPr="000D4280">
        <w:t>,</w:t>
      </w:r>
      <w:r w:rsidR="005E3F15" w:rsidRPr="000D4280">
        <w:t xml:space="preserve"> </w:t>
      </w:r>
      <w:r w:rsidR="00CB334B" w:rsidRPr="000D4280">
        <w:t xml:space="preserve">is used </w:t>
      </w:r>
      <w:r w:rsidR="005E3F15" w:rsidRPr="000D4280">
        <w:t xml:space="preserve">even in an apparent political context </w:t>
      </w:r>
      <w:r w:rsidR="00CB334B" w:rsidRPr="000D4280">
        <w:fldChar w:fldCharType="begin"/>
      </w:r>
      <w:r w:rsidR="00CB334B" w:rsidRPr="000D4280">
        <w:instrText xml:space="preserve"> ADDIN ZOTERO_ITEM CSL_CITATION {"citationID":"MtIir3pj","properties":{"formattedCitation":"(Onursal &amp; Kirkpatrick, 2021; Scruton, 2007; UK Parliament, 2024)","plainCitation":"(Onursal &amp; Kirkpatrick, 2021; Scruton, 2007; UK Parliament, 2024)","noteIndex":0},"citationItems":[{"id":265,"uris":["http://zotero.org/users/11665025/items/F3P49JJS"],"itemData":{"id":265,"type":"article-journal","abstract":"That the distinctions between terrorism and extremism have become increasingly blurred is something of a truism, but there has been little systematic analysis of whether this is truly the case nor of its possible implications. This paper argues that there has been a recent convergence between these two concepts in British parliamentary discourse, reproducing the same signifiers and meanings for non-violent extremism as previously existed for terrorism. In doing so, the paper makes a threefold contribution: methodologically through utilising the underdeveloped approach of post-foundationalist discourse analysis (PFDA) and applying it to the field of terrorism studies; empirically through analysing all the discourse in 1,037 British parliamentary debates between 2010 and 2017; theoretically through drawing together post-foundationalism with Bourdieusian practice theory to show that this transformation of discourse has coincided with social practices of informal criminalization targeting non-violent extremism as if it were terrorism. This has important policy implications as it prescribes particular counter-terrorism practices associated with the hegemonic discourse of terrorism which, when extended to extremism, risk alienating, dehumanizing and motivating the very people deemed to be “at risk” of extremism. The paper illustrates these issues through a discussion of their application in the Prevent Strategy for Higher Education.","container-title":"Terrorism and Political Violence","DOI":"10.1080/09546553.2019.1598391","ISSN":"0954-6553","issue":"5","note":"publisher: Routledge\n_eprint: https://doi.org/10.1080/09546553.2019.1598391","page":"1094–1116","source":"Taylor and Francis+NEJM","title":"Is Extremism the ‘New’ Terrorism? the Convergence of ‘Extremism’ and ‘Terrorism’ in British Parliamentary Discourse","title-short":"Is Extremism the ‘New’ Terrorism?","volume":"33","author":[{"family":"Onursal","given":"Recep"},{"family":"Kirkpatrick","given":"Daniel"}],"issued":{"date-parts":[["2021",7,4]]}}},{"id":156,"uris":["http://zotero.org/users/11665025/items/8623YYLU"],"itemData":{"id":156,"type":"book","abstract":"This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thought","author":[{"family":"Scruton","given":"Roger"}],"issued":{"date-parts":[["2007"]]}}},{"id":193,"uris":["http://zotero.org/users/11665025/items/9SAEX797"],"itemData":{"id":193,"type":"report","abstract":"Hansard record of the item : 'Extremism Definition and Community Engagement' on Tuesday 19 March 2024.","language":"en","publisher":"UK Parliament","title":"Extremism Definition and Community Engagement","URL":"https://hansard.parliament.uk/Lords/2024-03-19/debates/0641C02D-BD26-47DB-900A-2916104490CB/ExtremismDefinitionAndCommunityEngagement","author":[{"family":"UK Parliament","given":""}],"accessed":{"date-parts":[["2024",4,6]]},"issued":{"date-parts":[["2024",3,19]]}}}],"schema":"https://github.com/citation-style-language/schema/raw/master/csl-citation.json"} </w:instrText>
      </w:r>
      <w:r w:rsidR="00CB334B" w:rsidRPr="000D4280">
        <w:fldChar w:fldCharType="separate"/>
      </w:r>
      <w:r w:rsidR="00CB334B" w:rsidRPr="000D4280">
        <w:t>(Onursal &amp; Kirkpatrick, 2021; Scruton, 2007; UK Parliament, 2024)</w:t>
      </w:r>
      <w:r w:rsidR="00CB334B" w:rsidRPr="000D4280">
        <w:fldChar w:fldCharType="end"/>
      </w:r>
      <w:r w:rsidR="00CB334B" w:rsidRPr="000D4280">
        <w:t xml:space="preserve">. </w:t>
      </w:r>
      <w:r w:rsidR="006F625E">
        <w:t>A</w:t>
      </w:r>
      <w:r w:rsidR="006F625E" w:rsidRPr="000D4280">
        <w:t xml:space="preserve">bsolute and relative approaches </w:t>
      </w:r>
      <w:r w:rsidR="006F625E">
        <w:t xml:space="preserve">coexist </w:t>
      </w:r>
      <w:r w:rsidR="006F625E" w:rsidRPr="000D4280">
        <w:t xml:space="preserve">within the current </w:t>
      </w:r>
      <w:r w:rsidR="006F625E">
        <w:t xml:space="preserve">academic </w:t>
      </w:r>
      <w:r w:rsidR="006F625E" w:rsidRPr="000D4280">
        <w:t>discourse</w:t>
      </w:r>
      <w:r w:rsidR="006F625E">
        <w:t>. R</w:t>
      </w:r>
      <w:r w:rsidR="006F625E" w:rsidRPr="000D4280">
        <w:t>elative definitions position extremists at the edges of the political spectrum, outside the mainstream</w:t>
      </w:r>
      <w:r w:rsidR="006F625E">
        <w:t>,</w:t>
      </w:r>
      <w:r w:rsidR="006F625E" w:rsidRPr="000D4280">
        <w:t xml:space="preserve"> </w:t>
      </w:r>
      <w:r w:rsidR="006F625E">
        <w:t>taking</w:t>
      </w:r>
      <w:r w:rsidR="006F625E" w:rsidRPr="000D4280">
        <w:t xml:space="preserve"> political ideas to their logical extremes </w:t>
      </w:r>
      <w:r w:rsidR="006F625E" w:rsidRPr="000D4280">
        <w:fldChar w:fldCharType="begin"/>
      </w:r>
      <w:r w:rsidR="006F625E" w:rsidRPr="000D4280">
        <w:instrText xml:space="preserve"> ADDIN ZOTERO_ITEM CSL_CITATION {"citationID":"IK5NAacv","properties":{"formattedCitation":"(Coleman &amp; Bartoli, 2015; Mandel, 2010; Scruton, 2007; Wintrobe, 2006)","plainCitation":"(Coleman &amp; Bartoli, 2015; Mandel, 2010; Scruton, 2007;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thought","author":[{"family":"Scruton","given":"Roger"}],"issued":{"date-parts":[["2007"]]}}},{"id":262,"uris":["http://zotero.org/users/11665025/items/R7KKSGHB"],"itemData":{"id":262,"type":"chapter","container-title":"T. Pick &amp; A. Speckhard (Eds.), Indigenous terrorism: Understanding and addressing the root causes of radicalisation among groups with an immigrant heritage in Europe","event-place":"Amsterdam","page":"101-113","publisher":"IOS Press","publisher-place":"Amsterdam","source":"ResearchGate","title":"Radicalization: What does it mean?","title-short":"Radicalization","author":[{"family":"Mandel","given":"David"}],"issued":{"date-parts":[["2010",1,1]]}}},{"id":152,"uris":["http://zotero.org/users/11665025/items/FFXAQ2IH"],"itemData":{"id":152,"type":"report","language":"en","publisher":"The International Center for Cooperation and Conflict Resolution (ICCCR)","source":"resolvenet.org","title":"Addressing Extremism","URL":"https://resolvenet.org/research/publications/addressing-extremism","author":[{"family":"Coleman","given":"Peter T."},{"family":"Bartoli","given":"Andrea"}],"accessed":{"date-parts":[["2024",5,12]]},"issued":{"date-parts":[["2015",1,1]]}}}],"schema":"https://github.com/citation-style-language/schema/raw/master/csl-citation.json"} </w:instrText>
      </w:r>
      <w:r w:rsidR="006F625E" w:rsidRPr="000D4280">
        <w:fldChar w:fldCharType="separate"/>
      </w:r>
      <w:r w:rsidR="006F625E" w:rsidRPr="000D4280">
        <w:t>(Coleman &amp; Bartoli, 2015; Mandel, 2010; Scruton, 2007; Wintrobe, 2006)</w:t>
      </w:r>
      <w:r w:rsidR="006F625E" w:rsidRPr="000D4280">
        <w:fldChar w:fldCharType="end"/>
      </w:r>
      <w:r w:rsidR="006F625E" w:rsidRPr="000D4280">
        <w:t xml:space="preserve">. Absolute definitions associate a specific ideological content with political extremism, such as opposing a democratic constitutional state </w:t>
      </w:r>
      <w:r w:rsidR="006F625E" w:rsidRPr="000D4280">
        <w:fldChar w:fldCharType="begin"/>
      </w:r>
      <w:r w:rsidR="006F625E" w:rsidRPr="000D4280">
        <w:instrText xml:space="preserve"> ADDIN ZOTERO_ITEM CSL_CITATION {"citationID":"L3JmhKhd","properties":{"formattedCitation":"(Jungkunz, 2022; Midlarsky, 2011)","plainCitation":"(Jungkunz, 2022; Midlarsky, 2011)","noteIndex":0},"citationItems":[{"id":261,"uris":["http://zotero.org/users/11665025/items/A7IA9GGS"],"itemData":{"id":261,"type":"article-journal","container-title":"Cambridge University Press","language":"en","source":"Zotero","title":"Origins of Political Extremism Mass Violence in the Twentieth Century and Beyond","author":[{"family":"Midlarsky","given":"Manus I"}],"issued":{"date-parts":[["2011"]]}}},{"id":295,"uris":["http://zotero.org/users/11665025/items/3UE4UVGW"],"itemData":{"id":295,"type":"book","event-place":"Cham","ISBN":"978-3-030-83335-0","language":"en","note":"DOI: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6F625E" w:rsidRPr="000D4280">
        <w:fldChar w:fldCharType="separate"/>
      </w:r>
      <w:r w:rsidR="006F625E" w:rsidRPr="000D4280">
        <w:t>(Jungkunz, 2022; Midlarsky, 2011)</w:t>
      </w:r>
      <w:r w:rsidR="006F625E" w:rsidRPr="000D4280">
        <w:fldChar w:fldCharType="end"/>
      </w:r>
      <w:r w:rsidR="006F625E" w:rsidRPr="000D4280">
        <w:t xml:space="preserve">, monism </w:t>
      </w:r>
      <w:r w:rsidR="006F625E" w:rsidRPr="000D4280">
        <w:fldChar w:fldCharType="begin"/>
      </w:r>
      <w:r w:rsidR="006F625E" w:rsidRPr="000D4280">
        <w:instrText xml:space="preserve"> ADDIN ZOTERO_ITEM CSL_CITATION {"citationID":"449xbh7P","properties":{"formattedCitation":"(Eatwell &amp; Goodwin, 2010)","plainCitation":"(Eatwell &amp; Goodwin, 2010)","noteIndex":0},"citationItems":[{"id":135,"uris":["http://zotero.org/users/11665025/items/2HPAFYPU"],"itemData":{"id":135,"type":"book","event-place":"London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Roger"},{"family":"Goodwin","given":"Matthew"}],"issued":{"date-parts":[["2010"]]}}}],"schema":"https://github.com/citation-style-language/schema/raw/master/csl-citation.json"} </w:instrText>
      </w:r>
      <w:r w:rsidR="006F625E" w:rsidRPr="000D4280">
        <w:fldChar w:fldCharType="separate"/>
      </w:r>
      <w:r w:rsidR="006F625E" w:rsidRPr="000D4280">
        <w:t>(Eatwell &amp; Goodwin, 2010)</w:t>
      </w:r>
      <w:r w:rsidR="006F625E" w:rsidRPr="000D4280">
        <w:fldChar w:fldCharType="end"/>
      </w:r>
      <w:r w:rsidR="006F625E" w:rsidRPr="000D4280">
        <w:t xml:space="preserve">, and a disregard for the lives, liberties, and human rights of others </w:t>
      </w:r>
      <w:r w:rsidR="006F625E" w:rsidRPr="000D4280">
        <w:fldChar w:fldCharType="begin"/>
      </w:r>
      <w:r w:rsidR="006F625E" w:rsidRPr="000D4280">
        <w:instrText xml:space="preserve"> ADDIN ZOTERO_ITEM CSL_CITATION {"citationID":"fQvV281v","properties":{"formattedCitation":"(Scruton, 2007)","plainCitation":"(Scruton, 2007)","noteIndex":0},"citationItems":[{"id":156,"uris":["http://zotero.org/users/11665025/items/8623YYLU"],"itemData":{"id":156,"type":"book","abstract":"This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6F625E" w:rsidRPr="000D4280">
        <w:fldChar w:fldCharType="separate"/>
      </w:r>
      <w:r w:rsidR="006F625E" w:rsidRPr="000D4280">
        <w:t>(Scruton, 2007)</w:t>
      </w:r>
      <w:r w:rsidR="006F625E" w:rsidRPr="000D4280">
        <w:fldChar w:fldCharType="end"/>
      </w:r>
      <w:r w:rsidR="006F625E" w:rsidRPr="000D4280">
        <w:t>.</w:t>
      </w:r>
      <w:r w:rsidR="004E3198">
        <w:t xml:space="preserve"> </w:t>
      </w:r>
      <w:r w:rsidR="00AB680B" w:rsidRPr="000D4280">
        <w:t xml:space="preserve">The fragmentation of the term </w:t>
      </w:r>
      <w:r w:rsidR="005B7099">
        <w:t>into</w:t>
      </w:r>
      <w:r w:rsidR="00AB680B" w:rsidRPr="000D4280">
        <w:t xml:space="preserve"> various subtypes </w:t>
      </w:r>
      <w:r w:rsidR="006F625E" w:rsidRPr="000D4280">
        <w:t>may lead to differing interpretations and conclusions</w:t>
      </w:r>
      <w:r w:rsidR="006F625E">
        <w:t xml:space="preserve">, </w:t>
      </w:r>
      <w:r w:rsidR="00AB680B" w:rsidRPr="000D4280">
        <w:t>creat</w:t>
      </w:r>
      <w:r w:rsidR="006F625E">
        <w:t>ing</w:t>
      </w:r>
      <w:r w:rsidR="00AB680B" w:rsidRPr="000D4280">
        <w:t xml:space="preserve"> ambiguity </w:t>
      </w:r>
      <w:r w:rsidR="00893134" w:rsidRPr="000D4280">
        <w:fldChar w:fldCharType="begin"/>
      </w:r>
      <w:r w:rsidR="00061050" w:rsidRPr="000D4280">
        <w:instrText xml:space="preserve"> ADDIN ZOTERO_ITEM CSL_CITATION {"citationID":"2UyS7X5e","properties":{"formattedCitation":"(Bjelopera, 2017)","plainCitation":"(Bjelopera, 2017)","noteIndex":0},"citationItems":[{"id":236,"uris":["http://zotero.org/users/11665025/items/NCCVQSKE"],"itemData":{"id":236,"type":"report","abstract":"The emphasis of counterterrorism policy in the United States since Al Qaeda’s attacks of September 11, 2001 (9/11) has been on jihadist terrorism. However, in the last decade, domestic terrorists—people who commit crimes within the homeland and draw inspiration from U.S.-based extremist ideologies and movements—have killed American citizens and damaged property across the country. Not all of these criminals have been prosecuted under federal terrorism statutes, which does not imply that domestic terrorists are taken any less seriously than other terrorists.","language":"en","number":"R44921","publisher":"Congressional Research Service","source":"Zotero","title":"Domestic Terrorism: An Overview","URL":"https://sgp.fas.org/crs/terror/R44921.pdf","author":[{"family":"Bjelopera","given":"Jerome P"}],"issued":{"date-parts":[["2017",8,21]]}}}],"schema":"https://github.com/citation-style-language/schema/raw/master/csl-citation.json"} </w:instrText>
      </w:r>
      <w:r w:rsidR="00893134" w:rsidRPr="000D4280">
        <w:fldChar w:fldCharType="separate"/>
      </w:r>
      <w:r w:rsidR="00893134" w:rsidRPr="000D4280">
        <w:t>(Bjelopera, 2017)</w:t>
      </w:r>
      <w:r w:rsidR="00893134" w:rsidRPr="000D4280">
        <w:fldChar w:fldCharType="end"/>
      </w:r>
      <w:r w:rsidR="00893134" w:rsidRPr="000D4280">
        <w:t xml:space="preserve"> </w:t>
      </w:r>
      <w:r w:rsidR="00AB680B" w:rsidRPr="000D4280">
        <w:t>and challeng</w:t>
      </w:r>
      <w:r w:rsidR="006F625E">
        <w:t>ing</w:t>
      </w:r>
      <w:r w:rsidR="00AB680B" w:rsidRPr="000D4280">
        <w:t xml:space="preserve"> our capability to frame </w:t>
      </w:r>
      <w:r w:rsidR="006F625E">
        <w:t>the phenomenon</w:t>
      </w:r>
      <w:r w:rsidR="00AB680B" w:rsidRPr="000D4280">
        <w:t xml:space="preserve">. </w:t>
      </w:r>
      <w:bookmarkStart w:id="0" w:name="_Hlk204114560"/>
      <w:r w:rsidR="00887242" w:rsidRPr="000D4280">
        <w:t xml:space="preserve">Further contributing to the lack of clarity is the use of other terms, such as </w:t>
      </w:r>
      <w:r w:rsidR="00707BC0">
        <w:t>‘</w:t>
      </w:r>
      <w:r w:rsidR="00887242" w:rsidRPr="000D4280">
        <w:t>radicalism</w:t>
      </w:r>
      <w:r w:rsidR="00707BC0">
        <w:t>’</w:t>
      </w:r>
      <w:r w:rsidR="00887242" w:rsidRPr="000D4280">
        <w:t xml:space="preserve"> and </w:t>
      </w:r>
      <w:r w:rsidR="00707BC0">
        <w:t>‘</w:t>
      </w:r>
      <w:r w:rsidR="00887242" w:rsidRPr="000D4280">
        <w:t>terrorism,</w:t>
      </w:r>
      <w:r w:rsidR="00707BC0">
        <w:t>’</w:t>
      </w:r>
      <w:r w:rsidR="00887242" w:rsidRPr="000D4280">
        <w:t xml:space="preserve"> which </w:t>
      </w:r>
      <w:r w:rsidR="006F625E">
        <w:t>overlap in definition</w:t>
      </w:r>
      <w:r w:rsidR="00887242" w:rsidRPr="000D4280">
        <w:t xml:space="preserve"> </w:t>
      </w:r>
      <w:r w:rsidR="00887242" w:rsidRPr="000D4280">
        <w:fldChar w:fldCharType="begin"/>
      </w:r>
      <w:r w:rsidR="008A4367">
        <w:instrText xml:space="preserve"> ADDIN ZOTERO_ITEM CSL_CITATION {"citationID":"JgKc70Zq","properties":{"formattedCitation":"(Allchorn &amp; Orofino, 2023)","plainCitation":"(Allchorn &amp; Orofino, 2023)","noteIndex":0},"citationItems":[{"id":307,"uris":["http://zotero.org/users/11665025/items/FPD7IVW8"],"itemData":{"id":307,"type":"book","edition":"1","event-place":"London","ISBN":"978-1-003-03279-3","language":"en","note":"DOI: 10.4324/9781003032793","publisher":"Routledge","publisher-place":"London","source":"DOI.org (Crossref)","title":"Routledge Handbook of Non-Violent Extremism: Groups, Perspectives and New Debates","title-short":"Routledge Handbook of Non-Violent Extremism","URL":"https://www.taylorfrancis.com/books/9781003032793","author":[{"family":"Allchorn","given":"William"},{"family":"Orofino","given":"Elisa"}],"accessed":{"date-parts":[["2024",2,25]]},"issued":{"date-parts":[["2023",1,13]]}}}],"schema":"https://github.com/citation-style-language/schema/raw/master/csl-citation.json"} </w:instrText>
      </w:r>
      <w:r w:rsidR="00887242" w:rsidRPr="000D4280">
        <w:fldChar w:fldCharType="separate"/>
      </w:r>
      <w:r w:rsidR="00887242" w:rsidRPr="000D4280">
        <w:t>(Allchorn &amp; Orofino, 2023)</w:t>
      </w:r>
      <w:r w:rsidR="00887242" w:rsidRPr="000D4280">
        <w:fldChar w:fldCharType="end"/>
      </w:r>
      <w:r w:rsidR="00887242" w:rsidRPr="000D4280">
        <w:t xml:space="preserve">. </w:t>
      </w:r>
      <w:r w:rsidR="005B644D">
        <w:t>Although much of the current literature emphasizes right-wing and Islamist extremism, the development of a truly universal definition necessitates an inclusive approach that captures additional extremist forms such as left-wing, environmental, and other ideologically motivated variants.</w:t>
      </w:r>
    </w:p>
    <w:p w14:paraId="4AD543EF" w14:textId="2A5D5D59" w:rsidR="00887242" w:rsidRPr="00887242" w:rsidRDefault="004E3198" w:rsidP="004E3198">
      <w:pPr>
        <w:pStyle w:val="Newparagraph"/>
      </w:pPr>
      <w:r w:rsidRPr="004E3198">
        <w:rPr>
          <w:rFonts w:asciiTheme="majorBidi" w:hAnsiTheme="majorBidi" w:cstheme="majorBidi"/>
        </w:rPr>
        <w:t>Second, the field tends to fragment extremism into discrete dimensions rather than studying it as an integrated whole.</w:t>
      </w:r>
      <w:r>
        <w:rPr>
          <w:rFonts w:asciiTheme="majorBidi" w:hAnsiTheme="majorBidi" w:cstheme="majorBidi"/>
        </w:rPr>
        <w:t xml:space="preserve"> </w:t>
      </w:r>
      <w:r w:rsidR="00887242" w:rsidRPr="006E0C44">
        <w:t xml:space="preserve">Relying on a single feature or dimension when assessing political extremism can lead </w:t>
      </w:r>
      <w:r w:rsidR="00887242">
        <w:t xml:space="preserve">to overlooking various forms of it </w:t>
      </w:r>
      <w:r w:rsidR="00887242" w:rsidRPr="006E0C44">
        <w:fldChar w:fldCharType="begin"/>
      </w:r>
      <w:r w:rsidR="00887242" w:rsidRPr="006E0C44">
        <w:instrText xml:space="preserve"> ADDIN ZOTERO_ITEM CSL_CITATION {"citationID":"8iCIU1ND","properties":{"formattedCitation":"(Schmid, 2014)","plainCitation":"(Schmid, 2014)","noteIndex":0},"citationItems":[{"id":311,"uris":["http://zotero.org/users/11665025/items/3Q2A53I6"],"itemData":{"id":311,"type":"article-journal","container-title":"Terrorism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887242" w:rsidRPr="006E0C44">
        <w:fldChar w:fldCharType="separate"/>
      </w:r>
      <w:r w:rsidR="00887242" w:rsidRPr="006E0C44">
        <w:t>(Schmid, 2014)</w:t>
      </w:r>
      <w:r w:rsidR="00887242" w:rsidRPr="006E0C44">
        <w:fldChar w:fldCharType="end"/>
      </w:r>
      <w:r w:rsidR="00887242">
        <w:t xml:space="preserve"> or </w:t>
      </w:r>
      <w:r w:rsidR="00887242" w:rsidRPr="006E0C44">
        <w:t xml:space="preserve">to </w:t>
      </w:r>
      <w:r w:rsidR="00887242">
        <w:t xml:space="preserve">a </w:t>
      </w:r>
      <w:r w:rsidR="00887242" w:rsidRPr="006E0C44">
        <w:t>biased understanding of the phenomenon</w:t>
      </w:r>
      <w:r w:rsidR="00887242">
        <w:t xml:space="preserve">. The ideological position is evident in almost all definitions of political extremism; however, its conceptualization and measurement vary significantly. Many scholars limit the definition to a left-right political position </w:t>
      </w:r>
      <w:r w:rsidR="00887242">
        <w:fldChar w:fldCharType="begin"/>
      </w:r>
      <w:r w:rsidR="008A4367">
        <w:instrText xml:space="preserve"> ADDIN ZOTERO_ITEM CSL_CITATION {"citationID":"OVPl3fUs","properties":{"formattedCitation":"(van Prooijen &amp; Krouwel, 2019, 2022)","plainCitation":"(van Prooijen &amp; Krouwel, 2019, 2022)","noteIndex":0},"citationItems":[{"id":154,"uris":["http://zotero.org/users/11665025/items/5CS9KHJQ"],"itemData":{"id":154,"type":"article-journal","container-title":"Current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M."}],"issued":{"date-parts":[["2019",4]]}}},{"id":1008,"uris":["http://zotero.org/users/11665025/items/TNF3QHVZ"],"itemData":{"id":1008,"type":"chapter","abstract":"While the field of political psychology has overwhelmingly focused on political orientation (i.e., ideological content), this chapter proposes that political extremism (i.e., ideological strength) at the left and right also matters for a range of important variables. The main argument is that feelings of distress prompt a desire for epistemic clarity, which increases the appeal of the clear-cut answers that politically extreme movements provide for pressing societal problems. The chapter subsequently proposes that political extremism in most cases is a problem for societies. We review evidence that politically extreme beliefs are associated with overconfidence in the correctness of one’s beliefs and knowledge about the world, an increased susceptibility to beliefs that are not supported by science or reason, and intolerance of competing belief systems or groups perceived as ideologically different. We conclude by articulating a few limitations and research directions in this research domain.","collection-title":"Cambridge Handbooks in Psychology","container-title":"The Cambridge Handbook of Political Psychology","event-place":"Cambridge","ISBN":"978-1-108-48963-8","note":"DOI: 10.1017/9781108779104.029","page":"414-428","publisher":"Cambridge University Press","publisher-place":"Cambridge","source":"Cambridge University Press","title":"Political Extremism","URL":"https://www.cambridge.org/core/books/cambridge-handbook-of-political-psychology/political-extremism/8A4DD283393A9EA13792DEBBEE6D4A09","editor":[{"family":"Sibley","given":"Chris G."},{"family":"Osborne","given":"Danny"}],"author":[{"family":"Prooijen","given":"Jan-Willem","non-dropping-particle":"van"},{"family":"Krouwel","given":"André P. M."}],"accessed":{"date-parts":[["2024",6,25]]},"issued":{"date-parts":[["2022"]]}}}],"schema":"https://github.com/citation-style-language/schema/raw/master/csl-citation.json"} </w:instrText>
      </w:r>
      <w:r w:rsidR="00887242">
        <w:fldChar w:fldCharType="separate"/>
      </w:r>
      <w:r w:rsidR="00887242" w:rsidRPr="00061050">
        <w:t>(van Prooijen &amp; Krouwel, 2019, 2022)</w:t>
      </w:r>
      <w:r w:rsidR="00887242">
        <w:fldChar w:fldCharType="end"/>
      </w:r>
      <w:r w:rsidR="00887242">
        <w:t xml:space="preserve"> using </w:t>
      </w:r>
      <w:r w:rsidR="00887242" w:rsidRPr="006E0C44">
        <w:t xml:space="preserve">an ideological self-positioning scale </w:t>
      </w:r>
      <w:r w:rsidR="00887242" w:rsidRPr="006E0C44">
        <w:lastRenderedPageBreak/>
        <w:t>to identify political extremism</w:t>
      </w:r>
      <w:r w:rsidR="00887242">
        <w:t xml:space="preserve"> </w:t>
      </w:r>
      <w:r w:rsidR="00887242" w:rsidRPr="006E0C44">
        <w:fldChar w:fldCharType="begin"/>
      </w:r>
      <w:r w:rsidR="008A4367">
        <w:instrText xml:space="preserve"> ADDIN ZOTERO_ITEM CSL_CITATION {"citationID":"kwCN03g0","properties":{"formattedCitation":"(Rigoli, 2023; Uba &amp; Bosi, 2022; van Prooijen et al., 2015; van Prooijen &amp; Kuijper, 2020)","plainCitation":"(Rigoli, 2023; Uba &amp; Bosi, 2022; van Prooijen et al., 2015; van Prooijen &amp; Kuijper, 2020)","noteIndex":0},"citationItems":[{"id":158,"uris":["http://zotero.org/users/11665025/items/SZXH35DP"],"itemData":{"id":158,"type":"article-journal","abstract":"Historical records suggest that the political extremes—at both the “left” and the “right”—substantially endorsed conspiracy beliefs about other-minded groups. The present contribution empirically tests whether extreme political ideologies, at either side of the political spectrum, are positively associated with an increased tendency to believe in conspiracy theories. Four studies conducted in the United States and the Netherlands revealed a quadratic relationship between strength of political ideology and conspiracy beliefs about various political issues. Moreover, participants’ belief in simple political solutions to societal problems mediated conspiracy beliefs among both left- and right-wing extremists. Finally, the effects described here were not attributable to general attitude extremity. Our conclusion is that political extremism and conspiracy beliefs are strongly associated due to a highly structured thinking style that is aimed at making sense of societal events.","container-title":"Social Psychological and Personality Science","DOI":"10.1177/1948550614567356","ISSN":"1948-5506","issue":"5","language":"en","note":"publisher: SAGE Publications Inc","page":"570-578","source":"SAGE Journals","title":"Political Extremism Predicts Belief in Conspiracy Theories","volume":"6","author":[{"family":"Prooijen","given":"Jan-Willem","non-dropping-particle":"van"},{"family":"Krouwel","given":"André P. M."},{"family":"Pollet","given":"Thomas V."}],"issued":{"date-parts":[["2015",7,1]]}}},{"id":157,"uris":["http://zotero.org/users/11665025/items/28PDJDBX"],"itemData":{"id":157,"type":"article-journal","abstract":"People can polarize into various ideologies, including tendencies towards political left- and right-wing extremism, and religious fundamentalism. Here we compare polarization in these different ideologies in a US online sample (N = 424). Building on significance quest theory, we specifically investigate how individual tendencies towards political extremism and religious fundamentalism are associated with grievance and worldview variables within the same study. As grievance variables we measured personal and fraternal deprivation, and socio-economic fear. As worldview variables we measured belief significance, dogmatic intolerance, and parochial altruism. Results revealed that political extremism and religious fundamentalism were similarly associated with the worldview variables but not with the grievance variables. We conclude that independent of content, ideological polarization is associated with a common worldview characterized by the feeling that one supports a meaningful cause, intolerance of alternative ideologies, and a willingness to make personal sacrifices for one's ideals.","container-title":"Personality and Individual Differences","DOI":"10.1016/j.paid.2020.109888","ISSN":"0191-8869","journalAbbreviation":"Personality and Individual Differences","page":"109888","source":"ScienceDirect","title":"A comparison of extreme religious and political ideologies: Similar worldviews but different grievances","title-short":"A comparison of extreme religious and political ideologies","volume":"159","author":[{"family":"Prooijen","given":"Jan-Willem","non-dropping-particle":"van"},{"family":"Kuijper","given":"Sophia M. H. C."}],"issued":{"date-parts":[["2020",6,1]]}}},{"id":192,"uris":["http://zotero.org/users/11665025/items/ZHMPGUG8"],"itemData":{"id":192,"type":"article-journal","abstract":"The concept of ‘young radicals’ is gaining ground in a context of generalized discontent – often, this is due to the fact that young people engage increasingly in unconventional forms of political activism. Much less is known about young people holding radical political attitudes. This article advances our understanding of those young people who place themselves on the extremes of the ideological scale and investigates how those with radical right attitudes differ from those with radical left ones. Drawing on a survey that gathers data from nine European countries, with a sample of young people aged 18–35, we test those factors that have been used to explain why people use violent repertoires of action: social background, gender, political values, and prior experience in protest activism. The results relate ‘radicalness’ to experienced economic difficulties and the more contentious political activism. The difference between the young ‘radicals’ in right and left are, however, defined by gender and adherence to authoritarian values.","container-title":"Politics","DOI":"10.1177/0263395721990539","ISSN":"0263-3957","issue":"1","language":"en","note":"publisher: SAGE Publications Ltd","page":"128-145","source":"SAGE Journals","title":"Explaining youth radicalism as a positioning of the self at opposite extremes","volume":"42","author":[{"family":"Uba","given":"Katrin"},{"family":"Bosi","given":"Lorenzo"}],"issued":{"date-parts":[["2022",2,1]]}}},{"id":1809,"uris":["http://zotero.org/users/11665025/items/Q5REZ285","http://zotero.org/users/11665025/items/5Q36N8GV"],"itemData":{"id":1809,"type":"article-journal","abstract":"Examining data from the World Value Survey about left-right political orientation, the paper explores political extremism among common people worldwide. Our analysis reveals (i) a positive correlation between left-wing and right-wing extremism across countries, (ii) an average rise in political extremism globally in the last decade, (iii) greater political extremism in less developed countries, (iv) and a surge, during the last decade, in political extremism for less developed countries and for countries where development has not met expectations. Besides offering a picture of how successful political extremism is globally, our investigation provides insight into the driving forces behind this phenomenon.","container-title":"Journal of Global Awareness","issue":"1","language":"en","license":"cc_by_nc_nd_4","note":"number: 1\npublisher: St. John's University, Tobin College of Business","source":"openaccess.city.ac.uk","title":"Political Extremism in a Global Perspective","URL":"https://openaccess.city.ac.uk/id/eprint/30561/","volume":"4","author":[{"family":"Rigoli","given":"F."}],"accessed":{"date-parts":[["2025",3,2]]},"issued":{"date-parts":[["2023",5,30]]}}}],"schema":"https://github.com/citation-style-language/schema/raw/master/csl-citation.json"} </w:instrText>
      </w:r>
      <w:r w:rsidR="00887242" w:rsidRPr="006E0C44">
        <w:fldChar w:fldCharType="separate"/>
      </w:r>
      <w:r w:rsidR="00887242" w:rsidRPr="00061050">
        <w:t>(Rigoli, 2023; Uba &amp; Bosi, 2022; van Prooijen et al., 2015; van Prooijen &amp; Kuijper, 2020)</w:t>
      </w:r>
      <w:r w:rsidR="00887242" w:rsidRPr="006E0C44">
        <w:fldChar w:fldCharType="end"/>
      </w:r>
      <w:r w:rsidR="00887242">
        <w:t xml:space="preserve">. Other scholars use additional dimensions, including authoritarianism </w:t>
      </w:r>
      <w:r w:rsidR="00887242">
        <w:fldChar w:fldCharType="begin"/>
      </w:r>
      <w:r w:rsidR="00887242">
        <w:instrText xml:space="preserve"> ADDIN ZOTERO_ITEM CSL_CITATION {"citationID":"hOxKtJ51","properties":{"formattedCitation":"(Mudde, 1995)","plainCitation":"(Mudde,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analyzed","volume":"27","author":[{"family":"Mudde","given":"Cas"}],"issued":{"date-parts":[["1995"]]}}}],"schema":"https://github.com/citation-style-language/schema/raw/master/csl-citation.json"} </w:instrText>
      </w:r>
      <w:r w:rsidR="00887242">
        <w:fldChar w:fldCharType="separate"/>
      </w:r>
      <w:r w:rsidR="00887242" w:rsidRPr="00AC4964">
        <w:rPr>
          <w:rFonts w:cs="Calibri"/>
        </w:rPr>
        <w:t>(Mudde, 1995)</w:t>
      </w:r>
      <w:r w:rsidR="00887242">
        <w:fldChar w:fldCharType="end"/>
      </w:r>
      <w:r w:rsidR="00887242">
        <w:t xml:space="preserve">, beliefs in superiority and intolerance towards opposing groups </w:t>
      </w:r>
      <w:r w:rsidR="00887242">
        <w:fldChar w:fldCharType="begin"/>
      </w:r>
      <w:r w:rsidR="00887242">
        <w:instrText xml:space="preserve"> ADDIN ZOTERO_ITEM CSL_CITATION {"citationID":"BClihdi9","properties":{"formattedCitation":"(Doosje et al., 2016; Ozer &amp; Bertelsen, 2018)","plainCitation":"(Doosje et al., 2016; Ozer &amp; Bertelsen, 2018)","noteIndex":0},"citationItems":[{"id":1061,"uris":["http://zotero.org/users/11665025/items/M26C34FS"],"itemData":{"id":1061,"type":"article-journal","abstract":"In this article, we review the literature and present a model of radicalization and de-radicalization. In this model, we distinguish three phases in radicalization: (1) a sensitivity phase, (2) a group membership phase and (3) an action phase. We describe the micro-level, meso-level and macro-level factors that influence the radicalization process in these three phases. However, not all people become increasingly radical—they may also de-radicalize. We specify the micro-level, meso-level and macro-level factors in de-radicalization. We highlight the importance of the role of group membership and intergroup relations in the radicalization process.","collection-title":"Intergroup relations","container-title":"Current Opinion in Psychology","DOI":"10.1016/j.copsyc.2016.06.008","ISSN":"2352-250X","journalAbbreviation":"Current Opinion in Psychology","page":"79-84","source":"ScienceDirect","title":"Terrorism, radicalization and de-radicalization","volume":"11","author":[{"family":"Doosje","given":"Bertjan"},{"family":"Moghaddam","given":"Fathali M"},{"family":"Kruglanski","given":"Arie W"},{"family":"Wolf","given":"Arjan","non-dropping-particle":"de"},{"family":"Mann","given":"Liesbeth"},{"family":"Feddes","given":"Allard R"}],"issued":{"date-parts":[["2016",10,1]]}}},{"id":103,"uris":["http://zotero.org/users/11665025/items/5N2HVI6G"],"itemData":{"id":103,"type":"article-journal","abstract":"Violent radicalization has emerged as an important topic of theoretical and empirical investigation motivated by the devastating face of terrorism and by the aim of preventing such expressions of extremism. One central aspect of such research inquiries is the foundation of solid measurement. In this article, we develop and validate two generic scales pertaining to (1) endorsement of extremism and (2) acceptance of violent and/or illegal means. In conclusion, the scales yielded sound psychometric properties and cross-cultural equivalence, providing a solid measure of the important aspects of extremism which can be empirically employed in elucidating generic mechanisms of violent radicalization processes.","container-title":"Scandinavian Journal of Psychology","DOI":"10.1111/sjop.12484","ISSN":"0036-5564, 1467-9450","issue":"6","journalAbbreviation":"Scandinavian J Psychology","language":"en","page":"653-660","source":"DOI.org (Crossref)","title":"Capturing violent radicalization: Developing and validating scales measuring central aspects of radicalization","title-short":"Capturing violent radicalization","volume":"59","author":[{"family":"Ozer","given":"Simon"},{"family":"Bertelsen","given":"Preben"}],"issued":{"date-parts":[["2018",12]]}}}],"schema":"https://github.com/citation-style-language/schema/raw/master/csl-citation.json"} </w:instrText>
      </w:r>
      <w:r w:rsidR="00887242">
        <w:fldChar w:fldCharType="separate"/>
      </w:r>
      <w:r w:rsidR="00887242" w:rsidRPr="00061050">
        <w:t>(Doosje et al., 2016; Ozer &amp; Bertelsen, 2018)</w:t>
      </w:r>
      <w:r w:rsidR="00887242">
        <w:fldChar w:fldCharType="end"/>
      </w:r>
      <w:r w:rsidR="00887242">
        <w:t xml:space="preserve">, endorsement of violence </w:t>
      </w:r>
      <w:r w:rsidR="00887242">
        <w:fldChar w:fldCharType="begin"/>
      </w:r>
      <w:r w:rsidR="00887242">
        <w:instrText xml:space="preserve"> ADDIN ZOTERO_ITEM CSL_CITATION {"citationID":"8MEwPwGI","properties":{"formattedCitation":"(Schmid, 2013; Wintrobe, 2006)","plainCitation":"(Schmid, 2013;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schema":"https://github.com/citation-style-language/schema/raw/master/csl-citation.json"} </w:instrText>
      </w:r>
      <w:r w:rsidR="00887242">
        <w:fldChar w:fldCharType="separate"/>
      </w:r>
      <w:r w:rsidR="00887242" w:rsidRPr="00061050">
        <w:t>(Schmid, 2013; Wintrobe, 2006)</w:t>
      </w:r>
      <w:r w:rsidR="00887242">
        <w:fldChar w:fldCharType="end"/>
      </w:r>
      <w:r w:rsidR="00887242">
        <w:t xml:space="preserve">, anti-democracy </w:t>
      </w:r>
      <w:r w:rsidR="00887242">
        <w:fldChar w:fldCharType="begin"/>
      </w:r>
      <w:r w:rsidR="00887242">
        <w:instrText xml:space="preserve"> ADDIN ZOTERO_ITEM CSL_CITATION {"citationID":"J67CrG7v","properties":{"formattedCitation":"(Jungkunz, 2022; Mudde, 1995)","plainCitation":"(Jungkunz, 2022; 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887242">
        <w:fldChar w:fldCharType="separate"/>
      </w:r>
      <w:r w:rsidR="00887242" w:rsidRPr="00061050">
        <w:t>(Jungkunz, 2022; Mudde, 1995)</w:t>
      </w:r>
      <w:r w:rsidR="00887242">
        <w:fldChar w:fldCharType="end"/>
      </w:r>
      <w:r w:rsidR="00887242">
        <w:t xml:space="preserve">, actions toward replacing the dominant political system </w:t>
      </w:r>
      <w:r w:rsidR="00887242">
        <w:fldChar w:fldCharType="begin"/>
      </w:r>
      <w:r w:rsidR="00887242">
        <w:instrText xml:space="preserve"> ADDIN ZOTERO_ITEM CSL_CITATION {"citationID":"2wXfKMjK","properties":{"formattedCitation":"(Jackson, 2019)","plainCitation":"(Jackson, 2019)","noteIndex":0},"citationItems":[{"id":201,"uris":["http://zotero.org/users/11665025/items/R6BIWEUD"],"itemData":{"id":201,"type":"article-journal","container-title":"Terrorism and Political Violence","DOI":"10.1080/09546553.2016.1212599","ISSN":"0954-6553, 1556-1836","issue":"2","journalAbbreviation":"Terrorism and Political Violence","language":"en","page":"244-259","source":"DOI.org (Crossref)","title":"Non-normative political extremism: Reclaiming a concept’s analytical utility","title-short":"Non-normative political extremism","volume":"31","author":[{"family":"Jackson","given":"Sam"}],"issued":{"date-parts":[["2019",3,4]]}}}],"schema":"https://github.com/citation-style-language/schema/raw/master/csl-citation.json"} </w:instrText>
      </w:r>
      <w:r w:rsidR="00887242">
        <w:fldChar w:fldCharType="separate"/>
      </w:r>
      <w:r w:rsidR="00887242" w:rsidRPr="00EA05A5">
        <w:rPr>
          <w:rFonts w:cs="Calibri"/>
        </w:rPr>
        <w:t>(Jackson, 2019)</w:t>
      </w:r>
      <w:r w:rsidR="00887242">
        <w:fldChar w:fldCharType="end"/>
      </w:r>
      <w:r w:rsidR="00887242">
        <w:t xml:space="preserve">, and the belief in </w:t>
      </w:r>
      <w:r w:rsidR="00E11492">
        <w:t xml:space="preserve">a </w:t>
      </w:r>
      <w:r w:rsidR="00887242">
        <w:t xml:space="preserve">monopoly on truth </w:t>
      </w:r>
      <w:r w:rsidR="00887242">
        <w:fldChar w:fldCharType="begin"/>
      </w:r>
      <w:r w:rsidR="00887242">
        <w:instrText xml:space="preserve"> ADDIN ZOTERO_ITEM CSL_CITATION {"citationID":"8K9kJk5S","properties":{"formattedCitation":"(Dono et al., 2018)","plainCitation":"(Dono et al., 2018)","noteIndex":0},"citationItems":[{"id":327,"uris":["http://zotero.org/users/11665025/items/PBPUQ7AH"],"itemData":{"id":327,"type":"article-journal","abstract":"Background: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extremism","author":[{"family":"Dono","given":"Marcos"},{"family":"Alzate","given":"Mónica"},{"family":"Seoane","given":"Gloria"}],"issued":{"date-parts":[["2018",8]]}}}],"schema":"https://github.com/citation-style-language/schema/raw/master/csl-citation.json"} </w:instrText>
      </w:r>
      <w:r w:rsidR="00887242">
        <w:fldChar w:fldCharType="separate"/>
      </w:r>
      <w:r w:rsidR="00887242" w:rsidRPr="00061050">
        <w:t>(Dono et al., 2018)</w:t>
      </w:r>
      <w:r w:rsidR="00887242">
        <w:fldChar w:fldCharType="end"/>
      </w:r>
      <w:r w:rsidR="00887242">
        <w:t xml:space="preserve">. </w:t>
      </w:r>
    </w:p>
    <w:p w14:paraId="68FE6062" w14:textId="4272D665" w:rsidR="005E3F15" w:rsidRPr="0084316D" w:rsidRDefault="004E3198" w:rsidP="004E3198">
      <w:pPr>
        <w:pStyle w:val="Newparagraph"/>
      </w:pPr>
      <w:bookmarkStart w:id="1" w:name="_Hlk184840855"/>
      <w:bookmarkEnd w:id="0"/>
      <w:r w:rsidRPr="004E3198">
        <w:t>Third, cross-national comparisons prove challenging because extremism thresholds vary significantly across different political contexts.</w:t>
      </w:r>
      <w:r>
        <w:t xml:space="preserve"> Cultural and political contexts shape definitions of extremism, leading to identical positions receiving different classifications across nations </w:t>
      </w:r>
      <w:r w:rsidRPr="006E0C44">
        <w:t xml:space="preserve"> </w:t>
      </w:r>
      <w:r w:rsidRPr="006E0C44">
        <w:fldChar w:fldCharType="begin"/>
      </w:r>
      <w:r>
        <w:instrText xml:space="preserve"> ADDIN ZOTERO_ITEM CSL_CITATION {"citationID":"v8UTenaT","properties":{"formattedCitation":"(Zuell &amp; Scholz, 2019)","plainCitation":"(Zuell &amp; Scholz, 2019)","noteIndex":0},"citationItems":[{"id":1040,"uris":["http://zotero.org/users/11665025/items/5D8QZINS"],"itemData":{"id":1040,"type":"article-journal","abstract":"Equivalence in survey design and implementation is a core issue in cross-national research. Construct equivalence deals with the validity of concepts measured by survey questions and is a prerequisite for meaningful cross-national analyses. Since respondents are socialized in different cultures and political systems, their interpretation of concepts in the same way cannot be taken for granted. This study is about the construct equivalence of the left-right scale from a cross-national perspective. The left-right scale is a standard survey question used to measure ideological orientation in a minimalist way. However, ideological orientation may be measured in different dimensions from cross-national perspe</w:instrText>
      </w:r>
      <w:r w:rsidRPr="0008724D">
        <w:rPr>
          <w:lang w:val="de-DE"/>
        </w:rPr>
        <w:instrText>ctive, and thus, the conceptual understanding of the left-right scale as an indicator of the left-right dimension may differ across countries, which may challenge the comparability and the cross-national validity of the left-right scale. To test the understanding of left and right, we asked about individual associations by using probe questions in a cross-national survey. We checked for nonresponse a</w:instrText>
      </w:r>
      <w:r w:rsidRPr="00AB737E">
        <w:rPr>
          <w:lang w:val="de-DE"/>
        </w:rPr>
        <w:instrText xml:space="preserve">nd shared and country-specific explanations of left and right. Our results show that respondents from different countries or with different political orientations do not have the same ideas about left and right. For leftist respondents, shared explanations of left are more relevant, whereas for rightists, country-specific interpretations of right are more influential. These results challenge the cross-national usability of the left-right scale, and so conclusions based on this scale may not be comparable.","container-title":"International Journal of Sociology","DOI":"10.1080/00207659.2018.1560982","ISSN":"0020-7659","issue":"1","note":"publisher: Routledge\n_eprint: https://doi.org/10.1080/00207659.2018.1560982","page":"77–95","source":"Taylor and Francis+NEJM","title":"Construct Equivalence of Left-Right Scale Placement in a Cross-National Perspective","volume":"49","author":[{"family":"Zuell","given":"Cornelia"},{"family":"Scholz","given":"Evi"}],"issued":{"date-parts":[["2019",1,2]]}}}],"schema":"https://github.com/citation-style-language/schema/raw/master/csl-citation.json"} </w:instrText>
      </w:r>
      <w:r w:rsidRPr="006E0C44">
        <w:fldChar w:fldCharType="separate"/>
      </w:r>
      <w:r w:rsidRPr="00AB737E">
        <w:rPr>
          <w:lang w:val="de-DE"/>
        </w:rPr>
        <w:t>(Zuell &amp; Scholz, 2019)</w:t>
      </w:r>
      <w:r w:rsidRPr="006E0C44">
        <w:fldChar w:fldCharType="end"/>
      </w:r>
      <w:r>
        <w:t xml:space="preserve">. </w:t>
      </w:r>
      <w:r w:rsidR="00D12E79">
        <w:t>Citizens of countries suffering from long-</w:t>
      </w:r>
      <w:r w:rsidR="00892F8D">
        <w:t xml:space="preserve">standing, deep-seated conflicts may perceive political violence as less extreme than </w:t>
      </w:r>
      <w:r w:rsidR="00E11492">
        <w:t xml:space="preserve">that </w:t>
      </w:r>
      <w:r w:rsidR="00892F8D">
        <w:t>in countries with established</w:t>
      </w:r>
      <w:r w:rsidR="00D12E79">
        <w:t xml:space="preserve"> peace and political stability </w:t>
      </w:r>
      <w:r w:rsidR="00D12E79" w:rsidRPr="00D916F3">
        <w:fldChar w:fldCharType="begin"/>
      </w:r>
      <w:r w:rsidR="00D12E79">
        <w:instrText xml:space="preserve"> ADDIN ZOTERO_ITEM CSL_CITATION {"citationID":"OrNeGOXH","properties":{"formattedCitation":"(Canetti et al., 2009)","plainCitation":"(Canetti et al., 2009)","noteIndex":0},"citationItems":[{"id":1139,"uris":["http://zotero.org/users/11665025/items/YXQ2V49I"],"itemData":{"id":1139,"type":"article-journal","abstract":"Major political events such as terrorist attacks and forced relocation of citizens may have an immediate effect on attitudes towards ethnic minorities…","container-title":"International Journal of Intercultural Relations","DOI":"10.1016/j.ijintrel.2008.12.007","ISSN":"0147-1767","issue":"6","language":"en-US","note":"publisher: Pergamon","page":"463-474","source":"www.sciencedirect.com","title":"Authoritarianism, perceived threat and exclusionism on the eve of the Disengagement: Evidence from Gaza","title-short":"Authoritarianism, perceived threat and exclusionism on the eve of the Disengagement","volume":"33","author":[{"family":"Canetti","given":"Daphna"},{"family":"Halperin","given":"Eran"},{"family":"Hobfoll","given":"Stevan E"},{"family":"shapira","given":"Oren"},{"family":"Hirsch-Hoefler","given":"Sivan"}],"issued":{"date-parts":[["2009",11,1]]}},"label":"page"}],"schema":"https://github.com/citation-style-language/schema/raw/master/csl-citation.json"} </w:instrText>
      </w:r>
      <w:r w:rsidR="00D12E79" w:rsidRPr="00D916F3">
        <w:fldChar w:fldCharType="separate"/>
      </w:r>
      <w:r w:rsidR="00D12E79" w:rsidRPr="005C59D1">
        <w:t>(Canetti et al., 2009)</w:t>
      </w:r>
      <w:r w:rsidR="00D12E79" w:rsidRPr="00D916F3">
        <w:fldChar w:fldCharType="end"/>
      </w:r>
      <w:r w:rsidR="00D12E79">
        <w:t xml:space="preserve">. Female extremist politicians in parliament might soften the perception of political extremism </w:t>
      </w:r>
      <w:r w:rsidR="00D12E79">
        <w:fldChar w:fldCharType="begin"/>
      </w:r>
      <w:r w:rsidR="00D12E79">
        <w:instrText xml:space="preserve"> ADDIN ZOTERO_ITEM CSL_CITATION {"citationID":"Q6i0Ezhs","properties":{"formattedCitation":"(Ben-Shitrit et al., 2022)","plainCitation":"(Ben-Shitrit et al., 2022)","noteIndex":0},"citationItems":[{"id":1077,"uris":["http://zotero.org/users/11665025/items/AVVPYD4I"],"itemData":{"id":1077,"type":"article-journal","abstract":"Across the globe, women are increasingly more visible as leaders and activists in radical-right parties and movements. Does women's visibility in radical-right politics, both institutionalized and non-institutionalized, affect public acceptance of radical-right agendas? The present paper proposes a ‘radical-right gender mainstreaming model’, arguing that women in radical-right politics are perceived by the general public through a prism of feminine gender stereotypes, which counteract radical-right parties’ and movements’ masculine stereotypes, thus ‘softening’ their image and making them more acceptable to the general public. Across four experimental studies conducted in the Israeli context, we find strong evidence that women's visibility as radical-right parliamentary representatives (Studies 1a and 1b) and as radical-right political activists (Studies 2a and 2b) increases acceptance of and support for these parties’ and movements’ agenda, particularly among women. We further demonstrate that these effects are mediated by the attribution of feminine stereotypes (warmth) to women versus men political actors. Implications of these findings are discussed.","container-title":"European Journal of Political Research","DOI":"10.1111/1475-6765.12442","ISSN":"1475-6765","issue":"1","language":"en","note":"_eprint: https://onlinelibrary.wiley.com/doi/pdf/10.1111/1475-6765.12442","page":"86-110","source":"Wiley Online Library","title":"‘Pinkwashing’ the radical-right: Gender and the mainstreaming of radical-right policies and actions","title-short":"‘Pinkwashing’ the radical-right","volume":"61","author":[{"family":"Ben-Shitrit","given":"Lihi"},{"family":"Elad-Strenger","given":"Julia"},{"family":"Hirsch-Hoefler","given":"Sivan"}],"issued":{"date-parts":[["2022"]]}}}],"schema":"https://github.com/citation-style-language/schema/raw/master/csl-citation.json"} </w:instrText>
      </w:r>
      <w:r w:rsidR="00D12E79">
        <w:fldChar w:fldCharType="separate"/>
      </w:r>
      <w:r w:rsidR="00D12E79" w:rsidRPr="00061050">
        <w:t>(Ben-Shitrit et al., 2022)</w:t>
      </w:r>
      <w:r w:rsidR="00D12E79">
        <w:fldChar w:fldCharType="end"/>
      </w:r>
      <w:r w:rsidR="00D12E79">
        <w:t xml:space="preserve">. </w:t>
      </w:r>
      <w:r w:rsidR="00D12E79" w:rsidRPr="006E0C44">
        <w:t xml:space="preserve">People associate different political meanings with the terms </w:t>
      </w:r>
      <w:r w:rsidR="00707BC0">
        <w:t>‘</w:t>
      </w:r>
      <w:r w:rsidR="00D12E79" w:rsidRPr="006E0C44">
        <w:t>left</w:t>
      </w:r>
      <w:r w:rsidR="00707BC0">
        <w:t>’</w:t>
      </w:r>
      <w:r w:rsidR="00D12E79" w:rsidRPr="006E0C44">
        <w:t xml:space="preserve"> and </w:t>
      </w:r>
      <w:r w:rsidR="00707BC0">
        <w:t>‘</w:t>
      </w:r>
      <w:r w:rsidR="00D12E79" w:rsidRPr="006E0C44">
        <w:t>right</w:t>
      </w:r>
      <w:r w:rsidR="00707BC0">
        <w:t>’</w:t>
      </w:r>
      <w:r w:rsidR="00D12E79" w:rsidRPr="006E0C44">
        <w:t xml:space="preserve"> </w:t>
      </w:r>
      <w:r w:rsidR="00D12E79" w:rsidRPr="006E0C44">
        <w:fldChar w:fldCharType="begin"/>
      </w:r>
      <w:r w:rsidR="00D12E79">
        <w:instrText xml:space="preserve"> ADDIN ZOTERO_ITEM CSL_CITATION {"citationID":"jfeAYz8f","properties":{"formattedCitation":"(Bauer et al., 2017; Jungkunz, 2022)","plainCitation":"(Bauer et al., 2017; Jungkunz, 2022)","noteIndex":0},"citationItems":[{"id":1037,"uris":["http://zotero.org/users/11665025/items/6E6GS43F"],"itemData":{"id":1037,"type":"article-journal","abstract":"In order to measure ideology, political scientists heavily rely on the so-called left-right scale. Left and right are, however, abstract political concepts and may trigger different associations among respondents. If these associations vary systematically with other variables this may induce bias in the empirical study of ideology. We illustrate this problem using a unique survey that asked respondents open-ended questions regarding the meanings they attribute to the concepts “left” and “right”. We assess and categorize this textual data using topic modeling techniques. Our analysis shows that variation in respondents’ associations is systematically related to their self-placement on the left-right scale and also to variables such as education and respondents’ cultural background (East vs. West Germany). Our findings indicate that the interpersonal comparability of the left-right scale across individuals is impaired. More generally, our study suggests that we need more research on how respondents interpret various abstract concepts that we regularly use in survey questions.","container-title":"Political Behavior","DOI":"10.1007/s11109-016-9368-2","ISSN":"1573-6687","issue":"3","journalAbbreviation":"Polit Behav","language":"en","page":"553-583","source":"Springer Link","title":"Is the Left-Right Scale a Valid Measure of Ideology?","volume":"39","author":[{"family":"Bauer","given":"Paul C."},{"family":"Barberá","given":"Pablo"},{"family":"Ackermann","given":"Kathrin"},{"family":"Venetz","given":"Aaron"}],"issued":{"date-parts":[["2017",9,1]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D12E79" w:rsidRPr="006E0C44">
        <w:fldChar w:fldCharType="separate"/>
      </w:r>
      <w:r w:rsidR="00D12E79" w:rsidRPr="00061050">
        <w:t>(Bauer et al., 2017; Jungkunz, 2022)</w:t>
      </w:r>
      <w:r w:rsidR="00D12E79" w:rsidRPr="006E0C44">
        <w:fldChar w:fldCharType="end"/>
      </w:r>
      <w:r w:rsidR="00D12E79" w:rsidRPr="006E0C44">
        <w:t xml:space="preserve">. </w:t>
      </w:r>
      <w:bookmarkEnd w:id="1"/>
      <w:r w:rsidR="00D12E79" w:rsidRPr="00AB737E">
        <w:rPr>
          <w:lang w:val="de-DE"/>
        </w:rPr>
        <w:t xml:space="preserve">Dolezal </w:t>
      </w:r>
      <w:r w:rsidR="00D12E79" w:rsidRPr="006E0C44">
        <w:fldChar w:fldCharType="begin"/>
      </w:r>
      <w:r w:rsidR="00D12E79" w:rsidRPr="00AB737E">
        <w:rPr>
          <w:lang w:val="de-DE"/>
        </w:rPr>
        <w:instrText xml:space="preserve"> ADDIN ZOTERO_ITEM CSL_CITATION {"citationID":"2HZ5ddT2","properties":{"formattedCitation":"(2010)","plainCitation":"(2010)","noteIndex":0},"citationItems":[{"id":1034,"uris":["http://zotero.org/users/11665025/items/IELWKC2R"],"itemData":{"id":1034,"type":"article-journal","abstract":"About 30 years after gradually gaining parliamentary representation, Green parties have become established political actors throughout Western Europe. Based on a comparative analysis of 12 countries, this study argues that the stability this party family has achieved is the result of an enduring coalition with groups of voters who not only share a particular set of attitudes but also several specific social characteristics. Such a structural perspective clearly contradicts earlier approaches in the literature that primarily explained the Green vote as being issue- or value-based and sometimes simply as representing political protest. Green voters, by contrast, are young, highly educated, work as social-cultural specialists or are students, are predominantly urban, and less attached to Christian churches. These structural components are connected with environmental, libertarian, and pro-immigration attitudes. With respect to new divides caused by globalization processes, especially the latter issue explicitly distinguishes them from other voter groups.","container-title":"West European Politics","DOI":"10.1080/01402381003654569","ISSN":"0140-2382","issue":"3","note":"publisher: Routledge\n_eprint: https://doi.org/10.1080/01402381003654569","page":"534–552","source":"Taylor and Francis+NEJM","title":"Exploring the Stabilization of a Political Force: The Social and Attitudinal Basis of Green Parties in the Age of Globalization","title-short":"Exploring the Stabilization of a Political Force","volume":"33","author":[{"family":"Dolezal","given":"Martin"}],"issued":{"date-parts":[["2010",5,1]]}},"label":"page","suppress-author":true}],"schema":"https://github.com/citation-style-language/schema/raw/master/csl-citation.json"} </w:instrText>
      </w:r>
      <w:r w:rsidR="00D12E79" w:rsidRPr="006E0C44">
        <w:fldChar w:fldCharType="separate"/>
      </w:r>
      <w:r w:rsidR="00D12E79" w:rsidRPr="00AB737E">
        <w:rPr>
          <w:lang w:val="de-DE"/>
        </w:rPr>
        <w:t>(2010)</w:t>
      </w:r>
      <w:r w:rsidR="00D12E79" w:rsidRPr="006E0C44">
        <w:fldChar w:fldCharType="end"/>
      </w:r>
      <w:r w:rsidR="00D12E79" w:rsidRPr="00AB737E">
        <w:rPr>
          <w:lang w:val="de-DE"/>
        </w:rPr>
        <w:t xml:space="preserve"> demonstrates that European Green voters can be difficult to categorize on a left-right economic or social scale. </w:t>
      </w:r>
      <w:r w:rsidR="00D12E79" w:rsidRPr="006E0C44">
        <w:t xml:space="preserve">However, their environmental positions might be considered </w:t>
      </w:r>
      <w:r w:rsidR="00707BC0">
        <w:t>“</w:t>
      </w:r>
      <w:r w:rsidR="00D12E79" w:rsidRPr="006E0C44">
        <w:t>extreme</w:t>
      </w:r>
      <w:r w:rsidR="00707BC0">
        <w:t>”</w:t>
      </w:r>
      <w:r w:rsidR="00D12E79" w:rsidRPr="006E0C44">
        <w:t xml:space="preserve"> in mainstream politics.</w:t>
      </w:r>
      <w:r w:rsidR="00D12E79">
        <w:t xml:space="preserve"> </w:t>
      </w:r>
      <w:r w:rsidR="005C59D1">
        <w:t xml:space="preserve">This </w:t>
      </w:r>
      <w:r w:rsidR="00D12E79">
        <w:t>context</w:t>
      </w:r>
      <w:r w:rsidR="00892F8D">
        <w:t xml:space="preserve">-dependent challenge is further exacerbated by the </w:t>
      </w:r>
      <w:r w:rsidR="006F625E">
        <w:t>lack of standardized,</w:t>
      </w:r>
      <w:r w:rsidR="005C59D1">
        <w:t xml:space="preserve"> </w:t>
      </w:r>
      <w:r w:rsidR="005E3F15">
        <w:t xml:space="preserve">consistent </w:t>
      </w:r>
      <w:r w:rsidR="005C59D1">
        <w:t xml:space="preserve">survey </w:t>
      </w:r>
      <w:r w:rsidR="0084316D">
        <w:t>measures or scales</w:t>
      </w:r>
      <w:r w:rsidR="005E3F15">
        <w:t xml:space="preserve"> </w:t>
      </w:r>
      <w:r w:rsidR="005C59D1">
        <w:t xml:space="preserve">to </w:t>
      </w:r>
      <w:r w:rsidR="005E3F15">
        <w:t>assess political extremism</w:t>
      </w:r>
      <w:r>
        <w:t xml:space="preserve"> over time and</w:t>
      </w:r>
      <w:r w:rsidR="005E3F15">
        <w:t xml:space="preserve"> across </w:t>
      </w:r>
      <w:r w:rsidR="0084316D">
        <w:t xml:space="preserve">population groups </w:t>
      </w:r>
      <w:r w:rsidR="005E3F15" w:rsidRPr="0084316D">
        <w:fldChar w:fldCharType="begin"/>
      </w:r>
      <w:r w:rsidR="0084316D" w:rsidRPr="0084316D">
        <w:instrText xml:space="preserve"> ADDIN ZOTERO_ITEM CSL_CITATION {"citationID":"OrPzhzhd","properties":{"formattedCitation":"(Jungkunz, 2022)","plainCitation":"(Jungkunz, 2022)","noteIndex":0},"citationItems":[{"id":295,"uris":["http://zotero.org/users/11665025/items/3UE4UVGW"],"itemData":{"id":295,"type":"book","event-place":"Cham","ISBN":"978-3-030-83335-0","language":"en","note":"DOI: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label":"page"}],"schema":"https://github.com/citation-style-language/schema/raw/master/csl-citation.json"} </w:instrText>
      </w:r>
      <w:r w:rsidR="005E3F15" w:rsidRPr="0084316D">
        <w:fldChar w:fldCharType="separate"/>
      </w:r>
      <w:r w:rsidR="0084316D" w:rsidRPr="0084316D">
        <w:t>(Jungkunz, 2022)</w:t>
      </w:r>
      <w:r w:rsidR="005E3F15" w:rsidRPr="0084316D">
        <w:fldChar w:fldCharType="end"/>
      </w:r>
      <w:r w:rsidR="0084316D">
        <w:t>.</w:t>
      </w:r>
    </w:p>
    <w:p w14:paraId="5DEDBF88" w14:textId="30F66FC6" w:rsidR="00D2321C" w:rsidRDefault="00D2321C" w:rsidP="004074B0">
      <w:pPr>
        <w:pStyle w:val="Heading2"/>
      </w:pPr>
      <w:r>
        <w:t xml:space="preserve">New Conceptualization </w:t>
      </w:r>
    </w:p>
    <w:p w14:paraId="779FE7C2" w14:textId="77777777" w:rsidR="00C30B96" w:rsidRDefault="00F04212" w:rsidP="00F04212">
      <w:pPr>
        <w:pStyle w:val="Paragraph"/>
      </w:pPr>
      <w:r w:rsidRPr="00F04212">
        <w:t xml:space="preserve">In response to these challenges, </w:t>
      </w:r>
      <w:r>
        <w:t>this paper</w:t>
      </w:r>
      <w:r w:rsidRPr="00F04212">
        <w:t xml:space="preserve"> advance</w:t>
      </w:r>
      <w:r>
        <w:t>s</w:t>
      </w:r>
      <w:r w:rsidRPr="00F04212">
        <w:t xml:space="preserve"> a new, multidimensional conception of political extremism</w:t>
      </w:r>
      <w:r>
        <w:t xml:space="preserve"> </w:t>
      </w:r>
      <w:r w:rsidR="00AC22B3">
        <w:t>grounded in three core dimensions: Cognitive (Ideological positions), Behavioral (Support of violence), and Social (Intolerance toward</w:t>
      </w:r>
      <w:r>
        <w:t xml:space="preserve"> outgroups)</w:t>
      </w:r>
      <w:r w:rsidR="002F5171">
        <w:t xml:space="preserve"> </w:t>
      </w:r>
      <w:r w:rsidR="002F5171">
        <w:lastRenderedPageBreak/>
        <w:t>(</w:t>
      </w:r>
      <w:r>
        <w:t xml:space="preserve">see </w:t>
      </w:r>
      <w:r w:rsidR="002F5171">
        <w:fldChar w:fldCharType="begin"/>
      </w:r>
      <w:r w:rsidR="002F5171">
        <w:instrText xml:space="preserve"> REF _Ref204116017 \h </w:instrText>
      </w:r>
      <w:r w:rsidR="002F5171">
        <w:fldChar w:fldCharType="separate"/>
      </w:r>
    </w:p>
    <w:p w14:paraId="0A19FC42" w14:textId="0AF390CE" w:rsidR="00F67DD3" w:rsidRDefault="00C30B96" w:rsidP="00F04212">
      <w:pPr>
        <w:pStyle w:val="Paragraph"/>
      </w:pPr>
      <w:r>
        <w:t xml:space="preserve">Figure </w:t>
      </w:r>
      <w:r>
        <w:rPr>
          <w:noProof/>
        </w:rPr>
        <w:t>1</w:t>
      </w:r>
      <w:r w:rsidR="002F5171">
        <w:fldChar w:fldCharType="end"/>
      </w:r>
      <w:r w:rsidR="002F5171">
        <w:t>)</w:t>
      </w:r>
      <w:r w:rsidR="00D2321C">
        <w:t xml:space="preserve">. </w:t>
      </w:r>
      <w:bookmarkStart w:id="2" w:name="_Ref204116017"/>
    </w:p>
    <w:p w14:paraId="63A168DB" w14:textId="2296E556" w:rsidR="002F5171" w:rsidRDefault="002F5171" w:rsidP="00F67DD3">
      <w:pPr>
        <w:pStyle w:val="Paragraph"/>
      </w:pPr>
      <w:r>
        <w:t xml:space="preserve">Figure </w:t>
      </w:r>
      <w:fldSimple w:instr=" SEQ Figure \* ARABIC ">
        <w:r w:rsidR="00C30B96">
          <w:rPr>
            <w:noProof/>
          </w:rPr>
          <w:t>1</w:t>
        </w:r>
      </w:fldSimple>
      <w:bookmarkEnd w:id="2"/>
      <w:r>
        <w:rPr>
          <w:lang w:val="en-US"/>
        </w:rPr>
        <w:t>: Conceptualization of Political Extremism</w:t>
      </w:r>
    </w:p>
    <w:p w14:paraId="0D837D61" w14:textId="6E768D64" w:rsidR="002F5171" w:rsidRDefault="00AC7038" w:rsidP="00F40CDC">
      <w:pPr>
        <w:jc w:val="center"/>
      </w:pPr>
      <w:r w:rsidRPr="00AC7038">
        <w:rPr>
          <w:noProof/>
        </w:rPr>
        <w:drawing>
          <wp:inline distT="0" distB="0" distL="0" distR="0" wp14:anchorId="551B3348" wp14:editId="6115916B">
            <wp:extent cx="4091940" cy="1968214"/>
            <wp:effectExtent l="0" t="0" r="3810" b="0"/>
            <wp:docPr id="1042488024" name="Picture 1"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8024" name="Picture 1" descr="A diagram of a person's face&#10;&#10;AI-generated content may be incorrect."/>
                    <pic:cNvPicPr/>
                  </pic:nvPicPr>
                  <pic:blipFill>
                    <a:blip r:embed="rId9"/>
                    <a:stretch>
                      <a:fillRect/>
                    </a:stretch>
                  </pic:blipFill>
                  <pic:spPr>
                    <a:xfrm>
                      <a:off x="0" y="0"/>
                      <a:ext cx="4100056" cy="1972118"/>
                    </a:xfrm>
                    <a:prstGeom prst="rect">
                      <a:avLst/>
                    </a:prstGeom>
                  </pic:spPr>
                </pic:pic>
              </a:graphicData>
            </a:graphic>
          </wp:inline>
        </w:drawing>
      </w:r>
    </w:p>
    <w:p w14:paraId="0DFF9F28" w14:textId="7A748990" w:rsidR="002F5171" w:rsidRDefault="00253304" w:rsidP="00253304">
      <w:pPr>
        <w:pStyle w:val="Newparagraph"/>
      </w:pPr>
      <w:bookmarkStart w:id="3" w:name="_Hlk187059822"/>
      <w:r w:rsidRPr="00253304">
        <w:t>The Cognitive dimension examines how firmly individuals hold their sociopolitical beliefs and the degree of rigidity characterizing their ideological commitments</w:t>
      </w:r>
      <w:r>
        <w:t xml:space="preserve"> </w:t>
      </w:r>
      <w:r w:rsidR="002F5171">
        <w:fldChar w:fldCharType="begin"/>
      </w:r>
      <w:r w:rsidR="002F5171">
        <w:instrText xml:space="preserve"> ADDIN ZOTERO_ITEM CSL_CITATION {"citationID":"sbdwVDkh","properties":{"formattedCitation":"(Jost et al., 2009)","plainCitation":"(Jost et al., 2009)","noteIndex":0},"citationItems":[{"id":184,"uris":["http://zotero.org/users/11665025/items/PGW669XB"],"itemData":{"id":184,"type":"article-journal","abstract":"Ideology has re-emerged as an important topic of inquiry among social, personality, and political psychologists. In this review, we examine recent theory and research concerning the structure, contents, and functions of ideological belief systems. We begin by deﬁning the construct and placing it in historical and philosophical context. We then examine different perspectives on how many (and what types of) dimensions individuals use to organize their political opinions. We investigate (a) how and to what extent individuals acquire the discursive contents associated with various ideologies, and (b) the social-psychological functions that these ideologies serve for those who adopt them. Our review highlights “elective afﬁnities” between situational and dispositional needs of individuals and groups and the structure and contents of speciﬁc ideologies. Finally, we consider the consequences of ideology, especially with respect to attitudes, evaluations, and processes of system justiﬁcation.","container-title":"Annual Review of Psychology","DOI":"10.1146/annurev.psych.60.110707.163600","ISSN":"0066-4308, 1545-2085","issue":"1","journalAbbreviation":"Annu. Rev. Psychol.","language":"en","page":"307-337","source":"DOI.org (Crossref)","title":"Political Ideology: Its Structure, Functions, and Elective Affinities","title-short":"Political Ideology","volume":"60","author":[{"family":"Jost","given":"John T."},{"family":"Federico","given":"Christopher M."},{"family":"Napier","given":"Jaime L."}],"issued":{"date-parts":[["2009",1,1]]}}}],"schema":"https://github.com/citation-style-language/schema/raw/master/csl-citation.json"} </w:instrText>
      </w:r>
      <w:r w:rsidR="002F5171">
        <w:fldChar w:fldCharType="separate"/>
      </w:r>
      <w:r w:rsidR="002F5171" w:rsidRPr="00166655">
        <w:t>(Jost et al., 2009)</w:t>
      </w:r>
      <w:r w:rsidR="002F5171">
        <w:fldChar w:fldCharType="end"/>
      </w:r>
      <w:bookmarkEnd w:id="3"/>
      <w:r w:rsidR="002F5171">
        <w:t xml:space="preserve">. </w:t>
      </w:r>
      <w:r w:rsidRPr="00253304">
        <w:t>This perspective moves away from categorizing extremism along a left-right spectrum</w:t>
      </w:r>
      <w:r w:rsidR="002F5171" w:rsidRPr="00FD7DB6">
        <w:t xml:space="preserve"> </w:t>
      </w:r>
      <w:bookmarkStart w:id="4" w:name="_Hlk187059891"/>
      <w:r w:rsidR="002F5171">
        <w:fldChar w:fldCharType="begin"/>
      </w:r>
      <w:r w:rsidR="002F5171">
        <w:instrText xml:space="preserve"> ADDIN ZOTERO_ITEM CSL_CITATION {"citationID":"ml758mHS","properties":{"formattedCitation":"(Schmid, 2013; Sedgwick, 2010)","plainCitation":"(Schmid, 2013; Sedgwick, 2010)","noteIndex":0},"citationItems":[{"id":312,"uris":["http://zotero.org/users/11665025/items/9D2M682Q"],"itemData":{"id":312,"type":"article-journal","container-title":"Terrorism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id":1055,"uris":["http://zotero.org/users/11665025/items/74P5Z82R"],"itemData":{"id":1055,"type":"article-journal","abstract":"The ubiquity of use of the term “radicalization” suggests a consensus about its meaning, but this article shows through a review of a variety of definitions that no such consensus exists. The article then argues that use of the term is problematic not just for these reasons, but because it is used in three different contexts: the security context, the integration context, and the foreign-policy context. It is argued that each of these contexts has a different agenda, impacted in the case of the integration agenda by the rise of European “neo-nationalism,” and so each uses the term “radical” to mean something different. The use of one term to denote at least three different concepts risks serious confusion. The proposed solution is to abandon the attempt to use “radicalization” as an absolute concept.","container-title":"Terrorism and Political Violence","DOI":"10.1080/09546553.2010.491009","ISSN":"0954-6553","issue":"4","note":"publisher: Routledge\n_eprint: https://doi.org/10.1080/09546553.2010.491009","page":"479-494","source":"Taylor and Francis+NEJM","title":"The Concept of Radicalization as a Source of Confusion","volume":"22","author":[{"family":"Sedgwick","given":"Mark"}],"issued":{"date-parts":[["2010",9,14]]}}}],"schema":"https://github.com/citation-style-language/schema/raw/master/csl-citation.json"} </w:instrText>
      </w:r>
      <w:r w:rsidR="002F5171">
        <w:fldChar w:fldCharType="separate"/>
      </w:r>
      <w:r w:rsidR="002F5171" w:rsidRPr="00166655">
        <w:t>(Schmid, 2013; Sedgwick, 2010)</w:t>
      </w:r>
      <w:r w:rsidR="002F5171">
        <w:fldChar w:fldCharType="end"/>
      </w:r>
      <w:bookmarkEnd w:id="4"/>
      <w:r>
        <w:t xml:space="preserve"> and instead emphasizes the inflexibility and intensity with which people maintain their views</w:t>
      </w:r>
      <w:r w:rsidR="002F5171">
        <w:t xml:space="preserve"> (Zmigrod et al., 2019). </w:t>
      </w:r>
      <w:r w:rsidRPr="00253304">
        <w:t>The Behavioral dimension analyzes the extent to which individuals endorse and justify unconventional political tactics</w:t>
      </w:r>
      <w:r>
        <w:t xml:space="preserve"> </w:t>
      </w:r>
      <w:r w:rsidR="002F5171" w:rsidRPr="00CF6D16">
        <w:t>(</w:t>
      </w:r>
      <w:bookmarkStart w:id="5" w:name="_Hlk187060448"/>
      <w:r w:rsidR="002F5171" w:rsidRPr="00CF6D16">
        <w:t>Backer &amp; Tausch</w:t>
      </w:r>
      <w:bookmarkEnd w:id="5"/>
      <w:r w:rsidR="002F5171">
        <w:t xml:space="preserve">, 2017; Shuman et al., 2016; Schumpe et al., 2020), </w:t>
      </w:r>
      <w:r>
        <w:t>spanning from unlawful demonstrations to armed confrontation. This aspect concerns the acceptance of forceful means to achieve political goals</w:t>
      </w:r>
      <w:r w:rsidR="002F5171" w:rsidRPr="00FD7DB6">
        <w:t xml:space="preserve"> </w:t>
      </w:r>
      <w:bookmarkStart w:id="6" w:name="_Hlk187060433"/>
      <w:r w:rsidR="002F5171">
        <w:fldChar w:fldCharType="begin"/>
      </w:r>
      <w:r w:rsidR="002F5171">
        <w:instrText xml:space="preserve"> ADDIN ZOTERO_ITEM CSL_CITATION {"citationID":"6d8XDHpr","properties":{"formattedCitation":"(Steinhoff &amp; Zwerman, 2008)","plainCitation":"(Steinhoff &amp; Zwerman, 2008)","noteIndex":0},"citationItems":[{"id":170,"uris":["http://zotero.org/users/11665025/items/53UI7C23"],"itemData":{"id":170,"type":"article-journal","container-title":"Qualitative Sociology","DOI":"10.1007/s11133-008-9111-3","ISSN":"1573-7837","issue":"3","journalAbbreviation":"Qual Sociol","language":"en","page":"213-220","source":"Springer Link","title":"Introduction to the Special Issue on Political Violence","volume":"31","author":[{"family":"Steinhoff","given":"Patricia"},{"family":"Zwerman","given":"Gilda"}],"issued":{"date-parts":[["2008",9,1]]}}}],"schema":"https://github.com/citation-style-language/schema/raw/master/csl-citation.json"} </w:instrText>
      </w:r>
      <w:r w:rsidR="002F5171">
        <w:fldChar w:fldCharType="separate"/>
      </w:r>
      <w:r w:rsidR="002F5171" w:rsidRPr="002F3FEE">
        <w:t>(Steinhoff &amp; Zwerman, 2008)</w:t>
      </w:r>
      <w:r w:rsidR="002F5171">
        <w:fldChar w:fldCharType="end"/>
      </w:r>
      <w:bookmarkEnd w:id="6"/>
      <w:r>
        <w:t>, including attacks on governmental structures intended to redistribute authority and resources</w:t>
      </w:r>
      <w:r w:rsidR="00A4797E">
        <w:t xml:space="preserve"> (Weber, 1978)</w:t>
      </w:r>
      <w:r w:rsidR="005B7099">
        <w:t xml:space="preserve">, </w:t>
      </w:r>
      <w:r>
        <w:t xml:space="preserve">as well as violence between social groups </w:t>
      </w:r>
      <w:r w:rsidR="00A4797E">
        <w:t xml:space="preserve">(Tilly, 2003). </w:t>
      </w:r>
      <w:bookmarkStart w:id="7" w:name="_Hlk187060640"/>
      <w:r w:rsidRPr="00253304">
        <w:t>The continuum extends from lawful</w:t>
      </w:r>
      <w:r>
        <w:t>, peaceful activities to acts of civil disobedience, and then</w:t>
      </w:r>
      <w:r w:rsidRPr="00253304">
        <w:t xml:space="preserve"> to violent tactics and terrorist operations</w:t>
      </w:r>
      <w:r>
        <w:t xml:space="preserve"> </w:t>
      </w:r>
      <w:r w:rsidR="002F5171">
        <w:fldChar w:fldCharType="begin"/>
      </w:r>
      <w:r w:rsidR="008A4367">
        <w:instrText xml:space="preserve"> ADDIN ZOTERO_ITEM CSL_CITATION {"citationID":"U6BfzGsj","properties":{"formattedCitation":"(Elad-Strenger et al., 2022; Shuman et al., 2021)","plainCitation":"(Elad-Strenger et al., 2022; Shuman et al., 2021)","dontUpdate":true,"noteIndex":0},"citationItems":[{"id":238,"uris":["http://zotero.org/users/11665025/items/2HBBLTSI"],"itemData":{"id":238,"type":"article-journal","abstract":"Groups in conflict can act against one another in various ways, such as inflicting physical injury upon out-group members, actively expelling them from the social sphere or denying them basic rights. While intergroup conflict literature is mostly dedicated to identifying the psychological determinants of such overt, or active, forms of intergroup harm, less research has been dedicated to the psychological mechanisms that intensify intergroup harm inflicted through inaction, such as ignoring the out-group, withholding assistance, and avoiding mutual cooperation. The goal of the present research is to identify the distinct emotional determinant of “harmful inaction” in intergroup conflict across various socio-political contexts, focusing on the experience of group-based contempt. Across seven studies, using different methods, we find that support for harmful inaction towards the rival in conflict is uniquely associated with group-based contempt, compared to anger (Studies 1a-d, 2–3), hate (Studies 1b-d, 2), disgust (Studies 1b-d, 2, 4), and fear (Studies 1b-d, 2). These findings were consistent across different contexts of intergroup conflict, different specifications of harmful inaction, and different sets of controlled emotions. Taken together, our results suggest that group-based contempt has a unique contribution to fueling and maintaining intergroup conflicts by triggering a unique type of intergroup harm.","container-title":"Journal of Experimental Social Psychology","DOI":"10.1016/j.jesp.2022.104304","ISSN":"00221031","journalAbbreviation":"Journal of Experimental Social Psychology","language":"en","page":"104304","source":"DOI.org (Crossref)","title":"Out of sight, out of mind: The emotional determinant of “harmful inaction” intergroup conflict","title-short":"Out of sight, out of mind","volume":"101","author":[{"family":"Elad-Strenger","given":"Julia"},{"family":"Reifen Tagar","given":"Michal"},{"family":"Kessler","given":"Thomas"},{"family":"Hasson","given":"Yossi"},{"family":"Shulman","given":"Deborah"},{"family":"Brahms","given":"Kea"},{"family":"Halperin","given":"Eran"}],"issued":{"date-parts":[["2022",7]]}}},{"id":266,"uris":["http://zotero.org/users/11665025/items/J4KBHZXI"],"itemData":{"id":266,"type":"article-journal","abstract":"Collective action research tends to focus on motivations of the disadvantaged group, rather than on which tactics are effective at driving the advantaged group to make concessions to the disadvantaged. We focused on the potential of nonnormative nonviolent action as a tactic to generate support for concessions among advantaged group members who are resistant to social change. We propose that this tactic, relative to normative nonviolent and to violent action, is particularly effective because it reflects constructive disruption: a delicate balance between disruption (which can put pressure on the advantaged group to respond) and perceived constructive intentions (which can help ensure that the response to action is a conciliatory one). We test these hypotheses across 4 contexts (total N ϭ 3650). Studies 1–3 demonstrate that nonnormative nonviolent action (compared with inaction, normative nonviolent action, and violent action) is uniquely effective at increasing support for concessions to the disadvantaged among resistant advantaged group members (compared with advantaged group members more open to social change). Study 3 shows that constructive disruption mediates this effect. Study 4 shows that perceiving a real-world ongoing protest as constructively disruptive predicts support for the disadvantaged, whereas Study 5 examines these processes longitudinally over 2 months in the context of an ongoing social movement. Taken together, we show that nonnormative nonviolent action can be an effective tactic for generating support for concessions to the disadvantaged among those who are most resistant because it generates constructive disruption.","container-title":"Journal of Personality and Social Psychology","DOI":"10.1037/pspi0000333","ISSN":"1939-1315, 0022-3514","issue":"4","journalAbbreviation":"Journal of Personality and Social Psychology","language":"en","page":"819-841","source":"DOI.org (Crossref)","title":"Disrupting the system constructively: Testing the effectiveness of nonnormative nonviolent collective action.","title-short":"Disrupting the system constructively","volume":"121","author":[{"family":"Shuman","given":"Eric"},{"family":"Saguy","given":"Tamar"},{"family":"Van Zomeren","given":"Martijn"},{"family":"Halperin","given":"Eran"}],"issued":{"date-parts":[["2021",10]]}}}],"schema":"https://github.com/citation-style-language/schema/raw/master/csl-citation.json"} </w:instrText>
      </w:r>
      <w:r w:rsidR="002F5171">
        <w:fldChar w:fldCharType="separate"/>
      </w:r>
      <w:r w:rsidR="002F5171" w:rsidRPr="00CF6D16">
        <w:t>(Shuman et al., 2021)</w:t>
      </w:r>
      <w:r w:rsidR="002F5171">
        <w:fldChar w:fldCharType="end"/>
      </w:r>
      <w:bookmarkEnd w:id="7"/>
      <w:r w:rsidR="002F5171">
        <w:t>.</w:t>
      </w:r>
      <w:r w:rsidR="006F625E">
        <w:t xml:space="preserve"> </w:t>
      </w:r>
      <w:bookmarkStart w:id="8" w:name="_Hlk187060728"/>
      <w:r w:rsidRPr="00253304">
        <w:t>The Social dimension addresses how individuals exclude others from political participation and personal association, irrespective of those individuals</w:t>
      </w:r>
      <w:r w:rsidR="00AC22B3">
        <w:t>’</w:t>
      </w:r>
      <w:r w:rsidRPr="00253304">
        <w:t xml:space="preserve"> group memberships. This aspect embodies the denial of pluralistic values </w:t>
      </w:r>
      <w:r w:rsidRPr="00253304">
        <w:lastRenderedPageBreak/>
        <w:t>and the erosion of equal rights and freedoms for all members of society</w:t>
      </w:r>
      <w:r>
        <w:t xml:space="preserve"> </w:t>
      </w:r>
      <w:r w:rsidR="002F5171">
        <w:fldChar w:fldCharType="begin"/>
      </w:r>
      <w:r w:rsidR="002F5171">
        <w:instrText xml:space="preserve"> ADDIN ZOTERO_ITEM CSL_CITATION {"citationID":"vgdIIChm","properties":{"formattedCitation":"(Backes, 2010; Scruton, 2007)","plainCitation":"(Backes, 2010; Scruton, 2007)","noteIndex":0},"citationItems":[{"id":153,"uris":["http://zotero.org/users/11665025/items/JC8LJ3TU"],"itemData":{"id":153,"type":"book","edition":"1","ISBN":"978-0-203-86725-9","language":"en","note":"DOI: 10.4324/9780203867259","publisher":"Routledge","source":"DOI.org (Crossref)","title":"Political Extremes: A conceptual history from antiquity to the present","title-short":"Political Extremes","URL":"https://www.taylorfrancis.com/books/9780203867259","author":[{"family":"Backes","given":"Uwe"}],"accessed":{"date-parts":[["2024",2,25]]},"issued":{"date-parts":[["2010"]]}}},{"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2F5171">
        <w:fldChar w:fldCharType="separate"/>
      </w:r>
      <w:r w:rsidR="002F5171" w:rsidRPr="00CF6D16">
        <w:t>(Backes, 2010; Scruton, 2007)</w:t>
      </w:r>
      <w:r w:rsidR="002F5171">
        <w:fldChar w:fldCharType="end"/>
      </w:r>
      <w:bookmarkEnd w:id="8"/>
      <w:r w:rsidR="002F5171" w:rsidRPr="00FD7DB6">
        <w:t xml:space="preserve">. </w:t>
      </w:r>
      <w:r w:rsidR="0074194D">
        <w:t>It includes unwillingness to extend full civic participation to others</w:t>
      </w:r>
      <w:r w:rsidR="002F5171" w:rsidRPr="00FD7DB6">
        <w:t xml:space="preserve"> </w:t>
      </w:r>
      <w:bookmarkStart w:id="9" w:name="_Hlk187060790"/>
      <w:r w:rsidR="002F5171">
        <w:fldChar w:fldCharType="begin"/>
      </w:r>
      <w:r w:rsidR="002F5171">
        <w:instrText xml:space="preserve"> ADDIN ZOTERO_ITEM CSL_CITATION {"citationID":"4ZHz0gAq","properties":{"formattedCitation":"(Gibson &amp; Bingham, 1982; Sullivan et al., 1979)","plainCitation":"(Gibson &amp; Bingham, 1982; Sullivan et al., 1979)","noteIndex":0},"citationItems":[{"id":217,"uris":["http://zotero.org/users/11665025/items/6B26CW3Y"],"itemData":{"id":217,"type":"article-journal","abstract":"Research on political tolerance has made substantial progress in recent years by improving the measures used to gauge public opinion. Much attention has been devoted to developing indicators that control for group affect. Controls for activity affect have not been pursued as vigorously. Indeed, much of the progress has been along the lines of specifying tolerance for unpopular political minorities rather than tolerance for unorthodox or threatening political activities. More generally, tolerance research has not been sensitive to the variety of contextual factors that determine citizen attitudes in civil-liberties disputes.\nA new approach to measuring political tolerance is presented in this article. The measures developed in this approach disaggregate the traditional measures of tolerance (such as Stouffer's (1955) support for “a communist making a speech in your community”). In particular, scales measuring support for freedom of speech, freedom of assembly, and freedom of political association are presented. As multiple-indicator measures posing conflicts among values, these scales are related to traditional tolerance measures. However, because they reflect the complexity and conflict associated with actual civil-liberties disputes, they will no doubt serve as better predictors of opinions and behaviors in actual disputes.","container-title":"The American Political Science Review","DOI":"10.2307/1963734","journalAbbreviation":"The American Political Science Review","page":"603–620","source":"ResearchGate","title":"On the Conceptualization and Measurement of Political Tolerance","volume":"76","author":[{"family":"Gibson","given":"James"},{"family":"Bingham","given":"Richard"}],"issued":{"date-parts":[["1982",9,1]]}}},{"id":215,"uris":["http://zotero.org/users/11665025/items/ETACLCIP"],"itemData":{"id":215,"type":"article-journal","abstract":"This article proposes an alternative conceptualization of political tolerance, a new measurement strategy consistent with that conceptualization, and some new findings based upon this measurement strategy. Briefly put, we argue that tolerance presumes a political objection to a group or to an idea, and if such an objection does not arise, neither does the problem of tolerance. Working from this understanding, we argue that previous efforts to measure tolerance have failed because they have asked respondents about groups preselected by the investigators. Those groups selected as points of reference in measuring tolerance have generally been of a leftist persuasion. Our measurement strategy allowed respondents themselves to select a political group to which they were strongly opposed. They were then asked a series of questions testing the extent to which they were prepared to extend procedural claims to these self-selected targets. Using this approach, we found little change between the 1950s and the 1970s in levels of tolerance in the United States, a result that contradicts much recent research on the problem.","container-title":"The American Political Science Review","DOI":"10.2307/1955404","ISSN":"0003-0554","issue":"3","note":"publisher: [American Political Science Association, Cambridge University Press]","page":"781-794","source":"JSTOR","title":"An Alternative Conceptualization of Political Tolerance: Illusory Increases 1950s-1970s","title-short":"An Alternative Conceptualization of Political Tolerance","volume":"73","author":[{"family":"Sullivan","given":"John L."},{"family":"Piereson","given":"James"},{"family":"Marcus","given":"George E."}],"issued":{"date-parts":[["1979"]]}}}],"schema":"https://github.com/citation-style-language/schema/raw/master/csl-citation.json"} </w:instrText>
      </w:r>
      <w:r w:rsidR="002F5171">
        <w:fldChar w:fldCharType="separate"/>
      </w:r>
      <w:r w:rsidR="002F5171" w:rsidRPr="00CF6D16">
        <w:t>(Gibson &amp; Bingham, 1982; Sullivan et al., 1979)</w:t>
      </w:r>
      <w:r w:rsidR="002F5171">
        <w:fldChar w:fldCharType="end"/>
      </w:r>
      <w:r w:rsidR="002F5171">
        <w:t xml:space="preserve"> </w:t>
      </w:r>
      <w:bookmarkEnd w:id="9"/>
      <w:r w:rsidR="0074194D">
        <w:t>alongside interpersonal distancing driven by political or demographic differences</w:t>
      </w:r>
      <w:r w:rsidR="002F5171">
        <w:t xml:space="preserve"> </w:t>
      </w:r>
      <w:bookmarkStart w:id="10" w:name="_Hlk187060839"/>
      <w:r w:rsidR="002F5171">
        <w:fldChar w:fldCharType="begin"/>
      </w:r>
      <w:r w:rsidR="008A4367">
        <w:instrText xml:space="preserve"> ADDIN ZOTERO_ITEM CSL_CITATION {"citationID":"tK4Nyqlg","properties":{"formattedCitation":"(van Prooijen &amp; Krouwel, 2019)","plainCitation":"(van Prooijen &amp; Krouwel, 2019)","dontUpdate":true,"noteIndex":0},"citationItems":[{"id":154,"uris":["http://zotero.org/users/11665025/items/5CS9KHJQ"],"itemData":{"id":154,"type":"article-journal","container-title":"Current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M."}],"issued":{"date-parts":[["2019",4]]}}}],"schema":"https://github.com/citation-style-language/schema/raw/master/csl-citation.json"} </w:instrText>
      </w:r>
      <w:r w:rsidR="002F5171">
        <w:fldChar w:fldCharType="separate"/>
      </w:r>
      <w:r w:rsidR="002F5171" w:rsidRPr="00CF6D16">
        <w:t>(</w:t>
      </w:r>
      <w:r w:rsidR="002F5171">
        <w:t xml:space="preserve">Ben Shitrit et al., 2017; </w:t>
      </w:r>
      <w:r w:rsidR="002F5171" w:rsidRPr="00CF6D16">
        <w:t>van Prooijen &amp; Krouwel, 2019)</w:t>
      </w:r>
      <w:r w:rsidR="002F5171">
        <w:fldChar w:fldCharType="end"/>
      </w:r>
      <w:bookmarkEnd w:id="10"/>
      <w:r w:rsidR="002F5171" w:rsidRPr="00FD7DB6">
        <w:t xml:space="preserve">. </w:t>
      </w:r>
      <w:bookmarkStart w:id="11" w:name="_Hlk187060888"/>
      <w:r w:rsidR="0074194D">
        <w:t xml:space="preserve">This dimension investigates how people delegitimize rival perspectives and communities </w:t>
      </w:r>
      <w:r w:rsidR="002F5171">
        <w:fldChar w:fldCharType="begin"/>
      </w:r>
      <w:r w:rsidR="00051595">
        <w:instrText xml:space="preserve"> ADDIN ZOTERO_ITEM CSL_CITATION {"citationID":"xsIgfF4R","properties":{"formattedCitation":"(Dono et al., 2018; Schmid, 2014)","plainCitation":"(Dono et al., 2018; Schmid, 2014)","dontUpdate":true,"noteIndex":0},"citationItems":[{"id":327,"uris":["http://zotero.org/users/11665025/items/PBPUQ7AH"],"itemData":{"id":327,"type":"article-journal","abstract":"Background: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2F5171">
        <w:fldChar w:fldCharType="separate"/>
      </w:r>
      <w:r w:rsidR="002F5171" w:rsidRPr="00CF6D16">
        <w:t>(Dono et al., 2018; Schmid, 2014</w:t>
      </w:r>
      <w:r w:rsidR="002F5171">
        <w:t xml:space="preserve">; </w:t>
      </w:r>
      <w:r w:rsidR="002F5171" w:rsidRPr="00F83923">
        <w:t>Waddell et al.</w:t>
      </w:r>
      <w:r w:rsidR="002F5171">
        <w:t xml:space="preserve">, </w:t>
      </w:r>
      <w:r w:rsidR="002F5171" w:rsidRPr="00F83923">
        <w:t>2024</w:t>
      </w:r>
      <w:r w:rsidR="002F5171" w:rsidRPr="00CF6D16">
        <w:t>)</w:t>
      </w:r>
      <w:r w:rsidR="002F5171">
        <w:fldChar w:fldCharType="end"/>
      </w:r>
      <w:bookmarkEnd w:id="11"/>
      <w:r w:rsidR="0074194D">
        <w:t>, independent of the particular ideologies or identities involved</w:t>
      </w:r>
      <w:r w:rsidR="002F5171" w:rsidRPr="00192961">
        <w:t xml:space="preserve">. </w:t>
      </w:r>
    </w:p>
    <w:p w14:paraId="203E31B1" w14:textId="6A03A0E4" w:rsidR="006F625E" w:rsidRDefault="00A02CB8" w:rsidP="006F625E">
      <w:pPr>
        <w:pStyle w:val="Newparagraph"/>
      </w:pPr>
      <w:r>
        <w:t xml:space="preserve">The theoretical contribution consists of </w:t>
      </w:r>
      <w:r w:rsidR="006F625E">
        <w:t xml:space="preserve">synthesizing the </w:t>
      </w:r>
      <w:r w:rsidR="006F625E">
        <w:rPr>
          <w:lang w:val="en-US" w:bidi="he-IL"/>
        </w:rPr>
        <w:t>most</w:t>
      </w:r>
      <w:r w:rsidR="00707BC0">
        <w:rPr>
          <w:lang w:val="en-US" w:bidi="he-IL"/>
        </w:rPr>
        <w:t xml:space="preserve"> </w:t>
      </w:r>
      <w:r w:rsidR="006F625E">
        <w:rPr>
          <w:lang w:val="en-US" w:bidi="he-IL"/>
        </w:rPr>
        <w:t>referenced dimensions</w:t>
      </w:r>
      <w:r w:rsidR="006F625E">
        <w:rPr>
          <w:rStyle w:val="FootnoteReference"/>
        </w:rPr>
        <w:footnoteReference w:id="2"/>
      </w:r>
      <w:r w:rsidR="00707BC0">
        <w:rPr>
          <w:lang w:val="en-US" w:bidi="he-IL"/>
        </w:rPr>
        <w:t xml:space="preserve"> within the academic discourse</w:t>
      </w:r>
      <w:r w:rsidR="006F625E">
        <w:rPr>
          <w:lang w:val="en-US" w:bidi="he-IL"/>
        </w:rPr>
        <w:t xml:space="preserve"> into a comprehensive, multidimensional conceptualization of political extremism, thereby capturing the complex interplay between cognitive, behavioral, and social manifestations of extreme political attitudes and behaviors</w:t>
      </w:r>
      <w:r w:rsidR="006F625E">
        <w:t xml:space="preserve">. </w:t>
      </w:r>
      <w:r>
        <w:t xml:space="preserve">Although the research selects specific dimensions, the conceptualization is not </w:t>
      </w:r>
      <w:r w:rsidR="006F625E">
        <w:t>constrained by particular ideological orientations, violence categories, or target outgroups. This design enables a comprehensive assessment of different extremist forms within a single methodological framework, while also allowing for direct comparison between them.</w:t>
      </w:r>
    </w:p>
    <w:p w14:paraId="5ED6A779" w14:textId="6634DE6A" w:rsidR="00FA570C" w:rsidRPr="00192961" w:rsidRDefault="00FA570C" w:rsidP="004074B0">
      <w:pPr>
        <w:pStyle w:val="Heading1"/>
      </w:pPr>
      <w:r>
        <w:t>Political Extremism Gauge</w:t>
      </w:r>
    </w:p>
    <w:p w14:paraId="3FF09463" w14:textId="34024D21" w:rsidR="00D2321C" w:rsidRDefault="00D2321C" w:rsidP="004074B0">
      <w:pPr>
        <w:pStyle w:val="Paragraph"/>
      </w:pPr>
      <w:bookmarkStart w:id="12" w:name="_Hlk193442670"/>
      <w:bookmarkStart w:id="13" w:name="_Hlk193446226"/>
      <w:bookmarkStart w:id="14" w:name="_Hlk196841222"/>
      <w:bookmarkStart w:id="15" w:name="_Toc166262044"/>
      <w:bookmarkStart w:id="16" w:name="_Toc166262142"/>
      <w:r w:rsidRPr="008B4A65">
        <w:t xml:space="preserve">The political extremism gauge converts </w:t>
      </w:r>
      <w:r>
        <w:t xml:space="preserve">the </w:t>
      </w:r>
      <w:r w:rsidRPr="008B4A65">
        <w:t xml:space="preserve">three dimensions into indices used to assess </w:t>
      </w:r>
      <w:r w:rsidR="00DE7521">
        <w:t xml:space="preserve">the </w:t>
      </w:r>
      <w:r w:rsidRPr="008B4A65">
        <w:t>political extremism</w:t>
      </w:r>
      <w:r>
        <w:t xml:space="preserve"> of different population groups</w:t>
      </w:r>
      <w:r w:rsidR="002F5171">
        <w:t xml:space="preserve"> (</w:t>
      </w:r>
      <w:r w:rsidR="002F5171">
        <w:fldChar w:fldCharType="begin"/>
      </w:r>
      <w:r w:rsidR="002F5171">
        <w:instrText xml:space="preserve"> REF _Ref204115974 \h </w:instrText>
      </w:r>
      <w:r w:rsidR="00FA570C">
        <w:instrText xml:space="preserve"> \* MERGEFORMAT </w:instrText>
      </w:r>
      <w:r w:rsidR="002F5171">
        <w:fldChar w:fldCharType="separate"/>
      </w:r>
      <w:r w:rsidR="00C30B96">
        <w:t xml:space="preserve">Figure </w:t>
      </w:r>
      <w:r w:rsidR="00C30B96">
        <w:rPr>
          <w:noProof/>
        </w:rPr>
        <w:t>2</w:t>
      </w:r>
      <w:r w:rsidR="002F5171">
        <w:fldChar w:fldCharType="end"/>
      </w:r>
      <w:r w:rsidR="002F5171">
        <w:t>)</w:t>
      </w:r>
      <w:r w:rsidRPr="008B4A65">
        <w:t xml:space="preserve">. The indices fall into two categories: </w:t>
      </w:r>
      <w:r w:rsidRPr="00C74FD7">
        <w:rPr>
          <w:i/>
          <w:iCs/>
        </w:rPr>
        <w:t>Absolute</w:t>
      </w:r>
      <w:r w:rsidRPr="00C74FD7">
        <w:t xml:space="preserve"> and </w:t>
      </w:r>
      <w:r w:rsidRPr="00C74FD7">
        <w:rPr>
          <w:i/>
          <w:iCs/>
        </w:rPr>
        <w:t>Relative</w:t>
      </w:r>
      <w:r w:rsidRPr="008B4A65">
        <w:t xml:space="preserve">. </w:t>
      </w:r>
      <w:r>
        <w:t xml:space="preserve">Absolute indices </w:t>
      </w:r>
      <w:r w:rsidR="00C74FD7">
        <w:t xml:space="preserve">are </w:t>
      </w:r>
      <w:r>
        <w:t>direct</w:t>
      </w:r>
      <w:r w:rsidR="00C74FD7">
        <w:t xml:space="preserve">ly </w:t>
      </w:r>
      <w:r>
        <w:t>derived from the gauge</w:t>
      </w:r>
      <w:r w:rsidR="00707BC0">
        <w:t>’</w:t>
      </w:r>
      <w:r>
        <w:t xml:space="preserve">s three </w:t>
      </w:r>
      <w:r w:rsidR="00C74FD7">
        <w:t xml:space="preserve">dimensions and represent </w:t>
      </w:r>
      <w:r w:rsidR="00707BC0">
        <w:t>the population’s central tendency</w:t>
      </w:r>
      <w:r>
        <w:t xml:space="preserve">. </w:t>
      </w:r>
      <w:r w:rsidRPr="008B4A65">
        <w:t xml:space="preserve">Relative indices, in contrast, </w:t>
      </w:r>
      <w:r w:rsidR="00C74FD7">
        <w:t>represent divergence from the respective population</w:t>
      </w:r>
      <w:r w:rsidR="00707BC0">
        <w:t>’</w:t>
      </w:r>
      <w:r w:rsidR="00C74FD7">
        <w:t xml:space="preserve">s </w:t>
      </w:r>
      <w:r w:rsidR="00C74FD7" w:rsidRPr="008B4A65">
        <w:t>central</w:t>
      </w:r>
      <w:r w:rsidR="00C74FD7" w:rsidRPr="008B4A65">
        <w:rPr>
          <w:b/>
          <w:bCs/>
        </w:rPr>
        <w:t xml:space="preserve"> </w:t>
      </w:r>
      <w:r w:rsidR="00C74FD7" w:rsidRPr="008B4A65">
        <w:t>tendency</w:t>
      </w:r>
      <w:r w:rsidR="00C74FD7">
        <w:t xml:space="preserve"> and </w:t>
      </w:r>
      <w:r w:rsidRPr="008B4A65">
        <w:t xml:space="preserve">are </w:t>
      </w:r>
      <w:r w:rsidR="00C74FD7">
        <w:t xml:space="preserve">calculated as </w:t>
      </w:r>
      <w:r w:rsidR="00707BC0">
        <w:t>scores normalized to</w:t>
      </w:r>
      <w:r w:rsidR="00C74FD7">
        <w:t xml:space="preserve"> </w:t>
      </w:r>
      <w:r w:rsidR="00594741">
        <w:t>it</w:t>
      </w:r>
      <w:r w:rsidR="00C74FD7">
        <w:t xml:space="preserve">. The relative indices provide a more </w:t>
      </w:r>
      <w:r w:rsidR="00C74FD7">
        <w:lastRenderedPageBreak/>
        <w:t>valid basis for cross-population or over-time comparative research</w:t>
      </w:r>
      <w:r w:rsidR="00707BC0">
        <w:t>, as they account for population-specif</w:t>
      </w:r>
      <w:r>
        <w:t>ic differences (cultural response styles, understanding of survey items, national political context, etc.)</w:t>
      </w:r>
      <w:r w:rsidR="00C74FD7">
        <w:t xml:space="preserve">. </w:t>
      </w:r>
      <w:r>
        <w:t xml:space="preserve"> </w:t>
      </w:r>
    </w:p>
    <w:p w14:paraId="012CB2C7" w14:textId="77777777" w:rsidR="00707BC0" w:rsidRPr="00707BC0" w:rsidRDefault="00707BC0" w:rsidP="00707BC0">
      <w:pPr>
        <w:pStyle w:val="Newparagraph"/>
      </w:pPr>
    </w:p>
    <w:p w14:paraId="214521E2" w14:textId="62F014F1" w:rsidR="002F5171" w:rsidRDefault="002F5171" w:rsidP="002F5171">
      <w:pPr>
        <w:pStyle w:val="Figurecaption"/>
      </w:pPr>
      <w:bookmarkStart w:id="17" w:name="_Ref204115974"/>
      <w:r>
        <w:t xml:space="preserve">Figure </w:t>
      </w:r>
      <w:fldSimple w:instr=" SEQ Figure \* ARABIC ">
        <w:r w:rsidR="00C30B96">
          <w:rPr>
            <w:noProof/>
          </w:rPr>
          <w:t>2</w:t>
        </w:r>
      </w:fldSimple>
      <w:bookmarkEnd w:id="17"/>
      <w:r>
        <w:rPr>
          <w:lang w:val="en-US"/>
        </w:rPr>
        <w:t>: Operationalization of Political Extremism</w:t>
      </w:r>
    </w:p>
    <w:p w14:paraId="04BBD640" w14:textId="473C0FAA" w:rsidR="002F5171" w:rsidRDefault="00F40CDC" w:rsidP="002F5171">
      <w:r w:rsidRPr="00F40CDC">
        <w:rPr>
          <w:noProof/>
        </w:rPr>
        <w:drawing>
          <wp:inline distT="0" distB="0" distL="0" distR="0" wp14:anchorId="6631DA14" wp14:editId="329EC538">
            <wp:extent cx="5396865" cy="1649730"/>
            <wp:effectExtent l="0" t="0" r="0" b="7620"/>
            <wp:docPr id="7601411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1153" name="Picture 1" descr="A diagram of a diagram&#10;&#10;AI-generated content may be incorrect."/>
                    <pic:cNvPicPr/>
                  </pic:nvPicPr>
                  <pic:blipFill>
                    <a:blip r:embed="rId10"/>
                    <a:stretch>
                      <a:fillRect/>
                    </a:stretch>
                  </pic:blipFill>
                  <pic:spPr>
                    <a:xfrm>
                      <a:off x="0" y="0"/>
                      <a:ext cx="5396865" cy="1649730"/>
                    </a:xfrm>
                    <a:prstGeom prst="rect">
                      <a:avLst/>
                    </a:prstGeom>
                  </pic:spPr>
                </pic:pic>
              </a:graphicData>
            </a:graphic>
          </wp:inline>
        </w:drawing>
      </w:r>
    </w:p>
    <w:p w14:paraId="4E95C969" w14:textId="0F640AD0" w:rsidR="00D2321C" w:rsidRPr="000D4280" w:rsidRDefault="00D2321C" w:rsidP="000D4280">
      <w:pPr>
        <w:pStyle w:val="Newparagraph"/>
      </w:pPr>
      <w:bookmarkStart w:id="18" w:name="_Hlk196844398"/>
      <w:bookmarkEnd w:id="12"/>
      <w:bookmarkEnd w:id="13"/>
      <w:bookmarkEnd w:id="14"/>
      <w:r w:rsidRPr="000D4280">
        <w:t xml:space="preserve">The gauge </w:t>
      </w:r>
      <w:r w:rsidR="00A4797E" w:rsidRPr="000D4280">
        <w:t>enables two distinct analytical approaches for examin</w:t>
      </w:r>
      <w:r w:rsidRPr="000D4280">
        <w:t xml:space="preserve">ing political extremism. The first is the </w:t>
      </w:r>
      <w:r w:rsidRPr="000D4280">
        <w:rPr>
          <w:rStyle w:val="Strong"/>
          <w:rFonts w:eastAsiaTheme="majorEastAsia"/>
          <w:b w:val="0"/>
          <w:bCs w:val="0"/>
        </w:rPr>
        <w:t xml:space="preserve">Between-Populations </w:t>
      </w:r>
      <w:r w:rsidR="00C74FD7" w:rsidRPr="000D4280">
        <w:rPr>
          <w:rStyle w:val="Strong"/>
          <w:rFonts w:eastAsiaTheme="majorEastAsia"/>
          <w:b w:val="0"/>
          <w:bCs w:val="0"/>
        </w:rPr>
        <w:t>a</w:t>
      </w:r>
      <w:r w:rsidRPr="000D4280">
        <w:rPr>
          <w:rStyle w:val="Strong"/>
          <w:rFonts w:eastAsiaTheme="majorEastAsia"/>
          <w:b w:val="0"/>
          <w:bCs w:val="0"/>
        </w:rPr>
        <w:t>nalysis</w:t>
      </w:r>
      <w:r w:rsidRPr="000D4280">
        <w:t xml:space="preserve">, which </w:t>
      </w:r>
      <w:r w:rsidR="00C74FD7" w:rsidRPr="000D4280">
        <w:t>targets</w:t>
      </w:r>
      <w:r w:rsidRPr="000D4280">
        <w:t xml:space="preserve"> a macro-level comparison of entire populations, such as different countries. This approach involves </w:t>
      </w:r>
      <w:r w:rsidR="00707BC0">
        <w:t>comparing</w:t>
      </w:r>
      <w:r w:rsidRPr="000D4280">
        <w:t xml:space="preserve"> both absolute and relative gauge indices for each population. The second strategy is the </w:t>
      </w:r>
      <w:r w:rsidRPr="000D4280">
        <w:rPr>
          <w:rStyle w:val="Strong"/>
          <w:rFonts w:eastAsiaTheme="majorEastAsia"/>
          <w:b w:val="0"/>
          <w:bCs w:val="0"/>
        </w:rPr>
        <w:t>Within-Population Analysis</w:t>
      </w:r>
      <w:r w:rsidRPr="000D4280">
        <w:t xml:space="preserve">, which </w:t>
      </w:r>
      <w:r w:rsidR="00707BC0">
        <w:t>examines levels of extremism across communities within</w:t>
      </w:r>
      <w:r w:rsidRPr="000D4280">
        <w:t xml:space="preserve"> a single population. </w:t>
      </w:r>
      <w:r w:rsidR="00C74FD7" w:rsidRPr="000D4280">
        <w:t>T</w:t>
      </w:r>
      <w:r w:rsidRPr="000D4280">
        <w:t xml:space="preserve">he relative indices are computed using the </w:t>
      </w:r>
      <w:r w:rsidR="00707BC0">
        <w:t>overall population’s central tendency</w:t>
      </w:r>
      <w:r w:rsidRPr="000D4280">
        <w:t xml:space="preserve">, rather than </w:t>
      </w:r>
      <w:r w:rsidR="00C74FD7" w:rsidRPr="000D4280">
        <w:t>that</w:t>
      </w:r>
      <w:r w:rsidRPr="000D4280">
        <w:t xml:space="preserve"> of the specific community. By referencing the overall population, relative ind</w:t>
      </w:r>
      <w:r w:rsidR="00594741">
        <w:t>ices</w:t>
      </w:r>
      <w:r w:rsidRPr="000D4280">
        <w:t xml:space="preserve"> directly indicate the </w:t>
      </w:r>
      <w:r w:rsidR="00707BC0">
        <w:t>“</w:t>
      </w:r>
      <w:r w:rsidRPr="000D4280">
        <w:t>contribution</w:t>
      </w:r>
      <w:r w:rsidR="00707BC0">
        <w:t>”</w:t>
      </w:r>
      <w:r w:rsidRPr="000D4280">
        <w:t xml:space="preserve"> to the entire population</w:t>
      </w:r>
      <w:r w:rsidR="00707BC0">
        <w:t>’</w:t>
      </w:r>
      <w:r w:rsidRPr="000D4280">
        <w:t xml:space="preserve">s </w:t>
      </w:r>
      <w:r w:rsidR="00C74FD7" w:rsidRPr="000D4280">
        <w:t>political extremism level</w:t>
      </w:r>
      <w:r w:rsidRPr="000D4280">
        <w:t xml:space="preserve">, rather than just </w:t>
      </w:r>
      <w:r w:rsidR="00C74FD7" w:rsidRPr="000D4280">
        <w:t>the</w:t>
      </w:r>
      <w:r w:rsidRPr="000D4280">
        <w:t xml:space="preserve"> internal variation.</w:t>
      </w:r>
    </w:p>
    <w:bookmarkEnd w:id="18"/>
    <w:p w14:paraId="0565EF86" w14:textId="7379088E" w:rsidR="00D2321C" w:rsidRDefault="00615FC8" w:rsidP="000D4280">
      <w:pPr>
        <w:pStyle w:val="Newparagraph"/>
      </w:pPr>
      <w:r>
        <w:t>A</w:t>
      </w:r>
      <w:r w:rsidR="00D2321C">
        <w:t xml:space="preserve">bsolute indices include </w:t>
      </w:r>
      <w:r>
        <w:t>t</w:t>
      </w:r>
      <w:r w:rsidR="00D2321C">
        <w:t xml:space="preserve">he </w:t>
      </w:r>
      <w:r>
        <w:t>N</w:t>
      </w:r>
      <w:r w:rsidR="00D2321C">
        <w:t xml:space="preserve">ormative </w:t>
      </w:r>
      <w:r>
        <w:t>P</w:t>
      </w:r>
      <w:r w:rsidR="00D2321C">
        <w:t xml:space="preserve">oints </w:t>
      </w:r>
      <w:r>
        <w:t xml:space="preserve">(NP), </w:t>
      </w:r>
      <w:r w:rsidR="002F5171">
        <w:t xml:space="preserve">which represent the population median in each dimension, and the Extremism Points (EP), </w:t>
      </w:r>
      <w:r w:rsidR="009549FE">
        <w:t>which serve as</w:t>
      </w:r>
      <w:r>
        <w:t xml:space="preserve"> a threshold </w:t>
      </w:r>
      <w:r w:rsidR="009549FE">
        <w:t>to</w:t>
      </w:r>
      <w:r>
        <w:t xml:space="preserve"> identify the more extreme population. </w:t>
      </w:r>
      <w:bookmarkStart w:id="19" w:name="_Hlk207179874"/>
      <w:r w:rsidR="00114FCE">
        <w:t xml:space="preserve">The calculation of EP represents the most crucial component of </w:t>
      </w:r>
      <w:r w:rsidR="00A02CB8">
        <w:t>the</w:t>
      </w:r>
      <w:r w:rsidR="00114FCE">
        <w:t xml:space="preserve"> </w:t>
      </w:r>
      <w:r w:rsidR="00707BC0">
        <w:t>gauge</w:t>
      </w:r>
      <w:r w:rsidR="00114FCE">
        <w:t xml:space="preserve"> algorithm, as extremism assessment requires identifying </w:t>
      </w:r>
      <w:r w:rsidR="00707BC0">
        <w:t>the population segment</w:t>
      </w:r>
      <w:r w:rsidR="00114FCE">
        <w:t xml:space="preserve"> at the distributional tail of the population</w:t>
      </w:r>
      <w:r w:rsidR="00707BC0">
        <w:t>’</w:t>
      </w:r>
      <w:r w:rsidR="00114FCE">
        <w:t>s extremism spectrum</w:t>
      </w:r>
      <w:r w:rsidR="0028509F">
        <w:t>. The EP serves</w:t>
      </w:r>
      <w:r w:rsidR="00114FCE">
        <w:t xml:space="preserve"> to delineate this tail and distinguish the more extremist segment. </w:t>
      </w:r>
      <w:r w:rsidR="00A02CB8">
        <w:lastRenderedPageBreak/>
        <w:t xml:space="preserve">This approach seeks to balance </w:t>
      </w:r>
      <w:r w:rsidR="00114FCE">
        <w:t xml:space="preserve">two competing objectives: excluding moderate individuals from the extremist </w:t>
      </w:r>
      <w:r w:rsidR="00DE7521">
        <w:t>tail</w:t>
      </w:r>
      <w:r w:rsidR="00114FCE">
        <w:t xml:space="preserve"> while ensuring sufficient sample size and diversity to enable robust statistical analysis. The EP is operationalized by adding 1.5 times the Median Absolute Deviation (MAD) to the established Normative Point</w:t>
      </w:r>
      <w:bookmarkEnd w:id="15"/>
      <w:bookmarkEnd w:id="16"/>
      <w:r w:rsidR="00594741">
        <w:rPr>
          <w:rStyle w:val="FootnoteReference"/>
        </w:rPr>
        <w:footnoteReference w:id="3"/>
      </w:r>
      <w:r>
        <w:t xml:space="preserve">. </w:t>
      </w:r>
      <w:bookmarkEnd w:id="19"/>
      <w:r>
        <w:t>Relative indices include the Extremism Levels (EL)</w:t>
      </w:r>
      <w:r w:rsidR="00541558">
        <w:rPr>
          <w:lang w:val="en-US"/>
        </w:rPr>
        <w:t xml:space="preserve"> and Extremism Intensity (EIN)</w:t>
      </w:r>
      <w:r>
        <w:t xml:space="preserve">, </w:t>
      </w:r>
      <w:r w:rsidR="00563FCB">
        <w:t xml:space="preserve">which represent the percentage </w:t>
      </w:r>
      <w:r w:rsidR="00541558">
        <w:t>and intensity of the more extremist group (</w:t>
      </w:r>
      <w:r w:rsidR="00563FCB">
        <w:t>above the extremism point in each dimension</w:t>
      </w:r>
      <w:r w:rsidR="00541558">
        <w:t>) The indices also include three</w:t>
      </w:r>
      <w:r w:rsidR="00563FCB">
        <w:t xml:space="preserve"> Extremism Ranks (ER1, ER2, ER3), represent</w:t>
      </w:r>
      <w:r w:rsidR="00541558">
        <w:t>ing</w:t>
      </w:r>
      <w:r>
        <w:t xml:space="preserve"> the population percentage with at least one, two, or three dimensions above the Extremism Point. </w:t>
      </w:r>
      <w:r>
        <w:fldChar w:fldCharType="begin"/>
      </w:r>
      <w:r>
        <w:instrText xml:space="preserve"> REF _Ref204083297 \h </w:instrText>
      </w:r>
      <w:r>
        <w:fldChar w:fldCharType="separate"/>
      </w:r>
      <w:r w:rsidR="00C30B96">
        <w:t xml:space="preserve">Figure </w:t>
      </w:r>
      <w:r w:rsidR="00C30B96">
        <w:rPr>
          <w:noProof/>
        </w:rPr>
        <w:t>3</w:t>
      </w:r>
      <w:r>
        <w:fldChar w:fldCharType="end"/>
      </w:r>
      <w:r>
        <w:t xml:space="preserve"> below</w:t>
      </w:r>
      <w:r w:rsidR="00D2321C">
        <w:t xml:space="preserve"> visualizes the</w:t>
      </w:r>
      <w:r w:rsidR="00707BC0">
        <w:t>se</w:t>
      </w:r>
      <w:r w:rsidR="00D2321C">
        <w:t xml:space="preserve"> gauge indices. </w:t>
      </w:r>
    </w:p>
    <w:p w14:paraId="0E03B059" w14:textId="7DD7CD9D" w:rsidR="00615FC8" w:rsidRDefault="00615FC8" w:rsidP="00615FC8">
      <w:pPr>
        <w:pStyle w:val="Figurecaption"/>
      </w:pPr>
      <w:bookmarkStart w:id="20" w:name="_Ref204083297"/>
      <w:r>
        <w:t xml:space="preserve">Figure </w:t>
      </w:r>
      <w:fldSimple w:instr=" SEQ Figure \* ARABIC ">
        <w:r w:rsidR="00C30B96">
          <w:rPr>
            <w:noProof/>
          </w:rPr>
          <w:t>3</w:t>
        </w:r>
      </w:fldSimple>
      <w:bookmarkEnd w:id="20"/>
      <w:r>
        <w:rPr>
          <w:lang w:val="en-US"/>
        </w:rPr>
        <w:t>: Gauge Indices</w:t>
      </w:r>
    </w:p>
    <w:p w14:paraId="70A0EC50" w14:textId="29F51C53" w:rsidR="00D2321C" w:rsidRDefault="00EF37A7" w:rsidP="004074B0">
      <w:pPr>
        <w:pStyle w:val="Paragraph"/>
        <w:rPr>
          <w:lang w:val="en-US" w:bidi="he-IL"/>
        </w:rPr>
      </w:pPr>
      <w:r w:rsidRPr="00EF37A7">
        <w:rPr>
          <w:noProof/>
          <w:lang w:bidi="he-IL"/>
        </w:rPr>
        <w:drawing>
          <wp:inline distT="0" distB="0" distL="0" distR="0" wp14:anchorId="34323464" wp14:editId="52E14A36">
            <wp:extent cx="5396865" cy="2818130"/>
            <wp:effectExtent l="0" t="0" r="0" b="1270"/>
            <wp:docPr id="9" name="Picture 8">
              <a:extLst xmlns:a="http://schemas.openxmlformats.org/drawingml/2006/main">
                <a:ext uri="{FF2B5EF4-FFF2-40B4-BE49-F238E27FC236}">
                  <a16:creationId xmlns:a16="http://schemas.microsoft.com/office/drawing/2014/main" id="{35D1C6E5-8A35-6772-9797-5075473D47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35D1C6E5-8A35-6772-9797-5075473D4754}"/>
                        </a:ext>
                      </a:extLst>
                    </pic:cNvPr>
                    <pic:cNvPicPr>
                      <a:picLocks noChangeAspect="1"/>
                    </pic:cNvPicPr>
                  </pic:nvPicPr>
                  <pic:blipFill>
                    <a:blip r:embed="rId11"/>
                    <a:stretch>
                      <a:fillRect/>
                    </a:stretch>
                  </pic:blipFill>
                  <pic:spPr>
                    <a:xfrm>
                      <a:off x="0" y="0"/>
                      <a:ext cx="5396865" cy="2818130"/>
                    </a:xfrm>
                    <a:prstGeom prst="rect">
                      <a:avLst/>
                    </a:prstGeom>
                  </pic:spPr>
                </pic:pic>
              </a:graphicData>
            </a:graphic>
          </wp:inline>
        </w:drawing>
      </w:r>
    </w:p>
    <w:p w14:paraId="1D72252B" w14:textId="5B4CA727" w:rsidR="00707BC0" w:rsidRDefault="00707BC0" w:rsidP="0028509F">
      <w:pPr>
        <w:pStyle w:val="Newparagraph"/>
      </w:pPr>
      <w:r w:rsidRPr="00707BC0">
        <w:t xml:space="preserve">The utilization of relative indices resolves critical validity challenges inherent in cross-national or longitudinal comparative research. Comparative analysis frequently encounters obstacles arising from contextual heterogeneity, such as varying national interpretations of the left-right ideological spectrum, culturally or historically dependent thresholds for acceptable violence, and distinct definitions of relevant outgroups. Relative </w:t>
      </w:r>
      <w:r w:rsidRPr="00707BC0">
        <w:lastRenderedPageBreak/>
        <w:t>indices mitigate these biases by shifting the analytical focus from raw values to the degree of deviation from a population-specific norm. This standardization neutralizes local idiosyncrasies and isolates the structural phenomenon of extremism, allowing researchers to compare how distinct populations diverge from their respective societies’ centers without the confounding influence of context-dependent baselines.</w:t>
      </w:r>
    </w:p>
    <w:p w14:paraId="48124D89" w14:textId="7C85B0F5" w:rsidR="0059100A" w:rsidRPr="0059100A" w:rsidRDefault="00FA430D" w:rsidP="004074B0">
      <w:pPr>
        <w:pStyle w:val="Heading1"/>
      </w:pPr>
      <w:bookmarkStart w:id="21" w:name="_Hlk193464411"/>
      <w:r>
        <w:t xml:space="preserve">Destabilizing Events and Political Extremism </w:t>
      </w:r>
      <w:bookmarkEnd w:id="21"/>
    </w:p>
    <w:p w14:paraId="0AE46BED" w14:textId="67CD9EE0" w:rsidR="00A75FCA" w:rsidRDefault="00721214" w:rsidP="00466D53">
      <w:pPr>
        <w:pStyle w:val="Paragraph"/>
      </w:pPr>
      <w:r>
        <w:t xml:space="preserve">Destabilizing events directly threaten the stability, legitimacy, or continuity of established political </w:t>
      </w:r>
      <w:r w:rsidR="00FA430D">
        <w:t xml:space="preserve">systems. </w:t>
      </w:r>
      <w:r>
        <w:t>While existing research has typically focused on specific types of events in isolation, usually linking individual events to a single dimension of political extremism</w:t>
      </w:r>
      <w:r w:rsidR="008F2973">
        <w:rPr>
          <w:lang w:val="en-US"/>
        </w:rPr>
        <w:t xml:space="preserve"> </w:t>
      </w:r>
      <w:r w:rsidR="008F2973">
        <w:rPr>
          <w:lang w:val="en-US"/>
        </w:rPr>
        <w:fldChar w:fldCharType="begin"/>
      </w:r>
      <w:r w:rsidR="00466D53">
        <w:rPr>
          <w:lang w:val="en-US"/>
        </w:rPr>
        <w:instrText xml:space="preserve"> ADDIN ZOTERO_ITEM CSL_CITATION {"citationID":"H0cw5T9Q","properties":{"formattedCitation":"(Canetti et al., 2013, 2018; Hirsch-Hoefler et al., 2014; Ozer et al., 2025)","plainCitation":"(Canetti et al., 2013, 2018; Hirsch-Hoefler et al., 2014; Ozer et al., 2025)","noteIndex":0},"citationItems":[{"id":1863,"uris":["http://zotero.org/users/11665025/items/6S2AIAL3"],"itemData":{"id":1863,"type":"article-journal","abstract":"Exposure to political violence can lead to various political and psychological outcomes. Using the protracted Israeli-Palestinian conflict as a natural laboratory, we explore the way in which exposure to conflict violence leads to changes in citizens’ political attitudes and behavior, offering a model for a stress-based process of political extremism. This model encapsulates three basic components in a causal chain leading to political extremism: exposure to political violence, psychological distress, and enhanced perceptions of threat. We find that prolonged exposure to political violence increases psychological distress, which in turn evokes stronger perceptions of threat that foment political attitudes eschewing compromise and favoring militarism. This causal chain fuels a destructive cycle of violence that is hard to break. Understanding these psychological and political consequences of exposure to political violence can help to shed light on the barriers that too often stymie peacemaking efforts and contribute to the deterioration of intractable conflicts around the globe. Thus, this review offers insights applicable to conflict zones around the world and suggests policy implications for therapeutic intervention and potential pathways to conflict resolution.","container-title":"European Psychologist","DOI":"10.1027/1016-9040/a000158","ISSN":"1016-9040","issue":"4","note":"publisher: Hogrefe Publishing","page":"263-272","source":"econtent.hogrefe.com (Atypon)","title":"Exposure to Political Violence and Political Extremism","volume":"18","author":[{"family":"Canetti","given":"Daphna"},{"family":"Hall","given":"Brian J."},{"family":"Rapaport","given":"Carmit"},{"family":"Wayne","given":"Carly"}],"issued":{"date-parts":[["2013",1]]}}},{"id":1190,"uris":["http://zotero.org/users/11665025/items/LCGSSF7J"],"itemData":{"id":1190,"type":"article-journal","abstract":"This research tested whether chronic or contextually activated Holocaust exposure is associated with more extreme political attitudes among Israeli Jews. Study 1 (\n              N\n               = 57), and Study 2 (\n              N\n               = 61) found that Holocaust primes increased support for aggressive policies against a current adversary and decreased support for political compromise via an amplified sense of identification with Zionist ideology. These effects, however, were obtained only under an exclusive but not an inclusive framing of the Holocaust. Study 3 (\n              N\n               = 152) replicated these findings in a field study conducted around Holocaust Remembrance Day and showed that the link between Holocaust exposure, ideological identification, and militancy also occurs in real‐life settings. Study 4 (\n              N\n               = 867) demonstrated in a nationally representative survey that Holocaust survivors and their descendants exhibited amplified existential threat responses to contemporary political violence, which were associated with militancy and opposition to peaceful compromises. Together, these studies illustrate the\n              Holocaustization\n              of Israeli political cognitions 70 years later.","container-title":"Political Psychology","DOI":"10.1111/pops.12384","ISSN":"0162-895X, 1467-9221","issue":"1","journalAbbreviation":"Political Psychology","language":"en","page":"3-21","source":"DOI.org (Crossref)","title":"Collective Trauma From the Lab to the Real World: The Effects of the Holocaust on Contemporary Israeli Political Cognitions","title-short":"Collective Trauma From the Lab to the Real World","volume":"39","author":[{"family":"Canetti","given":"Daphna"},{"family":"Hirschberger","given":"Gilad"},{"family":"Rapaport","given":"Carmit"},{"family":"Elad‐Strenger","given":"Julia"},{"family":"Ein‐Dor","given":"Tsachi"},{"family":"Rosenzveig","given":"Shifra"},{"family":"Pyszczynski","given":"Tom"},{"family":"Hobfoll","given":"Stevan E."}],"issued":{"date-parts":[["2018",2]]}}},{"id":1108,"uris":["http://zotero.org/users/11665025/items/KB64GR8E"],"itemData":{"id":1108,"type":"article-journal","abstract":"Does exposure to political violence prompt civilians to support peace? We investigate the determinants of civilian attitudes toward peace during ongoing conflict using two original panel datasets representing Israelis (n=996) and Palestinians in East Jerusalem, the West Bank and Gaza (n=631) (149 communities in total). A multi-group estimation analysis shows that individual-level exposure to terrorism and political violence makes the subject populations less likely to support peace efforts. The findings also confirm psychological distress and threat perceptions as the mechanism that bridges exposure to violence and greater militancy over time. The study breaks ground in showing that individual-level exposure – necessarily accompanied by psychological distress and threat perceptions – is key to understanding civilians’ refusal to compromise in prolonged conflict.","container-title":"British Journal of Political Science","DOI":"10.1017/S0007123414000374","ISSN":"0007-1234, 1469-2112","issue":"4","language":"en","page":"845-859","source":"Cambridge University Press","title":"Conflict will Harden your Heart: Exposure to Violence, Psychological Distress, and Peace Barriers in Israel and Palestine","title-short":"Conflict will Harden your Heart","volume":"46","author":[{"family":"Hirsch-Hoefler","given":"Sivan"},{"family":"Canetti","given":"Daphna"},{"family":"Rapaport","given":"Carmit"},{"family":"Hobfoll","given":"Stevan E."}],"issued":{"date-parts":[["2014"]]}}},{"id":2256,"uris":["http://zotero.org/users/11665025/items/9J8CUCB6"],"itemData":{"id":2256,"type":"article-journal","abstract":"Reports have indicated an increase in anti-Jewish hostility and antisemitic incidents following the Hamas terrorist attack in Israel on October 7, 2023, and the subsequent war in Gaza. In two studies (NStudy1 = 354 and NStudy2 = 490), we experimentally investigated the impact of priming with material referring to the war in Gaza on hostility toward Jews, and on antisemitism as well as other various ethnic groups (to determine whether this exposure specifically affected attitudes toward Jews or had a broader impact on ethnic attitudes in general). We also examined the indirect relationship between political orientation and anti-Jewish hostility and antisemitism, through sociopolitical factors such as global identification, out-group identity fusion, social dominance orientation, and misanthropy. Our results showed an experimental effect of increased negative attitudes toward Jews, as well as toward Britons and Scandinavians, but did not reveal an increase in antisemitism. This effect was not replicated in Study 2, possibly due to reduced media attention. The indirect effects suggested that political orientation (left vs. right-wing) was positively associated with anti-Jewish hostility and antisemitism through social dominance orientation. In contrast, conservative political orientation was negatively associated with antisemitism through out-group identity fusion with the Palestinian people. Our findings imply two distinct political pathways to antisemitism: one linked with classical political right-wing orientation and the other to a complex identity-based conflation of attitudes toward Israel with prejudice toward the Jewish ethnic group.","container-title":"International Journal of Intercultural Relations","DOI":"10.1016/j.ijintrel.2025.102184","ISSN":"0147-1767","journalAbbreviation":"International Journal of Intercultural Relations","page":"102184","source":"ScienceDirect","title":"The impact of globalized conflicts: Examining attitudes toward Jews among Britons in the political context of the war in Gaza","title-short":"The impact of globalized conflicts","volume":"107","author":[{"family":"Ozer","given":"Simon"},{"family":"Obaidi","given":"Milan"},{"family":"Bergh","given":"Robin"}],"issued":{"date-parts":[["2025",7,1]]}}}],"schema":"https://github.com/citation-style-language/schema/raw/master/csl-citation.json"} </w:instrText>
      </w:r>
      <w:r w:rsidR="008F2973">
        <w:rPr>
          <w:lang w:val="en-US"/>
        </w:rPr>
        <w:fldChar w:fldCharType="separate"/>
      </w:r>
      <w:r w:rsidR="00466D53" w:rsidRPr="00466D53">
        <w:rPr>
          <w:rFonts w:ascii="Times New Roman" w:hAnsi="Times New Roman" w:cs="Times New Roman"/>
        </w:rPr>
        <w:t>(Canetti et al., 2013, 2018; Hirsch-Hoefler et al., 2014; Ozer et al., 2025)</w:t>
      </w:r>
      <w:r w:rsidR="008F2973">
        <w:rPr>
          <w:lang w:val="en-US"/>
        </w:rPr>
        <w:fldChar w:fldCharType="end"/>
      </w:r>
      <w:r>
        <w:t xml:space="preserve">, there has been a limited systematic examination of how different categories of destabilizing events affect multiple dimensions of extremism in </w:t>
      </w:r>
      <w:r w:rsidR="006A1E4C">
        <w:t>distinct</w:t>
      </w:r>
      <w:r>
        <w:t xml:space="preserve"> ways. Moreover, </w:t>
      </w:r>
      <w:r w:rsidR="006A1E4C">
        <w:t>various</w:t>
      </w:r>
      <w:r>
        <w:t xml:space="preserve"> political orientations may respond differently to the same events</w:t>
      </w:r>
      <w:r w:rsidR="00200851">
        <w:t xml:space="preserve">, </w:t>
      </w:r>
      <w:r>
        <w:t>where identical stimuli may increase extremism within certain ideological groups while reducing it within others</w:t>
      </w:r>
      <w:r w:rsidR="009D598B">
        <w:t xml:space="preserve">, </w:t>
      </w:r>
      <w:r>
        <w:t xml:space="preserve">making separate analysis by political </w:t>
      </w:r>
      <w:r w:rsidR="005E1B30">
        <w:t>o</w:t>
      </w:r>
      <w:r>
        <w:t xml:space="preserve">rientation necessary to capture these differential effects. The present study addresses both research gaps by systematically examining how various types of destabilizing events affect multiple dimensions of political extremism across different political orientations. </w:t>
      </w:r>
    </w:p>
    <w:p w14:paraId="49D40B00" w14:textId="11E934E4" w:rsidR="00A75FCA" w:rsidRDefault="006A1E4C" w:rsidP="008A4367">
      <w:pPr>
        <w:pStyle w:val="Newparagraph"/>
      </w:pPr>
      <w:r>
        <w:t>V</w:t>
      </w:r>
      <w:r w:rsidR="00FA430D">
        <w:t>arious destabilizing events can contribute to the emergence of</w:t>
      </w:r>
      <w:r w:rsidR="00FA430D" w:rsidRPr="00652B84">
        <w:t xml:space="preserve"> political extremism. National crises, including wars and economic depressions, consistently correlate with increased extremism domestically, both on the right and the left </w:t>
      </w:r>
      <w:r w:rsidR="00FA430D" w:rsidRPr="00652B84">
        <w:fldChar w:fldCharType="begin"/>
      </w:r>
      <w:r w:rsidR="00051595">
        <w:instrText xml:space="preserve"> ADDIN ZOTERO_ITEM CSL_CITATION {"citationID":"oJHZu5FK","properties":{"formattedCitation":"(Kofman &amp; Garfin, 2020; Rasler, 1986; Stohl, 1975; Vlachos, 2016)","plainCitation":"(Kofman &amp; Garfin, 2020; Rasler, 1986; Stohl, 1975; Vlachos, 2016)","noteIndex":0},"citationItems":[{"id":1823,"uris":["http://zotero.org/users/11665025/items/E7KIAFHK"],"itemData":{"id":1823,"type":"article-journal","abstract":"The novel Coronavirus (SARS-CoV-2) and the associated disease it causes, COVID-19, have caused unprecedented social disruption. Due to sweeping stay-at-home orders across the United States and internationally, many victims and survivors of domestic violence (DV), now forced to isolate with their abusers, run the risk of new or escalating violence. Numerous advocates, organizations, and service centers anticipated this: upticks in domestic violence were reported in many regions soon after stay-at-home directives were announced. In this commentary, we delineate some of the recent events leading up to the reported spike in DV, review literature on previously documented disaster-related DV surges, and discuss some of the unique challenges, dilemmas, and risks victims and survivors face during this pandemic. We conclude with recommendations to allocate resources to DV front-liners and utilize existing DV guidelines for disaster preparedness, response, and recovery.","container-title":"Psychological trauma : theory, research, practice and policy","DOI":"10.1037/tra0000866","ISSN":"1942-9681","issue":"Suppl 1","journalAbbreviation":"Psychol Trauma","note":"PMID: 32478558\nPMCID: PMC7720288","page":"S199-S201","source":"PubMed Central","title":"Home is not always a haven: The domestic violence crisis amid the COVID-19 pandemic","title-short":"Home is not always a haven","volume":"12","author":[{"family":"Kofman","given":"Yasmin"},{"family":"Garfin","given":"Dana Rose"}],"issued":{"date-parts":[["2020",8]]}}},{"id":1638,"uris":["http://zotero.org/users/11665025/items/KIFZWMFG"],"itemData":{"id":1638,"type":"article-journal","abstract":"War, postwar demobilization, and economic depression are national crises that ultimately test the state's capacity to respond simultaneously to internal and external challenges. This analysis probes the nexus between crises and domestic violence, investigating how this relationship is mediated by the influence of two variables: the severity of crisis and the presence or absence of government accommodation. Box-Tiao impact assessment models are used to estimate the separate and combined effects of American involvements in wars (the Spanish-American War, World Wars I and II, and the Korean and Vietnam Wars), their postwar periods, and the 1930s depression on economic, social, and political forms of American violence from 1890 to 1970. After establishing historical evidence for the role of national accommodation, I demonstrate that strong, positive associations between severe crises and domestic violence are to be found during the tenure of nonaccommodating administrations. Accommodating governments are associated with either negative or historically weak linkages between severe crises and domestic violence. Overall, the evidence underscores the benefit of using broad theoretical perspectives for understanding the linkages between international and domestic conflict.","container-title":"The American Political Science Review","DOI":"10.2307/1960545","ISSN":"0003-0554","issue":"3","note":"publisher: [American Political Science Association, Cambridge University Press]","page":"921-945","source":"JSTOR","title":"War Accommodation, and Violence in the United States, 1890-1970","volume":"80","author":[{"family":"Rasler","given":"Karen"}],"issued":{"date-parts":[["1986"]]}}},{"id":1635,"uris":["http://zotero.org/users/11665025/items/YNTSHMDZ"],"itemData":{"id":1635,"type":"article-journal","abstract":"This paper is concerned with the indirect systemic linkages whereby conflict at one level (in this case war involvement) generates systemic changes at the domestic level, which in turn alter the character of conflict at that level. To evaluate these linkages, I examine the changes in the magnitude and intensity of economic, social, and political violence in the domestic system that occur before, during, and after war involvement. Data have been collected on 2,861 violent events during this period. The impact of war on the pattern of these events is evaluated through the use of an interrupted time series, quasi-experimental design. The analysis indicates that war did have a significant, although different, impact on the pattern of domestic violence for each of the five wars.","container-title":"Journal of Conflict Resolution","DOI":"10.1177/002200277501900301","ISSN":"0022-0027","issue":"3","language":"en","note":"publisher: SAGE Publications Inc","page":"379-416","source":"SAGE Journals","title":"War and Domestic Political Violence: The Case of the United States 1890–1970","title-short":"War and Domestic Political Violence","volume":"19","author":[{"family":"Stohl","given":"Michael"}],"issued":{"date-parts":[["1975",9,1]]}}},{"id":1642,"uris":["http://zotero.org/users/11665025/items/QLFV79BG"],"itemData":{"id":1642,"type":"report","abstract":"This article investigates the long-run impact of war participation on political attitudes. During WWII men from Eastern France were forcibly conscripted to the German army. At the end of the War these veterans,  ghting for the Wehrmacht and commonly called the \"Despite our will\", had to re-integrate a French state they felt had let them down. In municipalities where more men were incorporated, radical right-wing candidates receive today more electoral support. I provide evidence that the underlying attitude re ected in this voting behaviour is reduced political trust. This attitude, latent in early years after the War, was transformed into observable electoral support with the emergence of radical parties with an anti-establishment discourse. These  ndings suggest that particular attention should be held on the demobilization and reintegration of veterans in war-torn countries in order to ensure long-term political stability.","language":"en","publisher":"Department of Economics (DEEP), University of Lausanne","source":"Zotero","title":"The legacy of war exposure on political radicalization","URL":"https://serval.unil.ch/resource/serval:BIB_99F83F0E52A3.P001/REF.pdf","author":[{"family":"Vlachos","given":"Stephanos"}],"issued":{"date-parts":[["2016",8]]}}}],"schema":"https://github.com/citation-style-language/schema/raw/master/csl-citation.json"} </w:instrText>
      </w:r>
      <w:r w:rsidR="00FA430D" w:rsidRPr="00652B84">
        <w:fldChar w:fldCharType="separate"/>
      </w:r>
      <w:r w:rsidR="00FA430D" w:rsidRPr="00652B84">
        <w:t>(Kofman &amp; Garfin, 2020; Rasler, 1986; Stohl, 1975; Vlachos, 2016)</w:t>
      </w:r>
      <w:r w:rsidR="00FA430D" w:rsidRPr="00652B84">
        <w:fldChar w:fldCharType="end"/>
      </w:r>
      <w:r w:rsidR="00FA430D" w:rsidRPr="00652B84">
        <w:t>. Immigration crises</w:t>
      </w:r>
      <w:r w:rsidR="00F24EED">
        <w:t xml:space="preserve"> and large refugee influxes</w:t>
      </w:r>
      <w:r w:rsidR="00FA430D" w:rsidRPr="00652B84">
        <w:t xml:space="preserve"> boost support for radical-right parties </w:t>
      </w:r>
      <w:bookmarkStart w:id="22" w:name="_Hlk187061523"/>
      <w:r w:rsidR="00FA430D" w:rsidRPr="0093200B">
        <w:fldChar w:fldCharType="begin"/>
      </w:r>
      <w:r w:rsidR="00FA430D" w:rsidRPr="0093200B">
        <w:instrText xml:space="preserve"> ADDIN ZOTERO_ITEM CSL_CITATION {"citationID":"np8RBhhV","properties":{"formattedCitation":"(Dinas et al., 2019)","plainCitation":"(Dinas et al., 2019)","noteIndex":0},"citationItems":[{"id":1626,"uris":["http://zotero.org/users/11665025/items/U6HDJIXB"],"itemData":{"id":1626,"type":"article-journal","abstract":"Does exposure to the refugee crisis fuel support for extreme-right parties? Despite heated debates about the political repercussions of the refugee crisis in Europe, there exists very little—and sometimes conflicting—evidence with which to assess the impact of a large influx of refugees on natives’ political attitudes and behavior. We provide causal evidence from a natural experiment in Greece, where some Aegean islands close to the Turkish border experienced sudden and drastic increases in the number of Syrian refugees while other islands slightly farther away—but with otherwise similar institutional and socioeconomic characteristics—did not. Placebo tests suggest that precrisis trends in vote shares for exposed and nonexposed islands were virtually identical. This allows us to obtain unbiased estimates of the electoral consequences of the refugee crisis. Our study shows that among islands that faced a massive but transient inflow of refugees passing through just before the September 2015 election, vote shares for Golden Dawn, the most extreme-right party in Europe, moderately increased by 2 percentage points (a 44 percent increase at the average). The finding that mere exposure to the refugee crisis is sufficient to fuel support for extreme-right parties has important implications for our theoretical understanding of the drivers of antirefugee backlash.","container-title":"Political Analysis","DOI":"10.1017/pan.2018.48","ISSN":"1047-1987, 1476-4989","issue":"2","language":"en","page":"244-254","source":"Cambridge University Press","title":"Waking Up the Golden Dawn: Does Exposure to the Refugee Crisis Increase Support for Extreme-Right Parties?","title-short":"Waking Up the Golden Dawn","volume":"27","author":[{"family":"Dinas","given":"Elias"},{"family":"Matakos","given":"Konstantinos"},{"family":"Xefteris","given":"Dimitrios"},{"family":"Hangartner","given":"Dominik"}],"issued":{"date-parts":[["2019",4]]}}}],"schema":"https://github.com/citation-style-language/schema/raw/master/csl-citation.json"} </w:instrText>
      </w:r>
      <w:r w:rsidR="00FA430D" w:rsidRPr="0093200B">
        <w:fldChar w:fldCharType="separate"/>
      </w:r>
      <w:r w:rsidR="00FA430D" w:rsidRPr="00652B84">
        <w:t>(Dinas et al., 2019)</w:t>
      </w:r>
      <w:r w:rsidR="00FA430D" w:rsidRPr="0093200B">
        <w:fldChar w:fldCharType="end"/>
      </w:r>
      <w:bookmarkEnd w:id="22"/>
      <w:r w:rsidR="00FA430D" w:rsidRPr="00652B84">
        <w:t xml:space="preserve"> while state repression and the rise of the far-right contribute to left-wing extremism  </w:t>
      </w:r>
      <w:r w:rsidR="00FA430D" w:rsidRPr="00652B84">
        <w:fldChar w:fldCharType="begin"/>
      </w:r>
      <w:r w:rsidR="00FA430D" w:rsidRPr="00652B84">
        <w:instrText xml:space="preserve"> ADDIN ZOTERO_ITEM CSL_CITATION {"citationID":"jmAK2YWr","properties":{"formattedCitation":"(Kr\\uc0\\u252{}sselmann &amp; Weggemans, 2023)","plainCitation":"(Krüsselmann &amp; Weggemans, 2023)","noteIndex":0},"citationItems":[{"id":1833,"uris":["http://zotero.org/users/11665025/items/M8BU5RDE"],"itemData":{"id":1833,"type":"chapter","abstract":"Most individuals with radical ideologies will not evolve into violent extremists, let alone terrorists. Understanding the dynamics and various pathways into a radical ideology is nonetheless important. However, empirical research on pathways into left-wing radicalization is scarce. In this chapter, we define the concept of left-wing radicalization in relation to extremism and provide an overview of existing research on left-wing radicalization. Drawing on case studies and our own empirical research, we discuss both individual motives for participation in radical left groups and macro-level factors in the political and societal context that impact the growth or demise of radical left groups.","container-title":"The Palgrave Handbook of Left-Wing Extremism, Volume 1","event-place":"Cham","ISBN":"978-3-031-30897-0","language":"en","note":"DOI: 10.1007/978-3-031-30897-0_3","page":"55-68","publisher":"Springer International Publishing","publisher-place":"Cham","source":"Springer Link","title":"Radicalization and Left-Wing Extremism","URL":"https://doi.org/10.1007/978-3-031-30897-0_3","author":[{"family":"Krüsselmann","given":"Katharina"},{"family":"Weggemans","given":"Daan"}],"editor":[{"family":"Zúquete","given":"José Pedro"}],"accessed":{"date-parts":[["2025",3,22]]},"issued":{"date-parts":[["2023"]]}}}],"schema":"https://github.com/citation-style-language/schema/raw/master/csl-citation.json"} </w:instrText>
      </w:r>
      <w:r w:rsidR="00FA430D" w:rsidRPr="00652B84">
        <w:fldChar w:fldCharType="separate"/>
      </w:r>
      <w:r w:rsidR="00FA430D" w:rsidRPr="00652B84">
        <w:t>(Krüsselmann &amp; Weggemans, 2023)</w:t>
      </w:r>
      <w:r w:rsidR="00FA430D" w:rsidRPr="00652B84">
        <w:fldChar w:fldCharType="end"/>
      </w:r>
      <w:r w:rsidR="00FA430D" w:rsidRPr="00652B84">
        <w:t>. Events perceived as group-based injustice</w:t>
      </w:r>
      <w:r w:rsidR="00A4797E">
        <w:t xml:space="preserve">s or in-group </w:t>
      </w:r>
      <w:r w:rsidR="00A4797E">
        <w:lastRenderedPageBreak/>
        <w:t>disadvantages similarly catalyz</w:t>
      </w:r>
      <w:r w:rsidR="00FA430D" w:rsidRPr="00652B84">
        <w:t xml:space="preserve">e political violence </w:t>
      </w:r>
      <w:bookmarkStart w:id="23" w:name="_Hlk187061698"/>
      <w:r w:rsidR="00FA430D" w:rsidRPr="00652B84">
        <w:fldChar w:fldCharType="begin"/>
      </w:r>
      <w:r w:rsidR="00051595">
        <w:instrText xml:space="preserve"> ADDIN ZOTERO_ITEM CSL_CITATION {"citationID":"HJeiQFFM","properties":{"formattedCitation":"(Pauwels &amp; Heylen, 2020; Pretus et al., 2023)","plainCitation":"(Pauwels &amp; Heylen, 2020; Pretus et al., 2023)","noteIndex":0},"citationItems":[{"id":1632,"uris":["http://zotero.org/users/11665025/items/8FNB2BW3"],"itemData":{"id":1632,"type":"article-journal","abstract":"The present study aims at explaining individual differences in self-reported political violence. We integrate key concepts from the field of criminology that are conceptually related to social identity theory (Flemish identity, feelings of group superiority, and ethnocentrism) and the dual process model on prejudice (perceived injustice, perception of threat, and right-wing authoritarianism). In our model, social identity concepts are hypothesized to play a mediating role between mechanisms derived from the dual process model and political violence. To test the integrated model, a model was run for testing the strength of direct and indirect effects of perceived injustice, authoritarianism thrill-seeking behavior, feelings of superiority, Flemish nationalism, ethnocentrism, right-wing extremist beliefs, and exposure to racist peers on political violence. The analyses are based on a web survey (N = 723) among adolescents and young adults in Flanders, Belgium. Results indicate that social identity variables play an important mediation role between perceptions and ideological attitudes related to injustice, and political violence. The main path revealed by our study is that perceived injustice may result in heightened perceptions of threat, which in turn positively influence levels of right-wing authoritarianism. Mediated by ethnocentrism, this variable has a significant and positive effect on right-wing beliefs, which in turn has a positive effect on political violence.","container-title":"Journal of Interpersonal Violence","DOI":"10.1177/0886260517713711","ISSN":"0886-2605","issue":"21-22","journalAbbreviation":"J Interpers Violence","language":"en","note":"publisher: SAGE Publications Inc","page":"4276-4302","source":"SAGE Journals","title":"Perceived Group Threat, Perceived Injustice, and Self-Reported Right-Wing Violence: An Integrative Approach to the Explanation Right-Wing Violence","title-short":"Perceived Group Threat, Perceived Injustice, and Self-Reported Right-Wing Violence","volume":"35","author":[{"family":"Pauwels","given":"Lieven J. R."},{"family":"Heylen","given":"Ben"}],"issued":{"date-parts":[["2020",11,1]]}}},{"id":1629,"uris":["http://zotero.org/users/11665025/items/AAWRRTSD"],"itemData":{"id":1629,"type":"article-journal","abstract":"Perceptions of injustice are central to fueling violent political action, though not everyone within a social movement will support violence in response to collective grievances. So who supports violence and who doesn’t after perceived injustice? To address this question, we followed up on the same individuals (N = 805) before and after a court decision in Catalonia (Spain) sentencing nine separatist leaders to prison, an event that led to mass violent and nonviolent protests. We tested three hypotheses by combining classical theories of collective action and more recent extremism models and found support for all three hypotheses. Namely, individuals who exhibited steeper increases in radicalism (controlling for activism) after the court ruling were those who had previously experienced police violence (social dynamics hypothesis), those who identified as separatists (separatist identity hypothesis), and those who held Catalan independence as a sacred value (sacred value hypothesis). Our findings offer a complex picture of real-world conflict settings, where the three evaluated factors seem to be intertwined. We discuss potential venues to restore inter-group relations after perceived injustice, with an assessment of how likely these strategies are to succeed based on the three adopted perspectives.","container-title":"Journal of Social and Political Psychology","DOI":"10.5964/jspp.11255","ISSN":"2195-3325","issue":"2","language":"en","license":"Copyright (c) 2023 Clara Pretus, Hammad Sheikh, Nafees Hamid, Scott Atran","note":"number: 2","page":"730-746","source":"jspp.psychopen.eu","title":"Predicting Radicalism After Perceived Injustice: The Role of Separatist Identity, Sacred Values, and Police Violence","title-short":"Predicting Radicalism After Perceived Injustice","volume":"11","author":[{"family":"Pretus","given":"Clara"},{"family":"Sheikh","given":"Hammad"},{"family":"Hamid","given":"Nafees"},{"family":"Atran","given":"Scott"}],"issued":{"date-parts":[["2023",12,22]]}}}],"schema":"https://github.com/citation-style-language/schema/raw/master/csl-citation.json"} </w:instrText>
      </w:r>
      <w:r w:rsidR="00FA430D" w:rsidRPr="00652B84">
        <w:fldChar w:fldCharType="separate"/>
      </w:r>
      <w:r w:rsidR="00051595" w:rsidRPr="00051595">
        <w:t>(Pauwels &amp; Heylen, 2020; Pretus et al., 2023)</w:t>
      </w:r>
      <w:r w:rsidR="00FA430D" w:rsidRPr="00652B84">
        <w:fldChar w:fldCharType="end"/>
      </w:r>
      <w:bookmarkEnd w:id="23"/>
      <w:r w:rsidR="00FA430D" w:rsidRPr="00652B84">
        <w:t xml:space="preserve">. The influence of electoral events on extremism appears more complex; although most studies indicate temporary spikes in partisan hostility during elections that subsequently subside </w:t>
      </w:r>
      <w:bookmarkStart w:id="24" w:name="_Hlk187061782"/>
      <w:r w:rsidR="00FA430D" w:rsidRPr="00652B84">
        <w:fldChar w:fldCharType="begin"/>
      </w:r>
      <w:r w:rsidR="008A4367">
        <w:instrText xml:space="preserve"> ADDIN ZOTERO_ITEM CSL_CITATION {"citationID":"kLi6XxCI","properties":{"formattedCitation":"(Jungkunz et al., 2024; Michelitch &amp; Utych, 2018)","plainCitation":"(Jungkunz et al., 2024; Michelitch &amp; Utych, 2018)","noteIndex":0},"citationItems":[{"id":1244,"uris":["http://zotero.org/users/11665025/items/XQZ99ZB8"],"itemData":{"id":1244,"type":"article-journal","abstract":"This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id":1620,"uris":["http://zotero.org/users/11665025/items/FVQFVGE9"],"itemData":{"id":1620,"type":"article-journal","abstract":"Elections are defining elements of democracy but occur infrequently. Given that elections evoke mass mobilization, we expect citizen attachments to political parties to wax during election season and wane in between. By leveraging data from 86 countries across the globe to investigate the effect of the electoral cycle on partisanship, we find that the predicted probability of being close to a political party rises 6 percentage points from cycle midpoint to an election—an effect rivaling traditional key determinants of partisanship. Further, fluctuations are larger where the persistence of party presence throughout the cycle is weaker and socioeconomic development is lower. These findings challenge the discipline to introduce dynamic political events into the study of partisanship, alongside “static” individual-level and country-level determinants. Additionally, presumed cross-country or temporal differences in mass partisanship levels, long used as indicators of democratic consolidation or party system institutionalization, may be confounded by electoral cycle effects.","container-title":"The Journal of Politics","ISSN":"0022-3816","issue":"2","note":"publisher: [The University of Chicago Press, Southern Political Science Association]","page":"412-427","source":"JSTOR","title":"Electoral Cycle Fluctuations in Partisanship: Global Evidence from Eighty-Six Countries","title-short":"Electoral Cycle Fluctuations in Partisanship","volume":"80","author":[{"family":"Michelitch","given":"Kristin"},{"family":"Utych","given":"Stephen"}],"issued":{"date-parts":[["2018"]]}}}],"schema":"https://github.com/citation-style-language/schema/raw/master/csl-citation.json"} </w:instrText>
      </w:r>
      <w:r w:rsidR="00FA430D" w:rsidRPr="00652B84">
        <w:fldChar w:fldCharType="separate"/>
      </w:r>
      <w:r w:rsidR="008A4367" w:rsidRPr="008A4367">
        <w:t>(Jungkunz et al., 2024; Michelitch &amp; Utych, 2018)</w:t>
      </w:r>
      <w:r w:rsidR="00FA430D" w:rsidRPr="00652B84">
        <w:fldChar w:fldCharType="end"/>
      </w:r>
      <w:bookmarkEnd w:id="24"/>
      <w:r w:rsidR="00FA430D" w:rsidRPr="00652B84">
        <w:t xml:space="preserve">. Evidence from the 2022 U.S. elections suggests </w:t>
      </w:r>
      <w:r w:rsidR="00A4797E">
        <w:t>that these elections have had more persistent effects on partisan animosity and support for political violence</w:t>
      </w:r>
      <w:r w:rsidR="00FA430D" w:rsidRPr="00652B84">
        <w:t xml:space="preserve"> </w:t>
      </w:r>
      <w:bookmarkStart w:id="25" w:name="_Hlk187061849"/>
      <w:r w:rsidR="00FA430D" w:rsidRPr="00652B84">
        <w:fldChar w:fldCharType="begin"/>
      </w:r>
      <w:r w:rsidR="00FA430D" w:rsidRPr="00652B84">
        <w:instrText xml:space="preserve"> ADDIN ZOTERO_ITEM CSL_CITATION {"citationID":"buC0pGh1","properties":{"formattedCitation":"(Fasching et al., 2024)","plainCitation":"(Fasching et al., 2024)","noteIndex":0},"citationItems":[{"id":1614,"uris":["http://zotero.org/users/11665025/items/WYAYI4T2"],"itemData":{"id":1614,"type":"article-journal","abstract":"The scholarly literature suggests that, as elections approach, political tensions intensify, and, as they pass, tensions return to pre-election levels. Using a massive new dataset of 66,000 interviews (cross-sectional and panel), we find that animosities are durable and consistent over the course of the 2022 US election. Individuals with more exposure to the campaign tend to be more polarized, and this sentiment endures post-election. Contrary to expectations, partisans who voted for the winning candidate are no less polarized post-election than those on the losing side. In closing, we note that the durability of polarization has important implications not only for our understanding of the scope of partisan divides but also for efforts designed to ameliorate polarization.","container-title":"Science Advances","DOI":"10.1126/sciadv.adm9198","issue":"36","note":"publisher: American Association for the Advancement of Science","page":"eadm9198","source":"science.org (Atypon)","title":"Persistent polarization: The unexpected durability of political animosity around US elections","title-short":"Persistent polarization","volume":"10","author":[{"family":"Fasching","given":"Neil"},{"family":"Iyengar","given":"Shanto"},{"family":"Lelkes","given":"Yphtach"},{"family":"Westwood","given":"Sean J."}],"issued":{"date-parts":[["2024",9,4]]}}}],"schema":"https://github.com/citation-style-language/schema/raw/master/csl-citation.json"} </w:instrText>
      </w:r>
      <w:r w:rsidR="00FA430D" w:rsidRPr="00652B84">
        <w:fldChar w:fldCharType="separate"/>
      </w:r>
      <w:r w:rsidR="00FA430D" w:rsidRPr="00652B84">
        <w:t>(Fasching et al., 2024)</w:t>
      </w:r>
      <w:r w:rsidR="00FA430D" w:rsidRPr="00652B84">
        <w:fldChar w:fldCharType="end"/>
      </w:r>
      <w:bookmarkEnd w:id="25"/>
      <w:r w:rsidR="00FA430D" w:rsidRPr="00652B84">
        <w:t xml:space="preserve">. Natural disasters and health crises create particularly fertile ground for extremism, with evidence showing that such events enable extremist groups to exploit public anxiety through disinformation and anti-government narratives </w:t>
      </w:r>
      <w:bookmarkStart w:id="26" w:name="_Hlk187061920"/>
      <w:r w:rsidR="00FA430D" w:rsidRPr="00652B84">
        <w:fldChar w:fldCharType="begin"/>
      </w:r>
      <w:r w:rsidR="00051595">
        <w:instrText xml:space="preserve"> ADDIN ZOTERO_ITEM CSL_CITATION {"citationID":"eUZfqfkN","properties":{"formattedCitation":"(Khalil, 2021)","plainCitation":"(Khalil, 2021)","noteIndex":0},"citationItems":[{"id":1644,"uris":["http://zotero.org/users/11665025/items/582PBYWN"],"itemData":{"id":1644,"type":"article-journal","container-title":"Australian Strategic Policy Institute","language":"en","source":"Zotero","title":"The impact of natural disasters on violent extremism","URL":"https://www.jstor.org/stable/resrep31258.24","author":[{"family":"Khalil","given":"Lydia"}],"issued":{"date-parts":[["2021"]]}}}],"schema":"https://github.com/citation-style-language/schema/raw/master/csl-citation.json"} </w:instrText>
      </w:r>
      <w:r w:rsidR="00FA430D" w:rsidRPr="00652B84">
        <w:fldChar w:fldCharType="separate"/>
      </w:r>
      <w:r w:rsidR="00FA430D" w:rsidRPr="00652B84">
        <w:t>(Khalil, 2021)</w:t>
      </w:r>
      <w:r w:rsidR="00FA430D" w:rsidRPr="00652B84">
        <w:fldChar w:fldCharType="end"/>
      </w:r>
      <w:bookmarkEnd w:id="26"/>
      <w:r w:rsidR="00FA430D" w:rsidRPr="00652B84">
        <w:t xml:space="preserve">, as notably demonstrated by the effect of the COVID-19 pandemic on extremist online activity </w:t>
      </w:r>
      <w:bookmarkStart w:id="27" w:name="_Hlk187061960"/>
      <w:r w:rsidR="00FA430D" w:rsidRPr="00652B84">
        <w:fldChar w:fldCharType="begin"/>
      </w:r>
      <w:r w:rsidR="00FA430D" w:rsidRPr="00652B84">
        <w:instrText xml:space="preserve"> ADDIN ZOTERO_ITEM CSL_CITATION {"citationID":"hXsNcu38","properties":{"formattedCitation":"(Davies et al., 2023; Marone, 2022)","plainCitation":"(Davies et al., 2023; Marone, 2022)","noteIndex":0},"citationItems":[{"id":1645,"uris":["http://zotero.org/users/11665025/items/YGSTEHZF"],"itemData":{"id":1645,"type":"article-journal","abstract":"Historically, pandemics had inevitably produced demonization and scapegoating, and the COVID-19 pandemic has been no exception. Some individuals and groups have attempted to weaponize and exploit the pandemic, to use it as a means of spreading their extremist ideologies and to radicalize others to their causes. Segmented regression analyses of seven online extremist forums revealed that posting behavior on violent right-wing extremist and incel forums increased significantly following the declaration of the pandemic. The same was not true of left-wing or jihadist forums. These unequal effects likely reflect the particular grievance-based and online nature of right-wing and incel extremism.","container-title":"Studies in Conflict &amp; Terrorism","DOI":"10.1080/1057610X.2021.1923188","ISSN":"1057-610X","issue":"11","note":"publisher: Routledge\n_eprint: https://doi.org/10.1080/1057610X.2021.1923188","page":"2327-2350","source":"Taylor and Francis+NEJM","title":"A Witch’s Brew of Grievances: The Potential Effects of COVID-19 on Radicalization to Violent Extremism","title-short":"A Witch’s Brew of Grievances","volume":"46","author":[{"family":"Davies","given":"Garth"},{"family":"Wu","given":"Edith"},{"family":"Frank","given":"Richard"}],"issued":{"date-parts":[["2023",11,2]]}}},{"id":1648,"uris":["http://zotero.org/users/11665025/items/PP745TB5"],"itemData":{"id":1648,"type":"article-journal","abstract":"Novel COVID-19 is having far-reaching consequences worldwide. Security and security management are not immune from this influence. Building on the scientific literature, this article explores the mixed impact of this unexpected macro-level phenomenon and its consequences on violent extremism and terrorism in the West, in the short and in the medium to long term. The paper looks at the influence on extremist beliefs and attitudes and, moreover, it examines the effects on extremist behaviors, with an emphasis on terrorist activities, drawing on a model of terrorist attack cycle. The COVID-19 pandemic can be interpreted as a global natural experiment that offers insight into causal processes, in the interplay among societal, group, and individual factors.","container-title":"Security Journal","DOI":"10.1057/s41284-020-00274-y","ISSN":"0955-1662","issue":"1","note":"PMID: null\nPMCID: PMC7790481","page":"205-225","source":"PubMed Central","title":"Hate in the time of coronavirus: exploring the impact of the COVID-19 pandemic on violent extremism and terrorism in the West","title-short":"Hate in the time of coronavirus","volume":"35","author":[{"family":"Marone","given":"Francesco"}],"issued":{"date-parts":[["2022"]]}}}],"schema":"https://github.com/citation-style-language/schema/raw/master/csl-citation.json"} </w:instrText>
      </w:r>
      <w:r w:rsidR="00FA430D" w:rsidRPr="00652B84">
        <w:fldChar w:fldCharType="separate"/>
      </w:r>
      <w:r w:rsidR="00FA430D" w:rsidRPr="00652B84">
        <w:t>(Davies et al., 2023; Marone, 2022)</w:t>
      </w:r>
      <w:r w:rsidR="00FA430D" w:rsidRPr="00652B84">
        <w:fldChar w:fldCharType="end"/>
      </w:r>
      <w:bookmarkEnd w:id="27"/>
      <w:r w:rsidR="00FA430D" w:rsidRPr="00652B84">
        <w:t>.</w:t>
      </w:r>
      <w:r w:rsidR="006C56E9">
        <w:t xml:space="preserve"> </w:t>
      </w:r>
    </w:p>
    <w:p w14:paraId="3B8618C9" w14:textId="44381E55" w:rsidR="00E53A56" w:rsidRDefault="00777ED7" w:rsidP="008A4367">
      <w:pPr>
        <w:pStyle w:val="Newparagraph"/>
      </w:pPr>
      <w:r>
        <w:t xml:space="preserve">Political </w:t>
      </w:r>
      <w:r w:rsidR="005E1B30">
        <w:t>o</w:t>
      </w:r>
      <w:r>
        <w:t>rientation plays a crucial moderating role in shaping how citizens</w:t>
      </w:r>
      <w:r w:rsidR="00707BC0">
        <w:t>’</w:t>
      </w:r>
      <w:r>
        <w:t xml:space="preserve"> levels of extremism change in response to destabilizing events across Western democracies. </w:t>
      </w:r>
      <w:r w:rsidR="00E53A56" w:rsidRPr="002A2EEF">
        <w:t>Individuals with right-wing political orientations demonstrate stronger associations with extremist attitudes compared to their left-wing counterparts, particularly regarding support for political violence and outgroup intolerance</w:t>
      </w:r>
      <w:r w:rsidR="00E53A56">
        <w:fldChar w:fldCharType="begin"/>
      </w:r>
      <w:r w:rsidR="00E53A56">
        <w:instrText xml:space="preserve"> ADDIN ZOTERO_ITEM CSL_CITATION {"citationID":"e1SO5Goz","properties":{"formattedCitation":"(Van Hiel et al., 2020)","plainCitation":"(Van Hiel et al., 2020)","noteIndex":0},"citationItems":[{"id":2106,"uris":["http://zotero.org/users/11665025/items/KXGN3EY9"],"itemData":{"id":2106,"type":"article-journal","abstract":"Many studies have investigated the relationship between ideological attitudes and aggressive tendencies. The present meta-analytic integration of research on this relationship included data of 177 samples (total N = 47,933 participants). The results revealed that this relationship was substantial, r =.31, 95% CI [.27 to.35], p &lt;.001. Such a relationship emerged for both attitudes towards violence and behavioural indicators, although the former relationship was stronger. Moreover, with respect to the different types of attitudes towards violence, we obtained equally strong relationships for attitudes towards war and military action, intergroup hostility and aggression, punitive attitudes, and intimate violence. Among the behavioural measures, context-specific aggression bore out a stronger effect size than chronic aggressive behaviour. Finally, type of right-wing attitude did not moderate the relationship under study. In the discussion, we argue that the pattern of results indicates that the greater aggressive tendencies among right-wing individuals are manifested both attitudinally and behaviourally.","container-title":"European Review of Social Psychology","DOI":"10.1080/10463283.2020.1778324","ISSN":"1046-3283","issue":"1","note":"publisher: Routledge\n_eprint: https://doi.org/10.1080/10463283.2020.1778324","page":"183-221","source":"Taylor and Francis+NEJM","title":"A meta-analytic integration of research on the relationship between right-wing ideological attitudes and aggressive tendencies","volume":"31","author":[{"family":"Van Hiel","given":"Alain"},{"family":"Onraet","given":"Emma"},{"family":"Bostyn","given":"Dries H."},{"family":"Stadeus","given":"Jonas"},{"family":"Haesevoets","given":"Tessa"},{"family":"Van Assche","given":"Jasper"},{"family":"Roets","given":"Arne"}],"issued":{"date-parts":[["2020",1,1]]}}}],"schema":"https://github.com/citation-style-language/schema/raw/master/csl-citation.json"} </w:instrText>
      </w:r>
      <w:r w:rsidR="00E53A56">
        <w:fldChar w:fldCharType="separate"/>
      </w:r>
      <w:r w:rsidR="00E53A56" w:rsidRPr="00E53A56">
        <w:t>(Van Hiel et al., 2020)</w:t>
      </w:r>
      <w:r w:rsidR="00E53A56">
        <w:fldChar w:fldCharType="end"/>
      </w:r>
      <w:r w:rsidR="00E53A56" w:rsidRPr="002A2EEF">
        <w:t>. Studies comparing political violence across ideologies reveal that individuals affiliated with left-wing causes are consistently less likely to engage in violent behavior</w:t>
      </w:r>
      <w:r w:rsidR="0028509F">
        <w:t>. At the same time,</w:t>
      </w:r>
      <w:r w:rsidR="00E53A56" w:rsidRPr="002A2EEF">
        <w:t xml:space="preserve"> right-wing extremists show higher propensities for deadly attacks </w:t>
      </w:r>
      <w:r w:rsidR="00E53A56">
        <w:fldChar w:fldCharType="begin"/>
      </w:r>
      <w:r w:rsidR="00E53A56">
        <w:instrText xml:space="preserve"> ADDIN ZOTERO_ITEM CSL_CITATION {"citationID":"lEELPFAb","properties":{"formattedCitation":"(Jasko et al., 2022)","plainCitation":"(Jasko et al., 2022)","noteIndex":0},"citationItems":[{"id":2011,"uris":["http://zotero.org/users/11665025/items/PQIXE2ZM"],"itemData":{"id":2011,"type":"article-journal","abstract":"Although political violence has been perpetrated on behalf of a wide range of political ideologies, it is unclear whether there are systematic differences between ideologies in the use of violence to pursue a political cause. Prior research on this topic is scarce and mostly restricted to self-reported measures or less extreme forms of political aggression. Moreover, it has generally focused on respondents in Western countries and has been limited to either comparisons of the supporters of left-wing and right-wing causes or examinations of only Islamist extremism. In this research we address these gaps by comparing the use of political violence by left-wing, right-wing, and Islamist extremists in the United States and worldwide using two unique datasets that cover real-world examples of politically motivated, violent behaviors. Across both datasets, we find that radical acts perpetrated by individuals associated with left-wing causes are less likely to be violent. In the United States, we find no difference between the level of violence perpetrated by right-wing and Islamist extremists. However, differences in violence emerge on the global level, with Islamist extremists being more likely than right-wing extremists to engage in more violent acts.","container-title":"Proceedings of the National Academy of Sciences","DOI":"10.1073/pnas.2122593119","issue":"30","note":"publisher: Proceedings of the National Academy of Sciences","page":"e2122593119","source":"pnas.org (Atypon)","title":"A comparison of political violence by left-wing, right-wing, and Islamist extremists in the United States and the world","volume":"119","author":[{"family":"Jasko","given":"Katarzyna"},{"family":"LaFree","given":"Gary"},{"family":"Piazza","given":"James"},{"family":"Becker","given":"Michael H."}],"issued":{"date-parts":[["2022",7,26]]}}}],"schema":"https://github.com/citation-style-language/schema/raw/master/csl-citation.json"} </w:instrText>
      </w:r>
      <w:r w:rsidR="00E53A56">
        <w:fldChar w:fldCharType="separate"/>
      </w:r>
      <w:r w:rsidR="00E53A56" w:rsidRPr="00E53A56">
        <w:t>(Jasko et al., 2022)</w:t>
      </w:r>
      <w:r w:rsidR="00E53A56">
        <w:fldChar w:fldCharType="end"/>
      </w:r>
      <w:r w:rsidR="00E53A56" w:rsidRPr="002A2EEF">
        <w:t>. Evidence from Western societies indicates that political violence and hate crimes</w:t>
      </w:r>
      <w:r w:rsidR="00E53A56">
        <w:t xml:space="preserve">, </w:t>
      </w:r>
      <w:r w:rsidR="00E53A56" w:rsidRPr="002A2EEF">
        <w:t>two key manifestations of extremism</w:t>
      </w:r>
      <w:r w:rsidR="00E53A56">
        <w:t xml:space="preserve">, </w:t>
      </w:r>
      <w:r w:rsidR="00E53A56" w:rsidRPr="002A2EEF">
        <w:t xml:space="preserve">are overwhelmingly more likely to originate from individuals with right-wing political orientations than those with left-wing orientations </w:t>
      </w:r>
      <w:r w:rsidR="00E53A56">
        <w:fldChar w:fldCharType="begin"/>
      </w:r>
      <w:r w:rsidR="00E53A56">
        <w:instrText xml:space="preserve"> ADDIN ZOTERO_ITEM CSL_CITATION {"citationID":"U9tzbbJz","properties":{"formattedCitation":"(Jost, 2024)","plainCitation":"(Jost, 2024)","noteIndex":0},"citationItems":[{"id":2109,"uris":["http://zotero.org/users/11665025/items/DIILIGXQ"],"itemData":{"id":2109,"type":"article-journal","abstract":"In social psychology these days it is commonplace to read or hear that liberal-leftists and conservative-rightists are every bit as “moral”; prejudiced and intolerant; susceptible to misinformation, “fake news,” and conspiratorial thinking; lax about upholding democratic standards; and prone to terrorism and political violence. Upon careful inspection, however, I conclude that every one of these claims is false or misleading. Liberal-leftists in the United States and elsewhere are demonstrably more committed than conservative-rightists to humanistic-egalitarian values, deliberative reasoning, and adherence to democratic norms. In Western societies, acts of authoritarian aggression, hate crimes, and political violence are overwhelmingly more likely to come from the right than the left. As a witness to Nazi atrocities, Kurt Lewin deeply understood the role of historical, economic, and political forces in human lives and the interdependence between democracy and social science. He rejected moral relativism and what I call “both-sideology” and offered a sophisticated critique of anti-democratic tendencies. There are perfectly understandable reasons why people—especially academics and journalists—would be tempted to draw parallels between the left and right, and indeed there are many similarities as well as dissimilarities between liberal-leftists and conservative-rightists. However, the uncritical adoption of both-sideology threatens liberal democracy itself and, with it, the only social science worth having. What we—as citizens and social scientists—need now is a renewal and revitalization of Lewin's critical-emancipatory legacy before it is too late.","container-title":"Journal of Social Issues","DOI":"10.1111/josi.12633","ISSN":"1540-4560","issue":"3","language":"en","license":"© 2024 The Society for the Psychological Study of Social Issues.","note":"_eprint: https://spssi.onlinelibrary.wiley.com/doi/pdf/10.1111/josi.12633","page":"1138-1203","source":"Wiley Online Library","title":"Both-Sideology Endangers Democracy and Social Science","volume":"80","author":[{"family":"Jost","given":"John T."}],"issued":{"date-parts":[["2024"]]}}}],"schema":"https://github.com/citation-style-language/schema/raw/master/csl-citation.json"} </w:instrText>
      </w:r>
      <w:r w:rsidR="00E53A56">
        <w:fldChar w:fldCharType="separate"/>
      </w:r>
      <w:r w:rsidR="00E53A56" w:rsidRPr="00E53A56">
        <w:t>(Jost, 2024)</w:t>
      </w:r>
      <w:r w:rsidR="00E53A56">
        <w:fldChar w:fldCharType="end"/>
      </w:r>
      <w:r w:rsidR="00E53A56" w:rsidRPr="002A2EEF">
        <w:t xml:space="preserve">. </w:t>
      </w:r>
      <w:r w:rsidR="00A75FCA">
        <w:t>Right-wing</w:t>
      </w:r>
      <w:r w:rsidR="00E53A56" w:rsidRPr="002A2EEF">
        <w:t xml:space="preserve"> political </w:t>
      </w:r>
      <w:r w:rsidR="005E1B30">
        <w:t>o</w:t>
      </w:r>
      <w:r w:rsidR="00E53A56" w:rsidRPr="002A2EEF">
        <w:t xml:space="preserve">rientation correlates strongly with xenophobia, racism, anti-Semitism, and exclusion of ethnic and racial minorities </w:t>
      </w:r>
      <w:r w:rsidR="00E53A56">
        <w:fldChar w:fldCharType="begin"/>
      </w:r>
      <w:r w:rsidR="008A4367">
        <w:instrText xml:space="preserve"> ADDIN ZOTERO_ITEM CSL_CITATION {"citationID":"36AayAAR","properties":{"formattedCitation":"(Jungkunz et al., 2024)","plainCitation":"(Jungkunz et al., 2024)","noteIndex":0},"citationItems":[{"id":1244,"uris":["http://zotero.org/users/11665025/items/XQZ99ZB8"],"itemData":{"id":1244,"type":"article-journal","abstract":"This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schema":"https://github.com/citation-style-language/schema/raw/master/csl-citation.json"} </w:instrText>
      </w:r>
      <w:r w:rsidR="00E53A56">
        <w:fldChar w:fldCharType="separate"/>
      </w:r>
      <w:r w:rsidR="008A4367" w:rsidRPr="008A4367">
        <w:t>(Jungkunz et al., 2024)</w:t>
      </w:r>
      <w:r w:rsidR="00E53A56">
        <w:fldChar w:fldCharType="end"/>
      </w:r>
      <w:r w:rsidR="00E53A56" w:rsidRPr="002A2EEF">
        <w:t xml:space="preserve">. However, left-wing political </w:t>
      </w:r>
      <w:r w:rsidR="005E1B30">
        <w:t>o</w:t>
      </w:r>
      <w:r w:rsidR="00E53A56" w:rsidRPr="002A2EEF">
        <w:t xml:space="preserve">rientation can also lead to extremist </w:t>
      </w:r>
      <w:r w:rsidR="00E53A56" w:rsidRPr="002A2EEF">
        <w:lastRenderedPageBreak/>
        <w:t xml:space="preserve">manifestations, including intolerance toward perceived enemies such as capitalists, fascists, and supporters of traditional authority structures, with some left-wing groups promoting systematic persecution of outgroups based on class or political ideology </w:t>
      </w:r>
      <w:r w:rsidR="00E53A56">
        <w:fldChar w:fldCharType="begin"/>
      </w:r>
      <w:r w:rsidR="00E53A56">
        <w:instrText xml:space="preserve"> ADDIN ZOTERO_ITEM CSL_CITATION {"citationID":"8Kl3DYQ3","properties":{"formattedCitation":"(Guhl, 2025)","plainCitation":"(Guhl, 2025)","noteIndex":0},"citationItems":[{"id":2113,"uris":["http://zotero.org/users/11665025/items/NY4U267J"],"itemData":{"id":2113,"type":"report","abstract":"Overviews of issues, trends, narratives, platforms and actors.","language":"en-GB","publisher":"Institute for Strategic Dialog (ISD)","title":"Left Wing Extremism","URL":"https://www.isdglobal.org/explainers/left-wing-extremism/","author":[{"family":"Guhl","given":"Jakob"}],"accessed":{"date-parts":[["2025",7,23]]},"issued":{"date-parts":[["2025",1,8]]}}}],"schema":"https://github.com/citation-style-language/schema/raw/master/csl-citation.json"} </w:instrText>
      </w:r>
      <w:r w:rsidR="00E53A56">
        <w:fldChar w:fldCharType="separate"/>
      </w:r>
      <w:r w:rsidR="00E53A56" w:rsidRPr="00E53A56">
        <w:t>(Guhl, 2025)</w:t>
      </w:r>
      <w:r w:rsidR="00E53A56">
        <w:fldChar w:fldCharType="end"/>
      </w:r>
      <w:r w:rsidR="00E53A56" w:rsidRPr="002A2EEF">
        <w:t>. Cross-national studies indicate that right-wing authoritarianism specifically predicts prejudice against groups perceived as socially threatening</w:t>
      </w:r>
      <w:r w:rsidR="0028509F">
        <w:t>. At the same time,</w:t>
      </w:r>
      <w:r w:rsidR="00E53A56" w:rsidRPr="002A2EEF">
        <w:t xml:space="preserve"> both political orientations can foster anti-pluralist attitudes and rejection of democratic norms when combined with extremist ideological positions</w:t>
      </w:r>
      <w:r w:rsidR="00E53A56">
        <w:t xml:space="preserve"> </w:t>
      </w:r>
      <w:r w:rsidR="00E53A56">
        <w:fldChar w:fldCharType="begin"/>
      </w:r>
      <w:r w:rsidR="00E53A56">
        <w:instrText xml:space="preserve"> ADDIN ZOTERO_ITEM CSL_CITATION {"citationID":"3CdcA8Ve","properties":{"formattedCitation":"(Costello et al., 2022)","plainCitation":"(Costello et al., 2022)","noteIndex":0},"citationItems":[{"id":2117,"uris":["http://zotero.org/users/11665025/items/U97LSXK2"],"itemData":{"id":2117,"type":"article-journal","abstract":"Authoritarianism has been the subject of scientific inquiry for nearly a century, yet the vast majority of authoritarianism research has focused on right-wing authoritarianism. In the present studies, we investigate the nature, structure, and nomological network of left-wing authoritarianism (LWA), a construct famously known as “the Loch Ness Monster” of political psychology. We iteratively construct a measure and data-driven conceptualization of LWA across six samples (N = 7,258) and conduct quantitative tests of LWA’s relations with more than 60 authoritarianism-related variables. We find that LWA, right-wing authoritarianism, and social dominance orientation reflect a shared constellation of personality traits, cognitive features, beliefs, and motivational values that might be considered the “heart” of authoritarianism. Relative to right-wing authoritarians, left-wing authoritarians were lower in dogmatism and cognitive rigidity, higher in negative emotionality, and expressed stronger support for a political system with substantial centralized state control. Our results also indicate that LWA powerfully predicts behavioral aggression and is strongly correlated with participation in political violence. We conclude that a movement away from exclusively right-wing conceptualizations of authoritarianism may be required to illuminate authoritarianism’s central features, conceptual breadth, and psychological appeal. (PsycInfo Database Record (c) 2025 APA, all rights reserved)","container-title":"Journal of Personality and Social Psychology","DOI":"10.1037/pspp0000341","ISSN":"1939-1315","issue":"1","note":"publisher-place: US\npublisher: American Psychological Association","page":"135-170","source":"APA PsycNet","title":"Clarifying the structure and nature of left-wing authoritarianism","volume":"122","author":[{"family":"Costello","given":"Thomas H."},{"family":"Bowes","given":"Shauna M."},{"family":"Stevens","given":"Sean T."},{"family":"Waldman","given":"Irwin D."},{"family":"Tasimi","given":"Arber"},{"family":"Lilienfeld","given":"Scott O."}],"issued":{"date-parts":[["2022"]]}}}],"schema":"https://github.com/citation-style-language/schema/raw/master/csl-citation.json"} </w:instrText>
      </w:r>
      <w:r w:rsidR="00E53A56">
        <w:fldChar w:fldCharType="separate"/>
      </w:r>
      <w:r w:rsidR="00E53A56" w:rsidRPr="00E53A56">
        <w:t>(Costello et al., 2022)</w:t>
      </w:r>
      <w:r w:rsidR="00E53A56">
        <w:fldChar w:fldCharType="end"/>
      </w:r>
      <w:r w:rsidR="00E53A56">
        <w:t>.</w:t>
      </w:r>
      <w:r w:rsidR="00E53A56" w:rsidRPr="002A2EEF">
        <w:t xml:space="preserve"> </w:t>
      </w:r>
    </w:p>
    <w:p w14:paraId="227197E9" w14:textId="71E621C3" w:rsidR="00E53A56" w:rsidRDefault="00A02CB8" w:rsidP="00B5122F">
      <w:pPr>
        <w:pStyle w:val="Newparagraph"/>
      </w:pPr>
      <w:r>
        <w:t xml:space="preserve">This study represents the first </w:t>
      </w:r>
      <w:r w:rsidR="008400B6">
        <w:t>empirical examination of how various destabilizing events differentially affect levels of political extremism among citizens with</w:t>
      </w:r>
      <w:r w:rsidR="00B5122F">
        <w:t xml:space="preserve"> different political orientations across multiple dimensions of </w:t>
      </w:r>
      <w:r w:rsidR="00E53A56">
        <w:t>political extremism.</w:t>
      </w:r>
      <w:r w:rsidR="00A75FCA">
        <w:t xml:space="preserve"> </w:t>
      </w:r>
      <w:r>
        <w:t xml:space="preserve">This research tests the hypotheses that </w:t>
      </w:r>
      <w:r w:rsidR="00B5122F">
        <w:t>(H1)</w:t>
      </w:r>
      <w:r w:rsidR="00A75FCA">
        <w:t xml:space="preserve"> various dimensions of political extremism do not respond uniformly to socio-political events</w:t>
      </w:r>
      <w:r w:rsidR="00B5122F">
        <w:t xml:space="preserve"> and (H2) </w:t>
      </w:r>
      <w:r w:rsidR="00E53A56">
        <w:t>t</w:t>
      </w:r>
      <w:r w:rsidR="00E53A56" w:rsidRPr="00E53A56">
        <w:t xml:space="preserve">he effect of different destabilizing events will be moderated by </w:t>
      </w:r>
      <w:r w:rsidR="00E53A56">
        <w:t xml:space="preserve">political </w:t>
      </w:r>
      <w:r w:rsidR="005E1B30">
        <w:t>o</w:t>
      </w:r>
      <w:r w:rsidR="00E53A56">
        <w:t>rientation</w:t>
      </w:r>
      <w:r w:rsidR="00F0440E">
        <w:t>.</w:t>
      </w:r>
      <w:r w:rsidR="00A75FCA">
        <w:t xml:space="preserve"> </w:t>
      </w:r>
      <w:r w:rsidR="00E56FDD">
        <w:t>The</w:t>
      </w:r>
      <w:r w:rsidR="00A06FB0">
        <w:t xml:space="preserve"> novel conceptual and methodological framework enables bias-free comparative analysis across multiple dimensions</w:t>
      </w:r>
      <w:r w:rsidR="00200851">
        <w:t xml:space="preserve">, </w:t>
      </w:r>
      <w:r w:rsidR="00A06FB0">
        <w:t xml:space="preserve">distinguishing between different political orientations, various destabilizing events, and manifestations of extremism. </w:t>
      </w:r>
    </w:p>
    <w:p w14:paraId="21DB3A3D" w14:textId="63E6ECF9" w:rsidR="00D64BCE" w:rsidRDefault="00D64BCE" w:rsidP="004074B0">
      <w:pPr>
        <w:pStyle w:val="Heading1"/>
      </w:pPr>
      <w:r>
        <w:t>The Current Research</w:t>
      </w:r>
    </w:p>
    <w:p w14:paraId="3785B04E" w14:textId="106997DD" w:rsidR="00355C70" w:rsidRPr="0028509F" w:rsidRDefault="00E93983" w:rsidP="004074B0">
      <w:pPr>
        <w:pStyle w:val="Paragraph"/>
        <w:rPr>
          <w:lang w:val="en-US" w:bidi="he-IL"/>
        </w:rPr>
      </w:pPr>
      <w:r>
        <w:rPr>
          <w:lang w:val="en-US"/>
        </w:rPr>
        <w:t>Implementing the research in</w:t>
      </w:r>
      <w:r w:rsidR="00705703">
        <w:rPr>
          <w:lang w:val="en-US"/>
        </w:rPr>
        <w:t xml:space="preserve"> </w:t>
      </w:r>
      <w:r w:rsidR="00355C70">
        <w:t xml:space="preserve">Israel provides </w:t>
      </w:r>
      <w:r>
        <w:t>distinct</w:t>
      </w:r>
      <w:r w:rsidR="00355C70">
        <w:t xml:space="preserve"> methodological advantages: the population experiences genuine, high-intensity security and political threats across multiple domains, avoiding the validity limitations of laboratory simulations; Israel</w:t>
      </w:r>
      <w:r w:rsidR="00707BC0">
        <w:t>’</w:t>
      </w:r>
      <w:r w:rsidR="00355C70">
        <w:t>s compact geography enables researchers to study populations facing similar objective threats while exhibiting potentially different subjective characteristics; and Israel</w:t>
      </w:r>
      <w:r w:rsidR="00707BC0">
        <w:t>’</w:t>
      </w:r>
      <w:r w:rsidR="00355C70">
        <w:t xml:space="preserve">s democratic tradition </w:t>
      </w:r>
      <w:r w:rsidR="00F0440E">
        <w:t>makes the study potentially applicable to other democracies</w:t>
      </w:r>
      <w:r w:rsidR="00355C70">
        <w:t>.</w:t>
      </w:r>
    </w:p>
    <w:p w14:paraId="055D4F4E" w14:textId="3C57395B" w:rsidR="00051595" w:rsidRPr="0028509F" w:rsidRDefault="009549FE" w:rsidP="00E93983">
      <w:pPr>
        <w:pStyle w:val="Newparagraph"/>
        <w:rPr>
          <w:rtl/>
        </w:rPr>
      </w:pPr>
      <w:r>
        <w:t>The</w:t>
      </w:r>
      <w:r w:rsidRPr="00E93983">
        <w:t xml:space="preserve"> political orientation measure</w:t>
      </w:r>
      <w:r>
        <w:t xml:space="preserve"> </w:t>
      </w:r>
      <w:r w:rsidR="00E93983" w:rsidRPr="00E93983">
        <w:t>incorporate</w:t>
      </w:r>
      <w:r>
        <w:t>s</w:t>
      </w:r>
      <w:r w:rsidR="00E93983" w:rsidRPr="00E93983">
        <w:t xml:space="preserve"> center-wing orientations alongside traditional left-wing and right-wing perspectives. Following the end of the Second </w:t>
      </w:r>
      <w:r w:rsidR="00E93983" w:rsidRPr="00E93983">
        <w:lastRenderedPageBreak/>
        <w:t>Intifada (2000-2005), centrist parties established themselves as significant political entities in Israel</w:t>
      </w:r>
      <w:r w:rsidR="00E93983">
        <w:t xml:space="preserve"> </w:t>
      </w:r>
      <w:r w:rsidR="00051595" w:rsidRPr="00051595">
        <w:fldChar w:fldCharType="begin"/>
      </w:r>
      <w:r w:rsidR="00051595" w:rsidRPr="00051595">
        <w:instrText xml:space="preserve"> ADDIN ZOTERO_ITEM CSL_CITATION {"citationID":"3zFlrgEu","properties":{"formattedCitation":"(Agmon, 2025; Talshir, 2019)","plainCitation":"(Agmon, 2025; Talshir, 2019)","noteIndex":0},"citationItems":[{"id":2231,"uris":["http://zotero.org/users/11665025/items/JR3CBU4G"],"itemData":{"id":2231,"type":"article-magazine","abstract":"Its parties have embraced the fantasy that conciliation to the far right is the best way to weaken it.","container-title":"Boston Review","language":"en","source":"Boston Review","title":"Israel’s Complicit Center","URL":"https://www.bostonreview.net/articles/israels-complicit-center/","author":[{"family":"Agmon","given":"Shai"}],"accessed":{"date-parts":[["2025",8,26]]},"issued":{"date-parts":[["2025",3,25]]}}},{"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(Agmon, 2025; Talshir, 2019)</w:t>
      </w:r>
      <w:r w:rsidR="00051595" w:rsidRPr="00051595">
        <w:fldChar w:fldCharType="end"/>
      </w:r>
      <w:r w:rsidR="00051595" w:rsidRPr="00051595">
        <w:t xml:space="preserve">. </w:t>
      </w:r>
      <w:r w:rsidR="00E93983" w:rsidRPr="00E93983">
        <w:t xml:space="preserve">Approximately 25-33% of Israeli voters regularly support centrist parties, constituting an expanding bloc of predominantly educated middle-class citizens who remain committed to centrist alternatives rather than shifting between left and right poles </w:t>
      </w:r>
      <w:r w:rsidR="00051595" w:rsidRPr="00051595">
        <w:fldChar w:fldCharType="begin"/>
      </w:r>
      <w:r w:rsidR="00051595" w:rsidRPr="00051595">
        <w:instrText xml:space="preserve"> ADDIN ZOTERO_ITEM CSL_CITATION {"citationID":"Sypb4Nox","properties":{"formattedCitation":"(Talshir, 2019)","plainCitation":"(Talshir, 2019)","noteIndex":0},"citationItems":[{"id":2227,"uris":["http://zotero.org/users/11665025/items/33IQWHW6"],"itemData":{"id":2227,"type":"report","abstract":"A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(Talshir, 2019)</w:t>
      </w:r>
      <w:r w:rsidR="00051595" w:rsidRPr="00051595">
        <w:fldChar w:fldCharType="end"/>
      </w:r>
      <w:r w:rsidR="00051595" w:rsidRPr="00051595">
        <w:t>.</w:t>
      </w:r>
    </w:p>
    <w:p w14:paraId="2B1219F5" w14:textId="5415B491" w:rsidR="006C079F" w:rsidRDefault="00FC24B4" w:rsidP="004074B0">
      <w:pPr>
        <w:pStyle w:val="Heading1"/>
      </w:pPr>
      <w:r>
        <w:t>Materials</w:t>
      </w:r>
      <w:r w:rsidR="006C079F">
        <w:t xml:space="preserve"> and </w:t>
      </w:r>
      <w:r w:rsidR="00AE249E">
        <w:t>M</w:t>
      </w:r>
      <w:r w:rsidR="006C079F">
        <w:t>ethods</w:t>
      </w:r>
    </w:p>
    <w:p w14:paraId="357D0ED2" w14:textId="252C64BC" w:rsidR="008F2372" w:rsidRDefault="00E56FDD" w:rsidP="00E93983">
      <w:pPr>
        <w:pStyle w:val="Paragraph"/>
      </w:pPr>
      <w:r>
        <w:t>The</w:t>
      </w:r>
      <w:r w:rsidR="00CC449C" w:rsidRPr="00FD7DB6">
        <w:t xml:space="preserve"> </w:t>
      </w:r>
      <w:r w:rsidR="00CC449C">
        <w:t xml:space="preserve">empirical </w:t>
      </w:r>
      <w:r w:rsidR="00CC449C" w:rsidRPr="00FD7DB6">
        <w:t xml:space="preserve">analysis </w:t>
      </w:r>
      <w:r w:rsidR="00415381">
        <w:t>uses</w:t>
      </w:r>
      <w:r w:rsidR="00CC449C">
        <w:t xml:space="preserve"> </w:t>
      </w:r>
      <w:r w:rsidR="00CC449C" w:rsidRPr="00FD7DB6">
        <w:t>a comprehensive six-wave study conducted among Jewish Israelis between 2021</w:t>
      </w:r>
      <w:r w:rsidR="00CC449C">
        <w:t xml:space="preserve"> and </w:t>
      </w:r>
      <w:r w:rsidR="00CC449C" w:rsidRPr="00FD7DB6">
        <w:t xml:space="preserve">2024. Waves </w:t>
      </w:r>
      <w:r w:rsidR="005E1B30">
        <w:t>one (12/6/2021-01/13/2022, N=1608)</w:t>
      </w:r>
      <w:r w:rsidR="00CC449C" w:rsidRPr="00FD7DB6">
        <w:t xml:space="preserve">, </w:t>
      </w:r>
      <w:r w:rsidR="005E1B30">
        <w:t>two (05/23/2022-06/24/2022, N=1607)</w:t>
      </w:r>
      <w:r w:rsidR="00CC449C" w:rsidRPr="00FD7DB6">
        <w:t xml:space="preserve">, </w:t>
      </w:r>
      <w:r w:rsidR="005E1B30">
        <w:t>three (10/24/2022-10/31/2022, N=886), five (06/20/2023-06/26/2023, N=1524)</w:t>
      </w:r>
      <w:r w:rsidR="00CC449C" w:rsidRPr="00FD7DB6">
        <w:t xml:space="preserve">, and </w:t>
      </w:r>
      <w:r w:rsidR="005E1B30">
        <w:t>six (04/04/2024-04/30/2024, N=1114),</w:t>
      </w:r>
      <w:r w:rsidR="00CC449C" w:rsidRPr="00FD7DB6">
        <w:t xml:space="preserve"> each comprised </w:t>
      </w:r>
      <w:r w:rsidR="005E1B30">
        <w:rPr>
          <w:lang w:val="en-US" w:bidi="he-IL"/>
        </w:rPr>
        <w:t>randomly selected</w:t>
      </w:r>
      <w:r w:rsidR="00CC449C" w:rsidRPr="00FD7DB6">
        <w:t xml:space="preserve"> nationally representative samples of Israeli Jews</w:t>
      </w:r>
      <w:r w:rsidR="00CC449C">
        <w:t>;</w:t>
      </w:r>
      <w:r w:rsidR="00CC449C" w:rsidRPr="00FD7DB6">
        <w:t xml:space="preserve"> wave</w:t>
      </w:r>
      <w:r w:rsidR="005E1B30">
        <w:t xml:space="preserve"> four</w:t>
      </w:r>
      <w:r w:rsidR="00CC449C" w:rsidRPr="00FD7DB6">
        <w:t xml:space="preserve"> </w:t>
      </w:r>
      <w:r w:rsidR="005E1B30">
        <w:t xml:space="preserve">(01/12/2023-01/25/2023, N=671) respondents were chosen as a subset of the wave three sample, creating a </w:t>
      </w:r>
      <w:r w:rsidR="00CC449C" w:rsidRPr="00FD7DB6">
        <w:t xml:space="preserve">panel </w:t>
      </w:r>
      <w:r w:rsidR="005E1B30">
        <w:t>pair of waves</w:t>
      </w:r>
      <w:r w:rsidR="00CC449C" w:rsidRPr="00FD7DB6">
        <w:t xml:space="preserve">. </w:t>
      </w:r>
    </w:p>
    <w:p w14:paraId="29DFAA70" w14:textId="53281313" w:rsidR="005E1B30" w:rsidRDefault="005E1B30" w:rsidP="006740D1">
      <w:pPr>
        <w:pStyle w:val="Newparagraph"/>
      </w:pPr>
      <w:r>
        <w:t>One significantly strong destabilizing event occurred between each pair of consecutive waves</w:t>
      </w:r>
      <w:r w:rsidR="008F2372">
        <w:t>, providing a natural quasi-experimental setting. The events within each of the five wave pairs included</w:t>
      </w:r>
      <w:r>
        <w:t>: (i) Inland terror attacks in key Israeli cities, (ii) T</w:t>
      </w:r>
      <w:r w:rsidRPr="00FD7DB6">
        <w:t xml:space="preserve">he dissolution of the Lapid-Bennett </w:t>
      </w:r>
      <w:r w:rsidR="00707BC0">
        <w:t>“</w:t>
      </w:r>
      <w:r>
        <w:t>Unity</w:t>
      </w:r>
      <w:r w:rsidR="00707BC0">
        <w:t>”</w:t>
      </w:r>
      <w:r>
        <w:t xml:space="preserve"> government, leading to Israel</w:t>
      </w:r>
      <w:r w:rsidR="00707BC0">
        <w:t>’</w:t>
      </w:r>
      <w:r>
        <w:t>s fifth election in nearly four years. The Unity government ended 12 years of right-wing governance under Netanyahu, and its dissolution after less than two years signalled the failure to establish an alternative to Netanyahu. (iii) T</w:t>
      </w:r>
      <w:r w:rsidRPr="00FD7DB6">
        <w:t xml:space="preserve">he introduction of judicial </w:t>
      </w:r>
      <w:r w:rsidR="004074B0">
        <w:t>R</w:t>
      </w:r>
      <w:r w:rsidRPr="00FD7DB6">
        <w:t>eform by the new Netanyahu government</w:t>
      </w:r>
      <w:r>
        <w:t>, aiming to erode Israel</w:t>
      </w:r>
      <w:r w:rsidR="00707BC0">
        <w:t>’</w:t>
      </w:r>
      <w:r>
        <w:t xml:space="preserve">s fragile democracy. (iv)  </w:t>
      </w:r>
      <w:r w:rsidR="00F40CDC" w:rsidRPr="00F40CDC">
        <w:t xml:space="preserve">Netanyahu’s dismissal of Defense Minister Gallant over his opposition to judicial reforms </w:t>
      </w:r>
      <w:r w:rsidR="00074E1D">
        <w:t>sparked</w:t>
      </w:r>
      <w:r w:rsidR="00F40CDC" w:rsidRPr="00F40CDC">
        <w:t xml:space="preserve"> immediate</w:t>
      </w:r>
      <w:r w:rsidR="00074E1D">
        <w:t xml:space="preserve"> demonstrations</w:t>
      </w:r>
      <w:r w:rsidR="00F40CDC" w:rsidRPr="00F40CDC">
        <w:t xml:space="preserve"> across Israel. Protesters disrupted major highways and gathered at key political sites, forcing Netanyahu to pause the legislation</w:t>
      </w:r>
      <w:r w:rsidR="00074E1D">
        <w:t xml:space="preserve"> to prevent </w:t>
      </w:r>
      <w:r w:rsidR="00AC22B3">
        <w:t>“</w:t>
      </w:r>
      <w:r w:rsidR="00074E1D">
        <w:t>civil war.</w:t>
      </w:r>
      <w:r w:rsidR="00AC22B3">
        <w:t>”</w:t>
      </w:r>
      <w:r w:rsidR="00F40CDC" w:rsidRPr="00F40CDC">
        <w:t xml:space="preserve"> Continued public pressure ultimately compelled the Prime Minister to reinstate </w:t>
      </w:r>
      <w:r w:rsidR="00F40CDC" w:rsidRPr="00F40CDC">
        <w:lastRenderedPageBreak/>
        <w:t xml:space="preserve">Gallant two weeks later. </w:t>
      </w:r>
      <w:r>
        <w:t xml:space="preserve">(v) The October 7 War is referred to as the deadliest day for jews since the Holocaust, with a timing that is potentially connected to the strong divisions within the Israeli population due to the Judicial </w:t>
      </w:r>
      <w:r w:rsidR="004074B0">
        <w:t>R</w:t>
      </w:r>
      <w:r>
        <w:t xml:space="preserve">eform. </w:t>
      </w:r>
    </w:p>
    <w:p w14:paraId="7DEC0600" w14:textId="050DD791" w:rsidR="00074E1D" w:rsidRDefault="00CE7CC8" w:rsidP="004043DC">
      <w:pPr>
        <w:pStyle w:val="Newparagraph"/>
      </w:pPr>
      <w:r>
        <w:t xml:space="preserve">The calculation of </w:t>
      </w:r>
      <w:r w:rsidR="00074E1D" w:rsidRPr="005E1B30">
        <w:t>political extremism dimensions by combining multiple related survey measures (questions) into a single variable usin</w:t>
      </w:r>
      <w:r w:rsidR="00074E1D">
        <w:t>g</w:t>
      </w:r>
      <w:r w:rsidR="00074E1D" w:rsidRPr="005E1B30">
        <w:t xml:space="preserve"> Confirmatory Factor Analysis (CFA)</w:t>
      </w:r>
      <w:r w:rsidR="00074E1D" w:rsidRPr="005E1B30">
        <w:rPr>
          <w:vertAlign w:val="superscript"/>
        </w:rPr>
        <w:footnoteReference w:id="4"/>
      </w:r>
      <w:r w:rsidR="00074E1D" w:rsidRPr="005E1B30">
        <w:t xml:space="preserve">. Each dimension has a scale of 1 </w:t>
      </w:r>
      <w:r w:rsidR="00074E1D">
        <w:t xml:space="preserve">to </w:t>
      </w:r>
      <w:r w:rsidR="00074E1D" w:rsidRPr="005E1B30">
        <w:t>7</w:t>
      </w:r>
      <w:r w:rsidR="00074E1D">
        <w:t>, where 1 represents a low level of extremism</w:t>
      </w:r>
      <w:r w:rsidR="00AC22B3">
        <w:t xml:space="preserve"> and seven a high level of extremism</w:t>
      </w:r>
      <w:r w:rsidR="00074E1D" w:rsidRPr="005E1B30">
        <w:t>. R</w:t>
      </w:r>
      <w:r w:rsidR="00074E1D">
        <w:t>espondents’ self-reported political affiliations, measured on a scale of 1-7 (where 1 represents right-wing and 7 represents left-wing), are converted into three political orientation categories: right (1-3), center (4),</w:t>
      </w:r>
      <w:r w:rsidR="00074E1D" w:rsidRPr="005E1B30">
        <w:t xml:space="preserve"> and left (5-7). Gender </w:t>
      </w:r>
      <w:r w:rsidR="00074E1D">
        <w:t>(male, female) and Age Group (18-30, 31-45, 46-60, 60+) are the control variables</w:t>
      </w:r>
      <w:r w:rsidR="00074E1D" w:rsidRPr="005E1B30">
        <w:t>.</w:t>
      </w:r>
      <w:r w:rsidR="00074E1D">
        <w:t xml:space="preserve"> </w:t>
      </w:r>
    </w:p>
    <w:p w14:paraId="2FD513A8" w14:textId="6662AF99" w:rsidR="000767F6" w:rsidRPr="004810BA" w:rsidRDefault="009549FE" w:rsidP="009549FE">
      <w:pPr>
        <w:pStyle w:val="Newparagraph"/>
        <w:rPr>
          <w:lang w:val="en-US"/>
        </w:rPr>
      </w:pPr>
      <w:r>
        <w:t xml:space="preserve">The analysis begins </w:t>
      </w:r>
      <w:r w:rsidR="005E1B30">
        <w:t xml:space="preserve">by examining how political affiliations (left-wing, center-wing, right-wing) moderate the impact of various destabilizing events </w:t>
      </w:r>
      <w:r w:rsidR="008F2372">
        <w:t>across the dimensions</w:t>
      </w:r>
      <w:r w:rsidR="005E1B30">
        <w:t xml:space="preserve"> of political extremism. </w:t>
      </w:r>
      <w:r>
        <w:t xml:space="preserve">This study uses </w:t>
      </w:r>
      <w:r w:rsidR="005E1B30" w:rsidRPr="005E1B30">
        <w:t xml:space="preserve">Multivariate Analysis of Variance (MANOVA) on each consecutive pair of Political Extremism Survey waves. </w:t>
      </w:r>
      <w:r w:rsidR="005E1B30">
        <w:t>For the panel survey waves (</w:t>
      </w:r>
      <w:r w:rsidR="00F40CDC">
        <w:t xml:space="preserve">3 and 4), </w:t>
      </w:r>
      <w:r>
        <w:t>the analysis</w:t>
      </w:r>
      <w:r w:rsidR="00F40CDC">
        <w:t xml:space="preserve"> employ</w:t>
      </w:r>
      <w:r>
        <w:t>s</w:t>
      </w:r>
      <w:r w:rsidR="00F40CDC">
        <w:t xml:space="preserve"> a Repeated-Measures</w:t>
      </w:r>
      <w:r w:rsidR="005E1B30" w:rsidRPr="005E1B30">
        <w:t xml:space="preserve"> MANOVA.</w:t>
      </w:r>
      <w:r w:rsidR="005E1B30">
        <w:t xml:space="preserve"> </w:t>
      </w:r>
      <w:r>
        <w:t xml:space="preserve">Separate analyses explore the entire population and its more extremist segment. </w:t>
      </w:r>
      <w:r w:rsidR="004A2219">
        <w:t>In t</w:t>
      </w:r>
      <w:r w:rsidR="004043DC">
        <w:t>he second part of the analysis</w:t>
      </w:r>
      <w:r w:rsidR="004A2219">
        <w:t>,</w:t>
      </w:r>
      <w:r w:rsidR="004043DC">
        <w:t xml:space="preserve"> </w:t>
      </w:r>
      <w:r>
        <w:t>a</w:t>
      </w:r>
      <w:r w:rsidR="004043DC" w:rsidRPr="004043DC">
        <w:rPr>
          <w:lang w:val="en-US" w:eastAsia="en-US" w:bidi="he-IL"/>
        </w:rPr>
        <w:t xml:space="preserve"> </w:t>
      </w:r>
      <w:r w:rsidR="00BD2FEB">
        <w:rPr>
          <w:lang w:val="en-US" w:eastAsia="en-US" w:bidi="he-IL"/>
        </w:rPr>
        <w:t xml:space="preserve">longitudinal analysis of multiple </w:t>
      </w:r>
      <w:r w:rsidR="004A2219">
        <w:rPr>
          <w:lang w:val="en-US" w:eastAsia="en-US" w:bidi="he-IL"/>
        </w:rPr>
        <w:t xml:space="preserve">gauge indices </w:t>
      </w:r>
      <w:r w:rsidR="00773661">
        <w:rPr>
          <w:lang w:val="en-US" w:eastAsia="en-US" w:bidi="he-IL"/>
        </w:rPr>
        <w:t xml:space="preserve">(Extremism Level, Extremism Intensity, and Extremism Rank) </w:t>
      </w:r>
      <w:r>
        <w:rPr>
          <w:lang w:val="en-US" w:eastAsia="en-US" w:bidi="he-IL"/>
        </w:rPr>
        <w:t>examines</w:t>
      </w:r>
      <w:r w:rsidR="004A2219">
        <w:rPr>
          <w:lang w:val="en-US" w:eastAsia="en-US" w:bidi="he-IL"/>
        </w:rPr>
        <w:t xml:space="preserve"> the dynamics of political extremism. </w:t>
      </w:r>
      <w:r>
        <w:rPr>
          <w:lang w:val="en-US" w:eastAsia="en-US" w:bidi="he-IL"/>
        </w:rPr>
        <w:t>The final part of</w:t>
      </w:r>
      <w:r w:rsidR="004A2219">
        <w:rPr>
          <w:lang w:val="en-US" w:eastAsia="en-US" w:bidi="he-IL"/>
        </w:rPr>
        <w:t xml:space="preserve"> the analysis </w:t>
      </w:r>
      <w:r>
        <w:rPr>
          <w:lang w:val="en-US" w:eastAsia="en-US" w:bidi="he-IL"/>
        </w:rPr>
        <w:t>provides</w:t>
      </w:r>
      <w:r w:rsidR="004A2219">
        <w:rPr>
          <w:lang w:val="en-US" w:eastAsia="en-US" w:bidi="he-IL"/>
        </w:rPr>
        <w:t xml:space="preserve"> </w:t>
      </w:r>
      <w:r w:rsidR="00BD2FEB">
        <w:rPr>
          <w:lang w:val="en-US" w:eastAsia="en-US" w:bidi="he-IL"/>
        </w:rPr>
        <w:t>further insights into</w:t>
      </w:r>
      <w:r w:rsidR="004A2219">
        <w:rPr>
          <w:lang w:val="en-US" w:eastAsia="en-US" w:bidi="he-IL"/>
        </w:rPr>
        <w:t xml:space="preserve"> the characteristics of the more extremist part of the population. </w:t>
      </w:r>
      <w:r>
        <w:rPr>
          <w:lang w:val="en-US"/>
        </w:rPr>
        <w:t xml:space="preserve">A </w:t>
      </w:r>
      <w:r w:rsidR="004043DC">
        <w:rPr>
          <w:lang w:val="en-US"/>
        </w:rPr>
        <w:t>robustness</w:t>
      </w:r>
      <w:r>
        <w:rPr>
          <w:lang w:val="en-US"/>
        </w:rPr>
        <w:t xml:space="preserve"> test validates </w:t>
      </w:r>
      <w:r w:rsidR="004074B0">
        <w:rPr>
          <w:lang w:val="en-US"/>
        </w:rPr>
        <w:t xml:space="preserve">the </w:t>
      </w:r>
      <w:r w:rsidR="00F40CDC">
        <w:rPr>
          <w:lang w:val="en-US"/>
        </w:rPr>
        <w:t>gauge</w:t>
      </w:r>
      <w:r w:rsidR="00AC22B3">
        <w:rPr>
          <w:lang w:val="en-US"/>
        </w:rPr>
        <w:t>’</w:t>
      </w:r>
      <w:r w:rsidR="00F40CDC">
        <w:rPr>
          <w:lang w:val="en-US"/>
        </w:rPr>
        <w:t>s ability to identify the more extreme segment</w:t>
      </w:r>
      <w:r w:rsidR="004074B0">
        <w:rPr>
          <w:lang w:val="en-US"/>
        </w:rPr>
        <w:t xml:space="preserve"> of the population. </w:t>
      </w:r>
      <w:r>
        <w:rPr>
          <w:lang w:val="en-US"/>
        </w:rPr>
        <w:t>L</w:t>
      </w:r>
      <w:r w:rsidR="007B3779">
        <w:rPr>
          <w:lang w:val="en-US"/>
        </w:rPr>
        <w:t xml:space="preserve">atent </w:t>
      </w:r>
      <w:r>
        <w:rPr>
          <w:lang w:val="en-US"/>
        </w:rPr>
        <w:t>P</w:t>
      </w:r>
      <w:r w:rsidR="007B3779">
        <w:rPr>
          <w:lang w:val="en-US"/>
        </w:rPr>
        <w:t xml:space="preserve">rofile </w:t>
      </w:r>
      <w:r>
        <w:rPr>
          <w:lang w:val="en-US"/>
        </w:rPr>
        <w:t>A</w:t>
      </w:r>
      <w:r w:rsidR="007B3779">
        <w:rPr>
          <w:lang w:val="en-US"/>
        </w:rPr>
        <w:t xml:space="preserve">nalysis (LPA) of the population </w:t>
      </w:r>
      <w:r w:rsidR="00F758F6">
        <w:rPr>
          <w:lang w:val="en-US"/>
        </w:rPr>
        <w:t>identif</w:t>
      </w:r>
      <w:r>
        <w:rPr>
          <w:lang w:val="en-US"/>
        </w:rPr>
        <w:t>ies</w:t>
      </w:r>
      <w:r w:rsidR="00F758F6">
        <w:rPr>
          <w:lang w:val="en-US"/>
        </w:rPr>
        <w:t xml:space="preserve"> </w:t>
      </w:r>
      <w:r>
        <w:rPr>
          <w:lang w:val="en-US"/>
        </w:rPr>
        <w:t>groups</w:t>
      </w:r>
      <w:r w:rsidR="003D43C5">
        <w:rPr>
          <w:lang w:val="en-US"/>
        </w:rPr>
        <w:t xml:space="preserve"> (</w:t>
      </w:r>
      <w:r>
        <w:rPr>
          <w:lang w:val="en-US"/>
        </w:rPr>
        <w:t>profiles</w:t>
      </w:r>
      <w:r w:rsidR="003D43C5">
        <w:rPr>
          <w:lang w:val="en-US"/>
        </w:rPr>
        <w:t>)</w:t>
      </w:r>
      <w:r w:rsidR="00F758F6">
        <w:rPr>
          <w:lang w:val="en-US"/>
        </w:rPr>
        <w:t xml:space="preserve"> with similar level</w:t>
      </w:r>
      <w:r w:rsidR="003D43C5">
        <w:rPr>
          <w:lang w:val="en-US"/>
        </w:rPr>
        <w:t>s of extremism</w:t>
      </w:r>
      <w:r w:rsidR="00F758F6">
        <w:rPr>
          <w:lang w:val="en-US"/>
        </w:rPr>
        <w:t xml:space="preserve"> </w:t>
      </w:r>
      <w:r w:rsidR="003D43C5">
        <w:rPr>
          <w:lang w:val="en-US"/>
        </w:rPr>
        <w:t>using the</w:t>
      </w:r>
      <w:r w:rsidR="007B3779">
        <w:rPr>
          <w:lang w:val="en-US"/>
        </w:rPr>
        <w:t xml:space="preserve"> three </w:t>
      </w:r>
      <w:r w:rsidR="007B3779">
        <w:rPr>
          <w:lang w:val="en-US"/>
        </w:rPr>
        <w:lastRenderedPageBreak/>
        <w:t>dimensions of political extremism</w:t>
      </w:r>
      <w:r w:rsidR="004043DC">
        <w:rPr>
          <w:lang w:val="en-US"/>
        </w:rPr>
        <w:t xml:space="preserve">. </w:t>
      </w:r>
      <w:r w:rsidR="00F40CDC">
        <w:rPr>
          <w:lang w:val="en-US"/>
        </w:rPr>
        <w:t xml:space="preserve">A strong association between extremist profiles and </w:t>
      </w:r>
      <w:r>
        <w:rPr>
          <w:lang w:val="en-US"/>
        </w:rPr>
        <w:t>the</w:t>
      </w:r>
      <w:r w:rsidR="00F40CDC">
        <w:rPr>
          <w:lang w:val="en-US"/>
        </w:rPr>
        <w:t xml:space="preserve"> extremism ranking</w:t>
      </w:r>
      <w:r w:rsidR="003D43C5">
        <w:rPr>
          <w:lang w:val="en-US"/>
        </w:rPr>
        <w:t xml:space="preserve"> indices </w:t>
      </w:r>
      <w:r>
        <w:rPr>
          <w:lang w:val="en-US"/>
        </w:rPr>
        <w:t xml:space="preserve">(ER1, ER2, and ER3) </w:t>
      </w:r>
      <w:r w:rsidR="003D43C5">
        <w:rPr>
          <w:lang w:val="en-US"/>
        </w:rPr>
        <w:t xml:space="preserve">will validate the core of the political extremism gauge. </w:t>
      </w:r>
    </w:p>
    <w:p w14:paraId="775A3C06" w14:textId="25A7C248" w:rsidR="006C079F" w:rsidRDefault="006C079F" w:rsidP="004810BA">
      <w:pPr>
        <w:pStyle w:val="Heading1"/>
        <w:spacing w:after="0"/>
      </w:pPr>
      <w:r w:rsidRPr="004074B0">
        <w:t>Results</w:t>
      </w:r>
    </w:p>
    <w:p w14:paraId="33F2D634" w14:textId="6CB9AD7B" w:rsidR="005D5D1F" w:rsidRDefault="005D5D1F" w:rsidP="005D5D1F">
      <w:pPr>
        <w:pStyle w:val="Heading2"/>
      </w:pPr>
      <w:r>
        <w:t>Does political affiliation moderate the impact of destabilizing events?</w:t>
      </w:r>
    </w:p>
    <w:p w14:paraId="7D762FA6" w14:textId="3074099E" w:rsidR="005D5D1F" w:rsidRDefault="005D5D1F" w:rsidP="005D5D1F">
      <w:pPr>
        <w:pStyle w:val="Paragraph"/>
        <w:rPr>
          <w:lang w:val="en-US"/>
        </w:rPr>
      </w:pPr>
      <w:bookmarkStart w:id="28" w:name="_Ref207304911"/>
      <w:r w:rsidRPr="005D5D1F">
        <w:rPr>
          <w:lang w:val="en-US"/>
        </w:rPr>
        <w:t xml:space="preserve">The results </w:t>
      </w:r>
      <w:r w:rsidR="009D1439">
        <w:rPr>
          <w:lang w:val="en-US"/>
        </w:rPr>
        <w:t xml:space="preserve">of the </w:t>
      </w:r>
      <w:r w:rsidR="009549FE">
        <w:rPr>
          <w:lang w:val="en-US"/>
        </w:rPr>
        <w:t>MANOVA</w:t>
      </w:r>
      <w:r w:rsidR="009D1439">
        <w:rPr>
          <w:lang w:val="en-US"/>
        </w:rPr>
        <w:t xml:space="preserve"> analysis across the entire population (</w:t>
      </w:r>
      <w:r w:rsidR="009D1439">
        <w:rPr>
          <w:lang w:val="en-US"/>
        </w:rPr>
        <w:fldChar w:fldCharType="begin"/>
      </w:r>
      <w:r w:rsidR="009D1439">
        <w:rPr>
          <w:lang w:val="en-US"/>
        </w:rPr>
        <w:instrText xml:space="preserve"> REF _Ref217736342 \h </w:instrText>
      </w:r>
      <w:r w:rsidR="009D1439">
        <w:rPr>
          <w:lang w:val="en-US"/>
        </w:rPr>
      </w:r>
      <w:r w:rsidR="009D1439">
        <w:rPr>
          <w:lang w:val="en-US"/>
        </w:rPr>
        <w:fldChar w:fldCharType="separate"/>
      </w:r>
      <w:r w:rsidR="00C30B96">
        <w:t xml:space="preserve">Table </w:t>
      </w:r>
      <w:r w:rsidR="00C30B96">
        <w:rPr>
          <w:noProof/>
        </w:rPr>
        <w:t>1</w:t>
      </w:r>
      <w:r w:rsidR="009D1439">
        <w:rPr>
          <w:lang w:val="en-US"/>
        </w:rPr>
        <w:fldChar w:fldCharType="end"/>
      </w:r>
      <w:r w:rsidR="009D1439">
        <w:rPr>
          <w:lang w:val="en-US"/>
        </w:rPr>
        <w:t xml:space="preserve">) </w:t>
      </w:r>
      <w:r w:rsidRPr="005D5D1F">
        <w:rPr>
          <w:lang w:val="en-US"/>
        </w:rPr>
        <w:t>demonstrate a significant main effect for the event variable (p &lt; .001) during the Inland Terror period (Pillai</w:t>
      </w:r>
      <w:r w:rsidR="00AC22B3">
        <w:rPr>
          <w:lang w:val="en-US"/>
        </w:rPr>
        <w:t>’</w:t>
      </w:r>
      <w:r w:rsidRPr="005D5D1F">
        <w:rPr>
          <w:lang w:val="en-US"/>
        </w:rPr>
        <w:t xml:space="preserve">s Trace = 0.018), alongside consistently significant effects for political orientation, gender, and age across all observed intervals. Furthermore, the model reveals considerable interaction effects between the events and political orientation, particularly during the Inland Terror (p &lt; .001) and the October 7 </w:t>
      </w:r>
      <w:r w:rsidR="00AC22B3">
        <w:rPr>
          <w:lang w:val="en-US"/>
        </w:rPr>
        <w:t>w</w:t>
      </w:r>
      <w:r w:rsidRPr="005D5D1F">
        <w:rPr>
          <w:lang w:val="en-US"/>
        </w:rPr>
        <w:t>ar (p &lt; .05).</w:t>
      </w:r>
    </w:p>
    <w:p w14:paraId="0339CCC6" w14:textId="7A86C13F" w:rsidR="005D5D1F" w:rsidRDefault="005D5D1F" w:rsidP="005D5D1F">
      <w:pPr>
        <w:pStyle w:val="Tabletitle"/>
        <w:rPr>
          <w:lang w:val="en-US"/>
        </w:rPr>
      </w:pPr>
      <w:bookmarkStart w:id="29" w:name="_Ref217736342"/>
      <w:r>
        <w:t xml:space="preserve">Table </w:t>
      </w:r>
      <w:fldSimple w:instr=" SEQ Table \* ARABIC ">
        <w:r w:rsidR="00C30B96">
          <w:rPr>
            <w:noProof/>
          </w:rPr>
          <w:t>1</w:t>
        </w:r>
      </w:fldSimple>
      <w:bookmarkEnd w:id="29"/>
      <w:r>
        <w:rPr>
          <w:lang w:val="en-US"/>
        </w:rPr>
        <w:t xml:space="preserve">: </w:t>
      </w:r>
      <w:r w:rsidRPr="00A432A2">
        <w:rPr>
          <w:lang w:val="en-US"/>
        </w:rPr>
        <w:t xml:space="preserve">MANOVA </w:t>
      </w:r>
      <w:r>
        <w:rPr>
          <w:lang w:val="en-US"/>
        </w:rPr>
        <w:t>r</w:t>
      </w:r>
      <w:r w:rsidRPr="00A432A2">
        <w:rPr>
          <w:lang w:val="en-US"/>
        </w:rPr>
        <w:t xml:space="preserve">esults </w:t>
      </w:r>
      <w:r>
        <w:rPr>
          <w:lang w:val="en-US"/>
        </w:rPr>
        <w:t>a</w:t>
      </w:r>
      <w:r w:rsidRPr="00A432A2">
        <w:rPr>
          <w:lang w:val="en-US"/>
        </w:rPr>
        <w:t xml:space="preserve">cross </w:t>
      </w:r>
      <w:r w:rsidR="009D1439">
        <w:rPr>
          <w:lang w:val="en-US"/>
        </w:rPr>
        <w:t>the entire population</w:t>
      </w:r>
    </w:p>
    <w:tbl>
      <w:tblPr>
        <w:tblW w:w="8499" w:type="dxa"/>
        <w:tblBorders>
          <w:top w:val="single" w:sz="12" w:space="0" w:color="A8A8A8"/>
          <w:bottom w:val="single" w:sz="12" w:space="0" w:color="A8A8A8"/>
        </w:tblBorders>
        <w:shd w:val="clear" w:color="auto" w:fill="FFFFFF"/>
        <w:tblCellMar>
          <w:left w:w="15" w:type="dxa"/>
          <w:right w:w="15" w:type="dxa"/>
        </w:tblCellMar>
        <w:tblLook w:val="04A0" w:firstRow="1" w:lastRow="0" w:firstColumn="1" w:lastColumn="0" w:noHBand="0" w:noVBand="1"/>
      </w:tblPr>
      <w:tblGrid>
        <w:gridCol w:w="2339"/>
        <w:gridCol w:w="1103"/>
        <w:gridCol w:w="1281"/>
        <w:gridCol w:w="1314"/>
        <w:gridCol w:w="1308"/>
        <w:gridCol w:w="1154"/>
      </w:tblGrid>
      <w:tr w:rsidR="005D5D1F" w:rsidRPr="005E7CEC" w14:paraId="2881D480" w14:textId="77777777" w:rsidTr="00A04A13">
        <w:trPr>
          <w:tblHeader/>
        </w:trPr>
        <w:tc>
          <w:tcPr>
            <w:tcW w:w="2340" w:type="dxa"/>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9D65C18"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Variable</w:t>
            </w:r>
          </w:p>
        </w:tc>
        <w:tc>
          <w:tcPr>
            <w:tcW w:w="1059" w:type="dxa"/>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0F97EA8D"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20DD0EE"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77150CA7"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7D936CD5"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1BC3257C"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Oct. 7th War</w:t>
            </w:r>
          </w:p>
        </w:tc>
      </w:tr>
      <w:tr w:rsidR="005D5D1F" w:rsidRPr="005E7CEC" w14:paraId="7BDFEBB6" w14:textId="77777777" w:rsidTr="00A04A13">
        <w:trPr>
          <w:trHeight w:val="229"/>
        </w:trPr>
        <w:tc>
          <w:tcPr>
            <w:tcW w:w="2340" w:type="dxa"/>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17C1ECC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Event Main Effect</w:t>
            </w:r>
          </w:p>
        </w:tc>
        <w:tc>
          <w:tcPr>
            <w:tcW w:w="1059" w:type="dxa"/>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05A60DBA"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0.018***</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4E69543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0.002</w:t>
            </w:r>
          </w:p>
        </w:tc>
        <w:tc>
          <w:tcPr>
            <w:tcW w:w="0" w:type="auto"/>
            <w:tcBorders>
              <w:top w:val="single" w:sz="4" w:space="0" w:color="A6A6A6"/>
              <w:left w:val="nil"/>
              <w:bottom w:val="nil"/>
              <w:right w:val="nil"/>
            </w:tcBorders>
            <w:tcMar>
              <w:top w:w="120" w:type="dxa"/>
              <w:left w:w="75" w:type="dxa"/>
              <w:bottom w:w="120" w:type="dxa"/>
              <w:right w:w="75" w:type="dxa"/>
            </w:tcMar>
            <w:vAlign w:val="center"/>
            <w:hideMark/>
          </w:tcPr>
          <w:p w14:paraId="39D08BEF"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0.002</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10953462"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0.001</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47073DF0"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0.001</w:t>
            </w:r>
          </w:p>
        </w:tc>
      </w:tr>
      <w:tr w:rsidR="005D5D1F" w:rsidRPr="005E7CEC" w14:paraId="0BAC1794"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62A8EA"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Political Orientation</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F7065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BA9EE1"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0.182***</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486DF9D3"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0.155***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15F68F"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A09CC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0.113***</w:t>
            </w:r>
          </w:p>
        </w:tc>
      </w:tr>
      <w:tr w:rsidR="005D5D1F" w:rsidRPr="005E7CEC" w14:paraId="4DCD4108"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1137BE"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Gender</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946FF5"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97CE1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0.046***</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0ACB0CA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B0F52D"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0.058***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1BA940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0.048***</w:t>
            </w:r>
          </w:p>
        </w:tc>
      </w:tr>
      <w:tr w:rsidR="005D5D1F" w:rsidRPr="005E7CEC" w14:paraId="44921574"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44B91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Age Group</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7E1B8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F3A26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0.041***</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2AAAFDE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DB335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4DD28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0.032***</w:t>
            </w:r>
          </w:p>
        </w:tc>
      </w:tr>
      <w:tr w:rsidR="005D5D1F" w:rsidRPr="005E7CEC" w14:paraId="3CE9E957" w14:textId="77777777" w:rsidTr="00A04A13">
        <w:tc>
          <w:tcPr>
            <w:tcW w:w="2340" w:type="dxa"/>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334DD48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Event × Political Orientation</w:t>
            </w:r>
          </w:p>
        </w:tc>
        <w:tc>
          <w:tcPr>
            <w:tcW w:w="1059" w:type="dxa"/>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4BDE97D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0.013***</w:t>
            </w:r>
          </w:p>
        </w:tc>
        <w:tc>
          <w:tcPr>
            <w:tcW w:w="0" w:type="auto"/>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3574867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0.004</w:t>
            </w:r>
          </w:p>
        </w:tc>
        <w:tc>
          <w:tcPr>
            <w:tcW w:w="0" w:type="auto"/>
            <w:tcBorders>
              <w:top w:val="single" w:sz="6" w:space="0" w:color="D3D3D3"/>
              <w:left w:val="nil"/>
              <w:bottom w:val="single" w:sz="4" w:space="0" w:color="A6A6A6" w:themeColor="background1" w:themeShade="A6"/>
              <w:right w:val="nil"/>
            </w:tcBorders>
            <w:tcMar>
              <w:top w:w="120" w:type="dxa"/>
              <w:left w:w="75" w:type="dxa"/>
              <w:bottom w:w="120" w:type="dxa"/>
              <w:right w:w="75" w:type="dxa"/>
            </w:tcMar>
            <w:vAlign w:val="center"/>
            <w:hideMark/>
          </w:tcPr>
          <w:p w14:paraId="5257A89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0.007†</w:t>
            </w:r>
          </w:p>
        </w:tc>
        <w:tc>
          <w:tcPr>
            <w:tcW w:w="0" w:type="auto"/>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07EBCAD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D1DBC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0.005*</w:t>
            </w:r>
          </w:p>
        </w:tc>
      </w:tr>
      <w:tr w:rsidR="005D5D1F" w:rsidRPr="005E7CEC" w14:paraId="2779C85D" w14:textId="77777777" w:rsidTr="00A04A13">
        <w:tc>
          <w:tcPr>
            <w:tcW w:w="0" w:type="auto"/>
            <w:gridSpan w:val="6"/>
            <w:tcBorders>
              <w:top w:val="single" w:sz="4" w:space="0" w:color="A6A6A6" w:themeColor="background1" w:themeShade="A6"/>
              <w:left w:val="nil"/>
              <w:bottom w:val="single" w:sz="4" w:space="0" w:color="000000"/>
              <w:right w:val="nil"/>
            </w:tcBorders>
            <w:shd w:val="clear" w:color="auto" w:fill="FFFFFF"/>
            <w:tcMar>
              <w:top w:w="60" w:type="dxa"/>
              <w:left w:w="75" w:type="dxa"/>
              <w:bottom w:w="60" w:type="dxa"/>
              <w:right w:w="75" w:type="dxa"/>
            </w:tcMar>
            <w:vAlign w:val="center"/>
            <w:hideMark/>
          </w:tcPr>
          <w:p w14:paraId="74A98C56" w14:textId="1F7C08C8" w:rsidR="005D5D1F" w:rsidRPr="005E7CEC" w:rsidRDefault="005D5D1F" w:rsidP="005D5D1F">
            <w:pPr>
              <w:spacing w:line="240" w:lineRule="auto"/>
              <w:rPr>
                <w:rFonts w:ascii="Segoe UI" w:hAnsi="Segoe UI" w:cs="Segoe UI"/>
                <w:color w:val="333333"/>
                <w:sz w:val="18"/>
                <w:szCs w:val="18"/>
                <w:lang w:val="en-US" w:eastAsia="en-US"/>
              </w:rPr>
            </w:pPr>
            <w:r w:rsidRPr="005E7CEC">
              <w:rPr>
                <w:rFonts w:ascii="Segoe UI" w:hAnsi="Segoe UI" w:cs="Segoe UI"/>
                <w:color w:val="333333"/>
                <w:sz w:val="18"/>
                <w:szCs w:val="18"/>
                <w:lang w:val="en-US" w:eastAsia="en-US"/>
              </w:rPr>
              <w:t>Test statistic: Pillai</w:t>
            </w:r>
            <w:r w:rsidR="00AC22B3">
              <w:rPr>
                <w:rFonts w:ascii="Segoe UI" w:hAnsi="Segoe UI" w:cs="Segoe UI"/>
                <w:color w:val="333333"/>
                <w:sz w:val="18"/>
                <w:szCs w:val="18"/>
                <w:lang w:val="en-US" w:eastAsia="en-US"/>
              </w:rPr>
              <w:t>’</w:t>
            </w:r>
            <w:r w:rsidRPr="005E7CEC">
              <w:rPr>
                <w:rFonts w:ascii="Segoe UI" w:hAnsi="Segoe UI" w:cs="Segoe UI"/>
                <w:color w:val="333333"/>
                <w:sz w:val="18"/>
                <w:szCs w:val="18"/>
                <w:lang w:val="en-US" w:eastAsia="en-US"/>
              </w:rPr>
              <w:t xml:space="preserve">s Trace. *** p &lt; .001; ** p &lt; .01; * p &lt; .05; † p &lt; .10. § Panel analysis </w:t>
            </w:r>
          </w:p>
        </w:tc>
      </w:tr>
    </w:tbl>
    <w:p w14:paraId="3A0EEE1D" w14:textId="6D242B13" w:rsidR="005D5D1F" w:rsidRDefault="009D1439" w:rsidP="005E7CEC">
      <w:pPr>
        <w:pStyle w:val="Newparagraph"/>
        <w:spacing w:before="240"/>
        <w:rPr>
          <w:rFonts w:asciiTheme="majorBidi" w:hAnsiTheme="majorBidi" w:cstheme="majorBidi"/>
          <w:shd w:val="clear" w:color="auto" w:fill="FFFFFF"/>
          <w:lang w:val="en-US"/>
        </w:rPr>
      </w:pPr>
      <w:r>
        <w:rPr>
          <w:rFonts w:asciiTheme="majorBidi" w:hAnsiTheme="majorBidi" w:cstheme="majorBidi"/>
          <w:shd w:val="clear" w:color="auto" w:fill="FFFFFF"/>
          <w:lang w:val="en-US"/>
        </w:rPr>
        <w:t>A</w:t>
      </w:r>
      <w:r w:rsidR="005D5D1F" w:rsidRPr="005D5D1F">
        <w:rPr>
          <w:rFonts w:asciiTheme="majorBidi" w:hAnsiTheme="majorBidi" w:cstheme="majorBidi"/>
          <w:shd w:val="clear" w:color="auto" w:fill="FFFFFF"/>
          <w:lang w:val="en-US"/>
        </w:rPr>
        <w:t xml:space="preserve"> summary of per-dimension ANOVA results</w:t>
      </w:r>
      <w:r w:rsidR="00BD2FEB">
        <w:rPr>
          <w:rFonts w:asciiTheme="majorBidi" w:hAnsiTheme="majorBidi" w:cstheme="majorBidi"/>
          <w:shd w:val="clear" w:color="auto" w:fill="FFFFFF"/>
          <w:lang w:val="en-US"/>
        </w:rPr>
        <w:t xml:space="preserve"> (</w:t>
      </w:r>
      <w:r w:rsidR="00BD2FEB">
        <w:rPr>
          <w:rFonts w:asciiTheme="majorBidi" w:hAnsiTheme="majorBidi" w:cstheme="majorBidi"/>
          <w:shd w:val="clear" w:color="auto" w:fill="FFFFFF"/>
          <w:lang w:val="en-US"/>
        </w:rPr>
        <w:fldChar w:fldCharType="begin"/>
      </w:r>
      <w:r w:rsidR="00BD2FEB">
        <w:rPr>
          <w:rFonts w:asciiTheme="majorBidi" w:hAnsiTheme="majorBidi" w:cstheme="majorBidi"/>
          <w:shd w:val="clear" w:color="auto" w:fill="FFFFFF"/>
          <w:lang w:val="en-US"/>
        </w:rPr>
        <w:instrText xml:space="preserve"> REF _Ref217738576 \h </w:instrText>
      </w:r>
      <w:r w:rsidR="00BD2FEB">
        <w:rPr>
          <w:rFonts w:asciiTheme="majorBidi" w:hAnsiTheme="majorBidi" w:cstheme="majorBidi"/>
          <w:shd w:val="clear" w:color="auto" w:fill="FFFFFF"/>
          <w:lang w:val="en-US"/>
        </w:rPr>
      </w:r>
      <w:r w:rsidR="00BD2FEB">
        <w:rPr>
          <w:rFonts w:asciiTheme="majorBidi" w:hAnsiTheme="majorBidi" w:cstheme="majorBidi"/>
          <w:shd w:val="clear" w:color="auto" w:fill="FFFFFF"/>
          <w:lang w:val="en-US"/>
        </w:rPr>
        <w:fldChar w:fldCharType="separate"/>
      </w:r>
      <w:r w:rsidR="00C30B96">
        <w:t xml:space="preserve">Table </w:t>
      </w:r>
      <w:r w:rsidR="00C30B96">
        <w:rPr>
          <w:noProof/>
        </w:rPr>
        <w:t>2</w:t>
      </w:r>
      <w:r w:rsidR="00BD2FEB">
        <w:rPr>
          <w:rFonts w:asciiTheme="majorBidi" w:hAnsiTheme="majorBidi" w:cstheme="majorBidi"/>
          <w:shd w:val="clear" w:color="auto" w:fill="FFFFFF"/>
          <w:lang w:val="en-US"/>
        </w:rPr>
        <w:fldChar w:fldCharType="end"/>
      </w:r>
      <w:r w:rsidR="00BD2FEB">
        <w:rPr>
          <w:rFonts w:asciiTheme="majorBidi" w:hAnsiTheme="majorBidi" w:cstheme="majorBidi"/>
          <w:shd w:val="clear" w:color="auto" w:fill="FFFFFF"/>
          <w:lang w:val="en-US"/>
        </w:rPr>
        <w:t>)</w:t>
      </w:r>
      <w:r w:rsidR="005D5D1F" w:rsidRPr="005D5D1F">
        <w:rPr>
          <w:rFonts w:asciiTheme="majorBidi" w:hAnsiTheme="majorBidi" w:cstheme="majorBidi"/>
          <w:shd w:val="clear" w:color="auto" w:fill="FFFFFF"/>
          <w:lang w:val="en-US"/>
        </w:rPr>
        <w:t xml:space="preserve"> identifies that different dimensions respond with varying sensitivity to external shocks, as evidenced by the high F-statistic for the Ideology dimension during Inland Terror (F = 17.211) and a more moderate but significant shift during the October 7 War (F = 4.575). Conversely, the Social dimension exhibits remarkable stability, yielding an F-statistic of 0.000 across all </w:t>
      </w:r>
      <w:r w:rsidR="005D5D1F" w:rsidRPr="005D5D1F">
        <w:rPr>
          <w:rFonts w:asciiTheme="majorBidi" w:hAnsiTheme="majorBidi" w:cstheme="majorBidi"/>
          <w:shd w:val="clear" w:color="auto" w:fill="FFFFFF"/>
          <w:lang w:val="en-US"/>
        </w:rPr>
        <w:lastRenderedPageBreak/>
        <w:t>event waves</w:t>
      </w:r>
      <w:r w:rsidR="00AC22B3">
        <w:rPr>
          <w:rFonts w:asciiTheme="majorBidi" w:hAnsiTheme="majorBidi" w:cstheme="majorBidi"/>
          <w:shd w:val="clear" w:color="auto" w:fill="FFFFFF"/>
          <w:lang w:val="en-US"/>
        </w:rPr>
        <w:t>. In contrast,</w:t>
      </w:r>
      <w:r w:rsidR="005D5D1F" w:rsidRPr="005D5D1F">
        <w:rPr>
          <w:rFonts w:asciiTheme="majorBidi" w:hAnsiTheme="majorBidi" w:cstheme="majorBidi"/>
          <w:shd w:val="clear" w:color="auto" w:fill="FFFFFF"/>
          <w:lang w:val="en-US"/>
        </w:rPr>
        <w:t xml:space="preserve"> the Violence dimension shows only a significant main effect during the Inland Terror period (F = 5.009).</w:t>
      </w:r>
    </w:p>
    <w:p w14:paraId="56652E6F" w14:textId="3A58FB39" w:rsidR="005E7CEC" w:rsidRDefault="005E7CEC" w:rsidP="005E7CEC">
      <w:pPr>
        <w:pStyle w:val="Tabletitle"/>
      </w:pPr>
      <w:bookmarkStart w:id="30" w:name="_Ref217738576"/>
      <w:r>
        <w:t xml:space="preserve">Table </w:t>
      </w:r>
      <w:fldSimple w:instr=" SEQ Table \* ARABIC ">
        <w:r w:rsidR="00C30B96">
          <w:rPr>
            <w:noProof/>
          </w:rPr>
          <w:t>2</w:t>
        </w:r>
      </w:fldSimple>
      <w:bookmarkEnd w:id="30"/>
      <w:r>
        <w:rPr>
          <w:lang w:val="en-US"/>
        </w:rPr>
        <w:t>: A</w:t>
      </w:r>
      <w:r w:rsidR="00AC22B3">
        <w:rPr>
          <w:lang w:val="en-US"/>
        </w:rPr>
        <w:t>NOVA</w:t>
      </w:r>
      <w:r>
        <w:rPr>
          <w:lang w:val="en-US"/>
        </w:rPr>
        <w:t xml:space="preserve"> results for each dimension (Entire population)</w:t>
      </w:r>
      <w:r w:rsidR="007D20EB">
        <w:rPr>
          <w:rStyle w:val="FootnoteReference"/>
          <w:lang w:val="en-US"/>
        </w:rPr>
        <w:footnoteReference w:id="5"/>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5E7CEC" w:rsidRPr="005E7CEC" w14:paraId="720EDBE6" w14:textId="77777777" w:rsidTr="005E7CEC">
        <w:trPr>
          <w:tblHeader/>
        </w:trPr>
        <w:tc>
          <w:tcPr>
            <w:tcW w:w="0" w:type="auto"/>
            <w:tcBorders>
              <w:top w:val="single" w:sz="4" w:space="0" w:color="auto"/>
              <w:left w:val="nil"/>
              <w:bottom w:val="single" w:sz="4" w:space="0" w:color="A6A6A6"/>
              <w:right w:val="nil"/>
            </w:tcBorders>
            <w:shd w:val="clear" w:color="auto" w:fill="FFFFFF"/>
            <w:tcMar>
              <w:top w:w="75" w:type="dxa"/>
              <w:left w:w="75" w:type="dxa"/>
              <w:bottom w:w="90" w:type="dxa"/>
              <w:right w:w="75" w:type="dxa"/>
            </w:tcMar>
            <w:vAlign w:val="bottom"/>
            <w:hideMark/>
          </w:tcPr>
          <w:p w14:paraId="56A2EC4B"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Dimension</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434FEAB0"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6BEB3BED"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3A66D2B5"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15AE3AE7"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8167EE4"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Oct. 7th War</w:t>
            </w:r>
          </w:p>
        </w:tc>
      </w:tr>
      <w:tr w:rsidR="005E7CEC" w:rsidRPr="005E7CEC" w14:paraId="74DF8F26" w14:textId="77777777" w:rsidTr="005E7CE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3F16F60C"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Ideology</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6EEA0EFC"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17.211***</w:t>
            </w:r>
            <w:r w:rsidRPr="005E7CEC">
              <w:rPr>
                <w:rFonts w:ascii="Segoe UI" w:hAnsi="Segoe UI" w:cs="Segoe UI"/>
                <w:color w:val="333333"/>
                <w:sz w:val="18"/>
                <w:szCs w:val="18"/>
                <w:lang w:val="en-US" w:eastAsia="en-US" w:bidi="he-IL"/>
              </w:rPr>
              <w:br/>
              <w:t>(-0.100)</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244DD794"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5.141*</w:t>
            </w:r>
            <w:r w:rsidRPr="005E7CEC">
              <w:rPr>
                <w:rFonts w:ascii="Segoe UI" w:hAnsi="Segoe UI" w:cs="Segoe UI"/>
                <w:color w:val="333333"/>
                <w:sz w:val="18"/>
                <w:szCs w:val="18"/>
                <w:lang w:val="en-US" w:eastAsia="en-US" w:bidi="he-IL"/>
              </w:rPr>
              <w:br/>
              <w:t>(+0.233)</w:t>
            </w:r>
          </w:p>
        </w:tc>
        <w:tc>
          <w:tcPr>
            <w:tcW w:w="0" w:type="auto"/>
            <w:tcBorders>
              <w:top w:val="single" w:sz="4" w:space="0" w:color="A6A6A6"/>
              <w:left w:val="nil"/>
              <w:bottom w:val="nil"/>
              <w:right w:val="nil"/>
            </w:tcBorders>
            <w:tcMar>
              <w:top w:w="120" w:type="dxa"/>
              <w:left w:w="75" w:type="dxa"/>
              <w:bottom w:w="120" w:type="dxa"/>
              <w:right w:w="75" w:type="dxa"/>
            </w:tcMar>
            <w:vAlign w:val="center"/>
            <w:hideMark/>
          </w:tcPr>
          <w:p w14:paraId="59541052"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0.257</w:t>
            </w:r>
            <w:r w:rsidRPr="005E7CEC">
              <w:rPr>
                <w:rFonts w:ascii="Segoe UI" w:hAnsi="Segoe UI" w:cs="Segoe UI"/>
                <w:color w:val="333333"/>
                <w:sz w:val="18"/>
                <w:szCs w:val="18"/>
                <w:lang w:val="en-US" w:eastAsia="en-US" w:bidi="he-IL"/>
              </w:rPr>
              <w:br/>
              <w:t>(+0.001)</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0903058A"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0.068</w:t>
            </w:r>
            <w:r w:rsidRPr="005E7CEC">
              <w:rPr>
                <w:rFonts w:ascii="Segoe UI" w:hAnsi="Segoe UI" w:cs="Segoe UI"/>
                <w:color w:val="333333"/>
                <w:sz w:val="18"/>
                <w:szCs w:val="18"/>
                <w:lang w:val="en-US" w:eastAsia="en-US" w:bidi="he-IL"/>
              </w:rPr>
              <w:br/>
              <w:t>(-0.026)</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53F83A40"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4.575*</w:t>
            </w:r>
            <w:r w:rsidRPr="005E7CEC">
              <w:rPr>
                <w:rFonts w:ascii="Segoe UI" w:hAnsi="Segoe UI" w:cs="Segoe UI"/>
                <w:color w:val="333333"/>
                <w:sz w:val="18"/>
                <w:szCs w:val="18"/>
                <w:lang w:val="en-US" w:eastAsia="en-US" w:bidi="he-IL"/>
              </w:rPr>
              <w:br/>
              <w:t>(+0.233)</w:t>
            </w:r>
          </w:p>
        </w:tc>
      </w:tr>
      <w:tr w:rsidR="005E7CEC" w:rsidRPr="005E7CEC" w14:paraId="0FC274B6" w14:textId="77777777" w:rsidTr="005E7CE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83A635"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8C0D68"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5.009*</w:t>
            </w:r>
            <w:r w:rsidRPr="005E7CEC">
              <w:rPr>
                <w:rFonts w:ascii="Segoe UI" w:hAnsi="Segoe UI" w:cs="Segoe UI"/>
                <w:color w:val="333333"/>
                <w:sz w:val="18"/>
                <w:szCs w:val="18"/>
                <w:lang w:val="en-US" w:eastAsia="en-US" w:bidi="he-IL"/>
              </w:rPr>
              <w:br/>
              <w:t>(+0.033)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EB1390"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1.431</w:t>
            </w:r>
            <w:r w:rsidRPr="005E7CEC">
              <w:rPr>
                <w:rFonts w:ascii="Segoe UI" w:hAnsi="Segoe UI" w:cs="Segoe UI"/>
                <w:color w:val="333333"/>
                <w:sz w:val="18"/>
                <w:szCs w:val="18"/>
                <w:lang w:val="en-US" w:eastAsia="en-US" w:bidi="he-IL"/>
              </w:rPr>
              <w:br/>
              <w:t>(-0.038)</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285A71C7"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0.337</w:t>
            </w:r>
            <w:r w:rsidRPr="005E7CEC">
              <w:rPr>
                <w:rFonts w:ascii="Segoe UI" w:hAnsi="Segoe UI" w:cs="Segoe UI"/>
                <w:color w:val="333333"/>
                <w:sz w:val="18"/>
                <w:szCs w:val="18"/>
                <w:lang w:val="en-US" w:eastAsia="en-US" w:bidi="he-IL"/>
              </w:rPr>
              <w:br/>
              <w:t>(+0.089)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0CB9983"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0.565</w:t>
            </w:r>
            <w:r w:rsidRPr="005E7CEC">
              <w:rPr>
                <w:rFonts w:ascii="Segoe UI" w:hAnsi="Segoe UI" w:cs="Segoe UI"/>
                <w:color w:val="333333"/>
                <w:sz w:val="18"/>
                <w:szCs w:val="18"/>
                <w:lang w:val="en-US" w:eastAsia="en-US" w:bidi="he-IL"/>
              </w:rPr>
              <w:br/>
              <w:t>(+0.014)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CD159A"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2.094</w:t>
            </w:r>
            <w:r w:rsidRPr="005E7CEC">
              <w:rPr>
                <w:rFonts w:ascii="Segoe UI" w:hAnsi="Segoe UI" w:cs="Segoe UI"/>
                <w:color w:val="333333"/>
                <w:sz w:val="18"/>
                <w:szCs w:val="18"/>
                <w:lang w:val="en-US" w:eastAsia="en-US" w:bidi="he-IL"/>
              </w:rPr>
              <w:br/>
              <w:t>(+0.118)</w:t>
            </w:r>
          </w:p>
        </w:tc>
      </w:tr>
      <w:tr w:rsidR="005E7CEC" w:rsidRPr="005E7CEC" w14:paraId="3B26D9BB" w14:textId="77777777" w:rsidTr="005E7CE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320433B3"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66401BBD"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(-0.045)</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447506F7"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(-0.005)</w:t>
            </w:r>
          </w:p>
        </w:tc>
        <w:tc>
          <w:tcPr>
            <w:tcW w:w="0" w:type="auto"/>
            <w:tcBorders>
              <w:top w:val="single" w:sz="6" w:space="0" w:color="D3D3D3"/>
              <w:left w:val="nil"/>
              <w:bottom w:val="single" w:sz="4" w:space="0" w:color="A6A6A6"/>
              <w:right w:val="nil"/>
            </w:tcBorders>
            <w:tcMar>
              <w:top w:w="120" w:type="dxa"/>
              <w:left w:w="75" w:type="dxa"/>
              <w:bottom w:w="120" w:type="dxa"/>
              <w:right w:w="75" w:type="dxa"/>
            </w:tcMar>
            <w:vAlign w:val="center"/>
            <w:hideMark/>
          </w:tcPr>
          <w:p w14:paraId="5898FB62"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0.033</w:t>
            </w:r>
            <w:r w:rsidRPr="005E7CEC">
              <w:rPr>
                <w:rFonts w:ascii="Segoe UI" w:hAnsi="Segoe UI" w:cs="Segoe UI"/>
                <w:color w:val="333333"/>
                <w:sz w:val="18"/>
                <w:szCs w:val="18"/>
                <w:lang w:val="en-US" w:eastAsia="en-US" w:bidi="he-IL"/>
              </w:rPr>
              <w:br/>
              <w:t>(+0.019)</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7FF0CDA4"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0E141F"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(+0.001)</w:t>
            </w:r>
          </w:p>
        </w:tc>
      </w:tr>
      <w:tr w:rsidR="005E7CEC" w:rsidRPr="005E7CEC" w14:paraId="0EC4D946" w14:textId="77777777" w:rsidTr="005E7CEC">
        <w:tc>
          <w:tcPr>
            <w:tcW w:w="0" w:type="auto"/>
            <w:gridSpan w:val="6"/>
            <w:tcBorders>
              <w:top w:val="single" w:sz="4" w:space="0" w:color="A6A6A6"/>
              <w:left w:val="nil"/>
              <w:bottom w:val="single" w:sz="4" w:space="0" w:color="auto"/>
              <w:right w:val="nil"/>
            </w:tcBorders>
            <w:shd w:val="clear" w:color="auto" w:fill="FFFFFF"/>
            <w:tcMar>
              <w:top w:w="60" w:type="dxa"/>
              <w:left w:w="75" w:type="dxa"/>
              <w:bottom w:w="60" w:type="dxa"/>
              <w:right w:w="75" w:type="dxa"/>
            </w:tcMar>
            <w:vAlign w:val="center"/>
            <w:hideMark/>
          </w:tcPr>
          <w:p w14:paraId="5C7BA70F" w14:textId="77777777" w:rsidR="005E7CEC" w:rsidRPr="005E7CEC" w:rsidRDefault="005E7CEC" w:rsidP="005E7CEC">
            <w:pPr>
              <w:spacing w:line="240" w:lineRule="auto"/>
              <w:rPr>
                <w:rFonts w:ascii="Segoe UI" w:hAnsi="Segoe UI" w:cs="Segoe UI"/>
                <w:color w:val="333333"/>
                <w:sz w:val="18"/>
                <w:szCs w:val="18"/>
                <w:lang w:val="en-US" w:eastAsia="en-US"/>
              </w:rPr>
            </w:pPr>
            <w:r w:rsidRPr="005E7CEC">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6BC9F115" w14:textId="7778A06F" w:rsidR="004074B0" w:rsidRDefault="005D5D1F" w:rsidP="005E7CEC">
      <w:pPr>
        <w:pStyle w:val="Newparagraph"/>
        <w:spacing w:before="240"/>
        <w:rPr>
          <w:rFonts w:asciiTheme="majorBidi" w:hAnsiTheme="majorBidi" w:cstheme="majorBidi"/>
          <w:shd w:val="clear" w:color="auto" w:fill="FFFFFF"/>
          <w:lang w:val="en-US"/>
        </w:rPr>
      </w:pPr>
      <w:r w:rsidRPr="005D5D1F">
        <w:rPr>
          <w:rFonts w:asciiTheme="majorBidi" w:hAnsiTheme="majorBidi" w:cstheme="majorBidi"/>
          <w:shd w:val="clear" w:color="auto" w:fill="FFFFFF"/>
          <w:lang w:val="en-US"/>
        </w:rPr>
        <w:t>These combined multivariate and univariate findings provide empirical support for the first two primary hypotheses. The variation in significance levels across the ANOVA dimensions confirms that political extremism dimensions respond heterogeneously to socio-political shocks, as the cognitive and behavioral dimensions fluctuate while social intolerance remains static in the aggregate population. Moreover, the significant interaction terms in the MANOVA validate the second hypothesis, demonstrating that an individual’s position on the left-right spectrum actively moderates the impact of these events. This suggests that the general public does not react to national crises as a monolithic entity but rather through the conditioning lens of existing ideological commitments.</w:t>
      </w:r>
      <w:bookmarkEnd w:id="28"/>
    </w:p>
    <w:p w14:paraId="6F1E3A90" w14:textId="539AAD4E" w:rsidR="004810BA" w:rsidRDefault="004810BA" w:rsidP="004810BA">
      <w:pPr>
        <w:pStyle w:val="Newparagraph"/>
        <w:rPr>
          <w:rFonts w:asciiTheme="majorBidi" w:hAnsiTheme="majorBidi" w:cstheme="majorBidi"/>
          <w:shd w:val="clear" w:color="auto" w:fill="FFFFFF"/>
          <w:lang w:val="en-US"/>
        </w:rPr>
      </w:pPr>
      <w:r w:rsidRPr="004810BA">
        <w:rPr>
          <w:rFonts w:asciiTheme="majorBidi" w:hAnsiTheme="majorBidi" w:cstheme="majorBidi"/>
          <w:shd w:val="clear" w:color="auto" w:fill="FFFFFF"/>
          <w:lang w:val="en-US"/>
        </w:rPr>
        <w:t xml:space="preserve">The </w:t>
      </w:r>
      <w:r>
        <w:rPr>
          <w:rFonts w:asciiTheme="majorBidi" w:hAnsiTheme="majorBidi" w:cstheme="majorBidi"/>
          <w:shd w:val="clear" w:color="auto" w:fill="FFFFFF"/>
          <w:lang w:val="en-US"/>
        </w:rPr>
        <w:t>analysis results</w:t>
      </w:r>
      <w:r>
        <w:rPr>
          <w:rStyle w:val="FootnoteReference"/>
          <w:rFonts w:asciiTheme="majorBidi" w:hAnsiTheme="majorBidi" w:cstheme="majorBidi"/>
          <w:shd w:val="clear" w:color="auto" w:fill="FFFFFF"/>
          <w:lang w:val="en-US"/>
        </w:rPr>
        <w:footnoteReference w:id="6"/>
      </w:r>
      <w:r>
        <w:rPr>
          <w:rFonts w:asciiTheme="majorBidi" w:hAnsiTheme="majorBidi" w:cstheme="majorBidi"/>
          <w:shd w:val="clear" w:color="auto" w:fill="FFFFFF"/>
          <w:lang w:val="en-US"/>
        </w:rPr>
        <w:t xml:space="preserve"> for the extremist cohort show</w:t>
      </w:r>
      <w:r w:rsidRPr="004810BA">
        <w:rPr>
          <w:rFonts w:asciiTheme="majorBidi" w:hAnsiTheme="majorBidi" w:cstheme="majorBidi"/>
          <w:shd w:val="clear" w:color="auto" w:fill="FFFFFF"/>
          <w:lang w:val="en-US"/>
        </w:rPr>
        <w:t xml:space="preserve"> a greater intensification of event-driven </w:t>
      </w:r>
      <w:r w:rsidR="008C4CC5">
        <w:rPr>
          <w:rFonts w:asciiTheme="majorBidi" w:hAnsiTheme="majorBidi" w:cstheme="majorBidi"/>
          <w:shd w:val="clear" w:color="auto" w:fill="FFFFFF"/>
          <w:lang w:val="en-US"/>
        </w:rPr>
        <w:t xml:space="preserve">and political orientation-related </w:t>
      </w:r>
      <w:r w:rsidRPr="004810BA">
        <w:rPr>
          <w:rFonts w:asciiTheme="majorBidi" w:hAnsiTheme="majorBidi" w:cstheme="majorBidi"/>
          <w:shd w:val="clear" w:color="auto" w:fill="FFFFFF"/>
          <w:lang w:val="en-US"/>
        </w:rPr>
        <w:t xml:space="preserve">shifts than in the general population. </w:t>
      </w:r>
      <w:r>
        <w:rPr>
          <w:rFonts w:asciiTheme="majorBidi" w:hAnsiTheme="majorBidi" w:cstheme="majorBidi"/>
          <w:shd w:val="clear" w:color="auto" w:fill="FFFFFF"/>
          <w:lang w:val="en-US"/>
        </w:rPr>
        <w:t xml:space="preserve">The </w:t>
      </w:r>
      <w:r>
        <w:rPr>
          <w:rFonts w:asciiTheme="majorBidi" w:hAnsiTheme="majorBidi" w:cstheme="majorBidi"/>
          <w:shd w:val="clear" w:color="auto" w:fill="FFFFFF"/>
          <w:lang w:val="en-US"/>
        </w:rPr>
        <w:lastRenderedPageBreak/>
        <w:t>ANOVA analysis results for t</w:t>
      </w:r>
      <w:r w:rsidRPr="004810BA">
        <w:rPr>
          <w:rFonts w:asciiTheme="majorBidi" w:hAnsiTheme="majorBidi" w:cstheme="majorBidi"/>
          <w:shd w:val="clear" w:color="auto" w:fill="FFFFFF"/>
          <w:lang w:val="en-US"/>
        </w:rPr>
        <w:t>he Cognitive dimension show a high degree of volatility during the Inland Terror event, yielding an F-statistic of 31.317 (p &lt; .001), nearly double the magnitude observed in the aggregate sample. Furthermore, the Social dimension, which remained entirely static in the general population, shows a highly reactive pattern within the extremist subset during the same period (F = 18.158, p &lt; .001). The Behavioral dimension also shows a heightened response to security threats (F = 8.505, p &lt; .01). In contrast, shifts during subsequent events, such as the Fall of the Bennett Government, show only marginal significance (p &lt; .10).</w:t>
      </w:r>
      <w:r>
        <w:rPr>
          <w:rFonts w:asciiTheme="majorBidi" w:hAnsiTheme="majorBidi" w:cstheme="majorBidi"/>
          <w:shd w:val="clear" w:color="auto" w:fill="FFFFFF"/>
          <w:lang w:val="en-US"/>
        </w:rPr>
        <w:t xml:space="preserve"> </w:t>
      </w:r>
    </w:p>
    <w:p w14:paraId="0E66C4E0" w14:textId="0AAA34CD" w:rsidR="008C4CC5" w:rsidRDefault="008C4CC5" w:rsidP="008C4CC5">
      <w:pPr>
        <w:pStyle w:val="Tabletitle"/>
      </w:pPr>
      <w:r>
        <w:t xml:space="preserve">Table </w:t>
      </w:r>
      <w:fldSimple w:instr=" SEQ Table \* ARABIC ">
        <w:r w:rsidR="00C30B96">
          <w:rPr>
            <w:noProof/>
          </w:rPr>
          <w:t>3</w:t>
        </w:r>
      </w:fldSimple>
      <w:r>
        <w:rPr>
          <w:lang w:val="en-US"/>
        </w:rPr>
        <w:t xml:space="preserve">: </w:t>
      </w:r>
      <w:r w:rsidRPr="007901A8">
        <w:rPr>
          <w:lang w:val="en-US"/>
        </w:rPr>
        <w:t>A</w:t>
      </w:r>
      <w:r w:rsidR="00AC22B3">
        <w:rPr>
          <w:lang w:val="en-US"/>
        </w:rPr>
        <w:t>NOVA</w:t>
      </w:r>
      <w:r w:rsidRPr="007901A8">
        <w:rPr>
          <w:lang w:val="en-US"/>
        </w:rPr>
        <w:t xml:space="preserve"> results for each dimension (</w:t>
      </w:r>
      <w:r>
        <w:rPr>
          <w:lang w:val="en-US"/>
        </w:rPr>
        <w:t>Extremists</w:t>
      </w:r>
      <w:r w:rsidRPr="007901A8">
        <w:rPr>
          <w:lang w:val="en-US"/>
        </w:rPr>
        <w:t xml:space="preserv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8C4CC5" w:rsidRPr="008C4CC5" w14:paraId="5E8FB5C1" w14:textId="77777777" w:rsidTr="008C4CC5">
        <w:trPr>
          <w:tblHeader/>
        </w:trPr>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142F3458"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Dimension</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71F7CC9D"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4A71892A"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00A7D9EB"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425FAEB0"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6BBD771E"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Oct. 7th War</w:t>
            </w:r>
          </w:p>
        </w:tc>
      </w:tr>
      <w:tr w:rsidR="008C4CC5" w:rsidRPr="008C4CC5" w14:paraId="26B00A28" w14:textId="77777777" w:rsidTr="003A6F31">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4A3C90B1"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Ideology</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1087BF81"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31.317***</w:t>
            </w:r>
            <w:r w:rsidRPr="008C4CC5">
              <w:rPr>
                <w:rFonts w:ascii="Segoe UI" w:hAnsi="Segoe UI" w:cs="Segoe UI"/>
                <w:color w:val="333333"/>
                <w:sz w:val="18"/>
                <w:szCs w:val="18"/>
                <w:lang w:val="en-US" w:eastAsia="en-US" w:bidi="he-IL"/>
              </w:rPr>
              <w:br/>
              <w:t>(-0.954)</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42CA6C3D"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3.799†</w:t>
            </w:r>
            <w:r w:rsidRPr="008C4CC5">
              <w:rPr>
                <w:rFonts w:ascii="Segoe UI" w:hAnsi="Segoe UI" w:cs="Segoe UI"/>
                <w:color w:val="333333"/>
                <w:sz w:val="18"/>
                <w:szCs w:val="18"/>
                <w:lang w:val="en-US" w:eastAsia="en-US" w:bidi="he-IL"/>
              </w:rPr>
              <w:br/>
              <w:t>(+0.398)</w:t>
            </w:r>
          </w:p>
        </w:tc>
        <w:tc>
          <w:tcPr>
            <w:tcW w:w="0" w:type="auto"/>
            <w:tcBorders>
              <w:top w:val="single" w:sz="4" w:space="0" w:color="BFBFBF" w:themeColor="background1" w:themeShade="BF"/>
              <w:left w:val="nil"/>
              <w:bottom w:val="nil"/>
              <w:right w:val="nil"/>
            </w:tcBorders>
            <w:tcMar>
              <w:top w:w="120" w:type="dxa"/>
              <w:left w:w="75" w:type="dxa"/>
              <w:bottom w:w="120" w:type="dxa"/>
              <w:right w:w="75" w:type="dxa"/>
            </w:tcMar>
            <w:vAlign w:val="center"/>
            <w:hideMark/>
          </w:tcPr>
          <w:p w14:paraId="6AA738B9"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0.655</w:t>
            </w:r>
            <w:r w:rsidRPr="008C4CC5">
              <w:rPr>
                <w:rFonts w:ascii="Segoe UI" w:hAnsi="Segoe UI" w:cs="Segoe UI"/>
                <w:color w:val="333333"/>
                <w:sz w:val="18"/>
                <w:szCs w:val="18"/>
                <w:lang w:val="en-US" w:eastAsia="en-US" w:bidi="he-IL"/>
              </w:rPr>
              <w:br/>
              <w:t>(-0.381)</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2C3805DF"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0.002</w:t>
            </w:r>
            <w:r w:rsidRPr="008C4CC5">
              <w:rPr>
                <w:rFonts w:ascii="Segoe UI" w:hAnsi="Segoe UI" w:cs="Segoe UI"/>
                <w:color w:val="333333"/>
                <w:sz w:val="18"/>
                <w:szCs w:val="18"/>
                <w:lang w:val="en-US" w:eastAsia="en-US" w:bidi="he-IL"/>
              </w:rPr>
              <w:br/>
              <w:t>(+0.097)</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7C460EB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1.078</w:t>
            </w:r>
            <w:r w:rsidRPr="008C4CC5">
              <w:rPr>
                <w:rFonts w:ascii="Segoe UI" w:hAnsi="Segoe UI" w:cs="Segoe UI"/>
                <w:color w:val="333333"/>
                <w:sz w:val="18"/>
                <w:szCs w:val="18"/>
                <w:lang w:val="en-US" w:eastAsia="en-US" w:bidi="he-IL"/>
              </w:rPr>
              <w:br/>
              <w:t>(+0.321)</w:t>
            </w:r>
          </w:p>
        </w:tc>
      </w:tr>
      <w:tr w:rsidR="008C4CC5" w:rsidRPr="008C4CC5" w14:paraId="27F3EBE3" w14:textId="77777777" w:rsidTr="003A6F31">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825B80"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FD1578"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8.505**</w:t>
            </w:r>
            <w:r w:rsidRPr="008C4CC5">
              <w:rPr>
                <w:rFonts w:ascii="Segoe UI" w:hAnsi="Segoe UI" w:cs="Segoe UI"/>
                <w:color w:val="333333"/>
                <w:sz w:val="18"/>
                <w:szCs w:val="18"/>
                <w:lang w:val="en-US" w:eastAsia="en-US" w:bidi="he-IL"/>
              </w:rPr>
              <w:br/>
              <w:t>(+0.361)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2D5982"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2.702</w:t>
            </w:r>
            <w:r w:rsidRPr="008C4CC5">
              <w:rPr>
                <w:rFonts w:ascii="Segoe UI" w:hAnsi="Segoe UI" w:cs="Segoe UI"/>
                <w:color w:val="333333"/>
                <w:sz w:val="18"/>
                <w:szCs w:val="18"/>
                <w:lang w:val="en-US" w:eastAsia="en-US" w:bidi="he-IL"/>
              </w:rPr>
              <w:br/>
              <w:t>(-0.427)</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3BCFC3E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0.212</w:t>
            </w:r>
            <w:r w:rsidRPr="008C4CC5">
              <w:rPr>
                <w:rFonts w:ascii="Segoe UI" w:hAnsi="Segoe UI" w:cs="Segoe UI"/>
                <w:color w:val="333333"/>
                <w:sz w:val="18"/>
                <w:szCs w:val="18"/>
                <w:lang w:val="en-US" w:eastAsia="en-US" w:bidi="he-IL"/>
              </w:rPr>
              <w:br/>
              <w:t>(+0.298)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9BD33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1.535</w:t>
            </w:r>
            <w:r w:rsidRPr="008C4CC5">
              <w:rPr>
                <w:rFonts w:ascii="Segoe UI" w:hAnsi="Segoe UI" w:cs="Segoe UI"/>
                <w:color w:val="333333"/>
                <w:sz w:val="18"/>
                <w:szCs w:val="18"/>
                <w:lang w:val="en-US" w:eastAsia="en-US" w:bidi="he-IL"/>
              </w:rPr>
              <w:br/>
              <w:t>(+0.114)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03557F"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0.236</w:t>
            </w:r>
            <w:r w:rsidRPr="008C4CC5">
              <w:rPr>
                <w:rFonts w:ascii="Segoe UI" w:hAnsi="Segoe UI" w:cs="Segoe UI"/>
                <w:color w:val="333333"/>
                <w:sz w:val="18"/>
                <w:szCs w:val="18"/>
                <w:lang w:val="en-US" w:eastAsia="en-US" w:bidi="he-IL"/>
              </w:rPr>
              <w:br/>
              <w:t>(+0.088)</w:t>
            </w:r>
          </w:p>
        </w:tc>
      </w:tr>
      <w:tr w:rsidR="008C4CC5" w:rsidRPr="008C4CC5" w14:paraId="502AB5DD" w14:textId="77777777" w:rsidTr="003A6F31">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53AD3BF4"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37E1ED56"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18.158***</w:t>
            </w:r>
            <w:r w:rsidRPr="008C4CC5">
              <w:rPr>
                <w:rFonts w:ascii="Segoe UI" w:hAnsi="Segoe UI" w:cs="Segoe UI"/>
                <w:color w:val="333333"/>
                <w:sz w:val="18"/>
                <w:szCs w:val="18"/>
                <w:lang w:val="en-US" w:eastAsia="en-US" w:bidi="he-IL"/>
              </w:rPr>
              <w:br/>
              <w:t>(+0.557)</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715AD315"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1.629</w:t>
            </w:r>
            <w:r w:rsidRPr="008C4CC5">
              <w:rPr>
                <w:rFonts w:ascii="Segoe UI" w:hAnsi="Segoe UI" w:cs="Segoe UI"/>
                <w:color w:val="333333"/>
                <w:sz w:val="18"/>
                <w:szCs w:val="18"/>
                <w:lang w:val="en-US" w:eastAsia="en-US" w:bidi="he-IL"/>
              </w:rPr>
              <w:br/>
              <w:t>(-0.186)</w:t>
            </w:r>
          </w:p>
        </w:tc>
        <w:tc>
          <w:tcPr>
            <w:tcW w:w="0" w:type="auto"/>
            <w:tcBorders>
              <w:top w:val="single" w:sz="6" w:space="0" w:color="D3D3D3"/>
              <w:left w:val="nil"/>
              <w:bottom w:val="single" w:sz="4" w:space="0" w:color="BFBFBF" w:themeColor="background1" w:themeShade="BF"/>
              <w:right w:val="nil"/>
            </w:tcBorders>
            <w:tcMar>
              <w:top w:w="120" w:type="dxa"/>
              <w:left w:w="75" w:type="dxa"/>
              <w:bottom w:w="120" w:type="dxa"/>
              <w:right w:w="75" w:type="dxa"/>
            </w:tcMar>
            <w:vAlign w:val="center"/>
            <w:hideMark/>
          </w:tcPr>
          <w:p w14:paraId="4460BA79"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0.328</w:t>
            </w:r>
            <w:r w:rsidRPr="008C4CC5">
              <w:rPr>
                <w:rFonts w:ascii="Segoe UI" w:hAnsi="Segoe UI" w:cs="Segoe UI"/>
                <w:color w:val="333333"/>
                <w:sz w:val="18"/>
                <w:szCs w:val="18"/>
                <w:lang w:val="en-US" w:eastAsia="en-US" w:bidi="he-IL"/>
              </w:rPr>
              <w:br/>
              <w:t>(+0.182)</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4DDE98E3"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0.183</w:t>
            </w:r>
            <w:r w:rsidRPr="008C4CC5">
              <w:rPr>
                <w:rFonts w:ascii="Segoe UI" w:hAnsi="Segoe UI" w:cs="Segoe UI"/>
                <w:color w:val="333333"/>
                <w:sz w:val="18"/>
                <w:szCs w:val="18"/>
                <w:lang w:val="en-US" w:eastAsia="en-US" w:bidi="he-IL"/>
              </w:rPr>
              <w:br/>
              <w:t>(-0.067)</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6F9C09A3"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0.109</w:t>
            </w:r>
            <w:r w:rsidRPr="008C4CC5">
              <w:rPr>
                <w:rFonts w:ascii="Segoe UI" w:hAnsi="Segoe UI" w:cs="Segoe UI"/>
                <w:color w:val="333333"/>
                <w:sz w:val="18"/>
                <w:szCs w:val="18"/>
                <w:lang w:val="en-US" w:eastAsia="en-US" w:bidi="he-IL"/>
              </w:rPr>
              <w:br/>
              <w:t>(-0.059)</w:t>
            </w:r>
          </w:p>
        </w:tc>
      </w:tr>
      <w:tr w:rsidR="008C4CC5" w:rsidRPr="008C4CC5" w14:paraId="529288BA" w14:textId="77777777" w:rsidTr="008C4CC5">
        <w:tc>
          <w:tcPr>
            <w:tcW w:w="0" w:type="auto"/>
            <w:gridSpan w:val="6"/>
            <w:tcBorders>
              <w:top w:val="single" w:sz="4" w:space="0" w:color="BFBFBF" w:themeColor="background1" w:themeShade="BF"/>
              <w:left w:val="nil"/>
              <w:bottom w:val="single" w:sz="4" w:space="0" w:color="000000"/>
              <w:right w:val="nil"/>
            </w:tcBorders>
            <w:shd w:val="clear" w:color="auto" w:fill="FFFFFF"/>
            <w:tcMar>
              <w:top w:w="60" w:type="dxa"/>
              <w:left w:w="75" w:type="dxa"/>
              <w:bottom w:w="60" w:type="dxa"/>
              <w:right w:w="75" w:type="dxa"/>
            </w:tcMar>
            <w:vAlign w:val="center"/>
            <w:hideMark/>
          </w:tcPr>
          <w:p w14:paraId="118FBEAC" w14:textId="77777777" w:rsidR="008C4CC5" w:rsidRPr="008C4CC5" w:rsidRDefault="008C4CC5" w:rsidP="008C4CC5">
            <w:pPr>
              <w:spacing w:line="240" w:lineRule="auto"/>
              <w:rPr>
                <w:rFonts w:ascii="Segoe UI" w:hAnsi="Segoe UI" w:cs="Segoe UI"/>
                <w:color w:val="333333"/>
                <w:sz w:val="16"/>
                <w:szCs w:val="16"/>
                <w:lang w:val="en-US" w:eastAsia="en-US"/>
              </w:rPr>
            </w:pPr>
            <w:r w:rsidRPr="008C4CC5">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4B2F2D3D" w14:textId="13C332BD" w:rsidR="004810BA" w:rsidRPr="009D1439" w:rsidRDefault="004810BA" w:rsidP="008C4CC5">
      <w:pPr>
        <w:pStyle w:val="Newparagraph"/>
        <w:spacing w:before="240"/>
        <w:rPr>
          <w:rFonts w:asciiTheme="majorBidi" w:hAnsiTheme="majorBidi" w:cstheme="majorBidi"/>
          <w:shd w:val="clear" w:color="auto" w:fill="FFFFFF"/>
          <w:lang w:val="en-US"/>
        </w:rPr>
      </w:pPr>
      <w:r w:rsidRPr="004810BA">
        <w:rPr>
          <w:rFonts w:asciiTheme="majorBidi" w:hAnsiTheme="majorBidi" w:cstheme="majorBidi"/>
          <w:shd w:val="clear" w:color="auto" w:fill="FFFFFF"/>
          <w:lang w:val="en-US"/>
        </w:rPr>
        <w:t>These findings provide compelling evidence for all three hypotheses, particularly the third</w:t>
      </w:r>
      <w:r w:rsidR="006A282B">
        <w:rPr>
          <w:rFonts w:asciiTheme="majorBidi" w:hAnsiTheme="majorBidi" w:cstheme="majorBidi"/>
          <w:shd w:val="clear" w:color="auto" w:fill="FFFFFF"/>
          <w:lang w:val="en-US"/>
        </w:rPr>
        <w:t xml:space="preserve"> (H3)</w:t>
      </w:r>
      <w:r w:rsidRPr="004810BA">
        <w:rPr>
          <w:rFonts w:asciiTheme="majorBidi" w:hAnsiTheme="majorBidi" w:cstheme="majorBidi"/>
          <w:shd w:val="clear" w:color="auto" w:fill="FFFFFF"/>
          <w:lang w:val="en-US"/>
        </w:rPr>
        <w:t>. The emergence of significant volatility in the Social dimension among extremists—contrasted with the absolute stability of the general public—proves that analyzing the more extreme part of the population reveals radicalization processes that the aggregate mean obscures. This supports the contention that security threats act as a primary catalyst for multidimensional extremism, moving beyond ideology to trigger social intolerance and behavioral support for violence. The amplified F-statistics in the extremist model, despite the smaller sample size, underscore that socio-political events disproportionately affect those already situated at the population</w:t>
      </w:r>
      <w:r w:rsidR="00AC22B3">
        <w:rPr>
          <w:rFonts w:asciiTheme="majorBidi" w:hAnsiTheme="majorBidi" w:cstheme="majorBidi"/>
          <w:shd w:val="clear" w:color="auto" w:fill="FFFFFF"/>
          <w:lang w:val="en-US"/>
        </w:rPr>
        <w:t>’</w:t>
      </w:r>
      <w:r w:rsidRPr="004810BA">
        <w:rPr>
          <w:rFonts w:asciiTheme="majorBidi" w:hAnsiTheme="majorBidi" w:cstheme="majorBidi"/>
          <w:shd w:val="clear" w:color="auto" w:fill="FFFFFF"/>
          <w:lang w:val="en-US"/>
        </w:rPr>
        <w:t xml:space="preserve">s edge, validating the </w:t>
      </w:r>
      <w:r w:rsidRPr="004810BA">
        <w:rPr>
          <w:rFonts w:asciiTheme="majorBidi" w:hAnsiTheme="majorBidi" w:cstheme="majorBidi"/>
          <w:shd w:val="clear" w:color="auto" w:fill="FFFFFF"/>
          <w:lang w:val="en-US"/>
        </w:rPr>
        <w:lastRenderedPageBreak/>
        <w:t>necessity of a threshold-based framework for a nuanced understanding of political radicalization.</w:t>
      </w:r>
    </w:p>
    <w:p w14:paraId="4BA3015F" w14:textId="18A121C8" w:rsidR="001D5B55" w:rsidRDefault="00BD2FEB" w:rsidP="004074B0">
      <w:pPr>
        <w:pStyle w:val="Heading2"/>
      </w:pPr>
      <w:r>
        <w:t>Dynamics of Political Extremism</w:t>
      </w:r>
    </w:p>
    <w:bookmarkStart w:id="31" w:name="_Ref207305302"/>
    <w:p w14:paraId="5180838F" w14:textId="1D627B9C" w:rsidR="007A13C8" w:rsidRDefault="007A13C8" w:rsidP="007A13C8">
      <w:pPr>
        <w:pStyle w:val="Paragraph"/>
      </w:pPr>
      <w:r>
        <w:fldChar w:fldCharType="begin"/>
      </w:r>
      <w:r>
        <w:instrText xml:space="preserve"> REF _Ref217826120 \h </w:instrText>
      </w:r>
      <w:r>
        <w:fldChar w:fldCharType="separate"/>
      </w:r>
      <w:r w:rsidR="00C30B96">
        <w:t xml:space="preserve">Figure </w:t>
      </w:r>
      <w:r w:rsidR="00C30B96">
        <w:rPr>
          <w:noProof/>
        </w:rPr>
        <w:t>4</w:t>
      </w:r>
      <w:r>
        <w:fldChar w:fldCharType="end"/>
      </w:r>
      <w:r>
        <w:t xml:space="preserve"> </w:t>
      </w:r>
      <w:r w:rsidRPr="007A13C8">
        <w:t>show</w:t>
      </w:r>
      <w:r w:rsidR="003354BB">
        <w:t>s</w:t>
      </w:r>
      <w:r w:rsidRPr="007A13C8">
        <w:t xml:space="preserve"> </w:t>
      </w:r>
      <w:r w:rsidR="003354BB">
        <w:t>the dynamics of political extremism across the six waves by examining</w:t>
      </w:r>
      <w:r>
        <w:t xml:space="preserve"> the Extremism Level (EL) and Extremism Intensity (EIN) gauge indices for all three political extremism dimensions, as well as the relative size of the highly extreme segment (ER3), characterized by extremity across</w:t>
      </w:r>
      <w:r w:rsidRPr="007A13C8">
        <w:t xml:space="preserve"> all dimensions concurrently. </w:t>
      </w:r>
      <w:r w:rsidR="009549FE">
        <w:t>S</w:t>
      </w:r>
      <w:r w:rsidRPr="007A13C8">
        <w:t xml:space="preserve">eparate analyses </w:t>
      </w:r>
      <w:r w:rsidR="009549FE">
        <w:t>explore</w:t>
      </w:r>
      <w:r w:rsidRPr="007A13C8">
        <w:t xml:space="preserve"> each political orientation </w:t>
      </w:r>
      <w:r w:rsidR="009549FE">
        <w:t>and</w:t>
      </w:r>
      <w:r w:rsidRPr="007A13C8">
        <w:t xml:space="preserve"> </w:t>
      </w:r>
      <w:r w:rsidR="003354BB">
        <w:t>its</w:t>
      </w:r>
      <w:r w:rsidRPr="007A13C8">
        <w:t xml:space="preserve"> respective </w:t>
      </w:r>
      <w:r>
        <w:t>impact</w:t>
      </w:r>
      <w:r w:rsidRPr="007A13C8">
        <w:t>.</w:t>
      </w:r>
    </w:p>
    <w:p w14:paraId="6D765842" w14:textId="36639FCE" w:rsidR="006D5677" w:rsidRDefault="007A13C8" w:rsidP="003354BB">
      <w:pPr>
        <w:pStyle w:val="Newparagraph"/>
      </w:pPr>
      <w:r w:rsidRPr="007A13C8">
        <w:t xml:space="preserve"> </w:t>
      </w:r>
      <w:r w:rsidR="00C73660" w:rsidRPr="00C73660">
        <w:rPr>
          <w:lang w:val="en-US"/>
        </w:rPr>
        <w:t xml:space="preserve">Evidence for H1 is particularly striking in the differential dimensional responses within political groups. For instance, following the fall of the Bennett Government (Wave 2 to Wave 3), left-wing respondents exhibited a massive </w:t>
      </w:r>
      <w:r w:rsidR="00C73660">
        <w:rPr>
          <w:lang w:val="en-US"/>
        </w:rPr>
        <w:t xml:space="preserve">surge in cognitive extremism </w:t>
      </w:r>
      <w:r w:rsidR="00C73660" w:rsidRPr="00C73660">
        <w:rPr>
          <w:lang w:val="en-US"/>
        </w:rPr>
        <w:t>from 46.53% to 61.81%</w:t>
      </w:r>
      <w:r w:rsidR="00C73660">
        <w:rPr>
          <w:lang w:val="en-US"/>
        </w:rPr>
        <w:t>. In comparison,</w:t>
      </w:r>
      <w:r w:rsidR="00C73660" w:rsidRPr="00C73660">
        <w:rPr>
          <w:lang w:val="en-US"/>
        </w:rPr>
        <w:t xml:space="preserve"> behavioral extremism showed a much smaller increase from 20.00% to 23.61%. During the October 7 crisis (Wave 6), left-wing behavioral extremism peaked at 39.11% with a notable intensity escalation from 2.31 to 2.90</w:t>
      </w:r>
      <w:r w:rsidR="00C73660">
        <w:rPr>
          <w:lang w:val="en-US"/>
        </w:rPr>
        <w:t>. In contrast, cognitive</w:t>
      </w:r>
      <w:r w:rsidR="00C73660" w:rsidRPr="00C73660">
        <w:rPr>
          <w:lang w:val="en-US"/>
        </w:rPr>
        <w:t xml:space="preserve"> increases were more moderate, rising from 43.15% to 49.72% with a stable intensity. The social dimension followed the most distinct trajectory, remaining consistently low among left-wing respondents and even reaching 0.00% during the Judicial Reform period (Wave 4), contrasting sharply with right-wing social </w:t>
      </w:r>
      <w:r w:rsidR="00C73660">
        <w:rPr>
          <w:lang w:val="en-US"/>
        </w:rPr>
        <w:t>extremism</w:t>
      </w:r>
      <w:r w:rsidR="00C73660" w:rsidRPr="00C73660">
        <w:rPr>
          <w:lang w:val="en-US"/>
        </w:rPr>
        <w:t>, which remained above 22.7% throughout all waves.</w:t>
      </w:r>
      <w:r w:rsidR="003354BB">
        <w:rPr>
          <w:lang w:val="en-US"/>
        </w:rPr>
        <w:t xml:space="preserve"> </w:t>
      </w:r>
      <w:r w:rsidR="00C73660" w:rsidRPr="00C73660">
        <w:rPr>
          <w:lang w:val="en-US"/>
        </w:rPr>
        <w:t xml:space="preserve">Support for H2 emerges through systematically different responses across political orientations to identical events. The Judicial Reform (Wave 3 to Wave 4) drove center-wing cognitive extremism from 14.07% to 19.10%, while right-wing cognitive extremism remained nearly stable, moving only from 13.64% to 14.05%. Similarly, the Gallant Dismissal (Wave 4 to Wave 5) triggered a dramatic </w:t>
      </w:r>
      <w:r w:rsidR="00C73660">
        <w:rPr>
          <w:lang w:val="en-US"/>
        </w:rPr>
        <w:t xml:space="preserve">collapse in left-wing cognitive extremism from 60.45% to 43.15%, while right-wing behavioral extremism </w:t>
      </w:r>
      <w:r w:rsidR="00C73660" w:rsidRPr="00C73660">
        <w:rPr>
          <w:lang w:val="en-US"/>
        </w:rPr>
        <w:t>increased from 27.86% to 29.93%.</w:t>
      </w:r>
      <w:r w:rsidR="006D5677">
        <w:br w:type="page"/>
      </w:r>
    </w:p>
    <w:p w14:paraId="413D7C19" w14:textId="7FE4D659" w:rsidR="004074B0" w:rsidRDefault="004074B0" w:rsidP="004074B0">
      <w:pPr>
        <w:pStyle w:val="Tabletitle"/>
      </w:pPr>
      <w:bookmarkStart w:id="32" w:name="_Ref217826120"/>
      <w:r>
        <w:lastRenderedPageBreak/>
        <w:t xml:space="preserve">Figure </w:t>
      </w:r>
      <w:fldSimple w:instr=" SEQ Figure \* ARABIC ">
        <w:r w:rsidR="00C30B96">
          <w:rPr>
            <w:noProof/>
          </w:rPr>
          <w:t>4</w:t>
        </w:r>
      </w:fldSimple>
      <w:bookmarkEnd w:id="31"/>
      <w:bookmarkEnd w:id="32"/>
      <w:r>
        <w:rPr>
          <w:lang w:val="en-US"/>
        </w:rPr>
        <w:t>: Longitudinal analysis of political extremism indices</w:t>
      </w:r>
    </w:p>
    <w:p w14:paraId="02D237E6" w14:textId="20E26498" w:rsidR="004074B0" w:rsidRDefault="00C73660" w:rsidP="004074B0">
      <w:pPr>
        <w:jc w:val="center"/>
        <w:rPr>
          <w:lang w:val="en-US"/>
        </w:rPr>
      </w:pPr>
      <w:r>
        <w:rPr>
          <w:noProof/>
        </w:rPr>
        <w:drawing>
          <wp:inline distT="0" distB="0" distL="0" distR="0" wp14:anchorId="6E3BFF9F" wp14:editId="6205DDAA">
            <wp:extent cx="4940300" cy="8521065"/>
            <wp:effectExtent l="0" t="0" r="0" b="0"/>
            <wp:docPr id="565077225" name="Picture 1" descr="A graph of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77225" name="Picture 1" descr="A graph of lines and numbers&#10;&#10;AI-generated content may be incorrect."/>
                    <pic:cNvPicPr>
                      <a:picLocks noChangeAspect="1" noChangeArrowheads="1"/>
                    </pic:cNvPicPr>
                  </pic:nvPicPr>
                  <pic:blipFill rotWithShape="1">
                    <a:blip r:embed="rId12" cstate="hqprint">
                      <a:extLst>
                        <a:ext uri="{28A0092B-C50C-407E-A947-70E740481C1C}">
                          <a14:useLocalDpi xmlns:a14="http://schemas.microsoft.com/office/drawing/2010/main" val="0"/>
                        </a:ext>
                      </a:extLst>
                    </a:blip>
                    <a:srcRect t="4177"/>
                    <a:stretch>
                      <a:fillRect/>
                    </a:stretch>
                  </pic:blipFill>
                  <pic:spPr bwMode="auto">
                    <a:xfrm>
                      <a:off x="0" y="0"/>
                      <a:ext cx="4940300" cy="8521065"/>
                    </a:xfrm>
                    <a:prstGeom prst="rect">
                      <a:avLst/>
                    </a:prstGeom>
                    <a:noFill/>
                    <a:ln>
                      <a:noFill/>
                    </a:ln>
                    <a:extLst>
                      <a:ext uri="{53640926-AAD7-44D8-BBD7-CCE9431645EC}">
                        <a14:shadowObscured xmlns:a14="http://schemas.microsoft.com/office/drawing/2010/main"/>
                      </a:ext>
                    </a:extLst>
                  </pic:spPr>
                </pic:pic>
              </a:graphicData>
            </a:graphic>
          </wp:inline>
        </w:drawing>
      </w:r>
    </w:p>
    <w:p w14:paraId="5F081CEC" w14:textId="234D7F6F" w:rsidR="00C73660" w:rsidRPr="00C73660" w:rsidRDefault="00C73660" w:rsidP="00C73660">
      <w:pPr>
        <w:pStyle w:val="Newparagraph"/>
        <w:rPr>
          <w:lang w:val="en-US"/>
        </w:rPr>
      </w:pPr>
      <w:r w:rsidRPr="00C73660">
        <w:rPr>
          <w:lang w:val="en-US"/>
        </w:rPr>
        <w:lastRenderedPageBreak/>
        <w:t xml:space="preserve">The ER2 multidimensional extremism trajectories provide the most compelling evidence for H3. This index reveals a significant divergence in how extremism consolidates across the political spectrum. Right-wing ER2 levels show a steady decline throughout the research period, dropping from a high of 20.43% in the second wave to 11.49% in the final wave. In contrast, left-wing and center-wing groups experienced a peak in multidimensional extremism during the Gallant Dismissal (Wave 5), reaching 18.55% and 8.38% respectively. This suggests that while right-wing extremism gradually </w:t>
      </w:r>
      <w:r>
        <w:rPr>
          <w:lang w:val="en-US"/>
        </w:rPr>
        <w:t>de-consolidates</w:t>
      </w:r>
      <w:r w:rsidRPr="00C73660">
        <w:rPr>
          <w:lang w:val="en-US"/>
        </w:rPr>
        <w:t>, left-wing and center-wing extremism are increasingly likely to manifest in at least two dimensions simultaneously when triggered by specific political crises.</w:t>
      </w:r>
    </w:p>
    <w:p w14:paraId="554A8404" w14:textId="03033289" w:rsidR="00C73660" w:rsidRPr="00C73660" w:rsidRDefault="00C73660" w:rsidP="00C73660">
      <w:pPr>
        <w:pStyle w:val="Newparagraph"/>
        <w:rPr>
          <w:lang w:val="en-US"/>
        </w:rPr>
      </w:pPr>
      <w:r w:rsidRPr="00C73660">
        <w:rPr>
          <w:lang w:val="en-US"/>
        </w:rPr>
        <w:t xml:space="preserve">The extremism intensity (EIN) analysis reveals that while political events dramatically influence the proportion of citizens embracing extremist positions (the extensive margin), they have a much smaller impact on the severity of beliefs among those already radicalized (the intensive margin). Across most dimensions, intensity variations remain remarkably compressed. Cognitive intensity </w:t>
      </w:r>
      <w:r>
        <w:rPr>
          <w:lang w:val="en-US"/>
        </w:rPr>
        <w:t>ranged from</w:t>
      </w:r>
      <w:r w:rsidRPr="00C73660">
        <w:rPr>
          <w:lang w:val="en-US"/>
        </w:rPr>
        <w:t xml:space="preserve"> roughly 0.6 to 0.9 points despite large fluctuations in extremism levels. Social intensity variations were even </w:t>
      </w:r>
      <w:r>
        <w:rPr>
          <w:lang w:val="en-US"/>
        </w:rPr>
        <w:t>more minor</w:t>
      </w:r>
      <w:r w:rsidRPr="00C73660">
        <w:rPr>
          <w:lang w:val="en-US"/>
        </w:rPr>
        <w:t xml:space="preserve">, staying within a narrow band of </w:t>
      </w:r>
      <w:r>
        <w:rPr>
          <w:lang w:val="en-US"/>
        </w:rPr>
        <w:t>approximately</w:t>
      </w:r>
      <w:r w:rsidRPr="00C73660">
        <w:rPr>
          <w:lang w:val="en-US"/>
        </w:rPr>
        <w:t xml:space="preserve"> 0.2 to 0.4 points. This indicates that extremism operates primarily through recruitment and demobilization—pulling people across the threshold—rather than the progressive intensification of beliefs for those already there.</w:t>
      </w:r>
    </w:p>
    <w:p w14:paraId="26B77814" w14:textId="146DF9EB" w:rsidR="00C73660" w:rsidRDefault="00C73660" w:rsidP="00C73660">
      <w:pPr>
        <w:pStyle w:val="Newparagraph"/>
        <w:rPr>
          <w:lang w:val="en-US"/>
        </w:rPr>
      </w:pPr>
      <w:r w:rsidRPr="00C73660">
        <w:rPr>
          <w:lang w:val="en-US"/>
        </w:rPr>
        <w:t xml:space="preserve">The notable exception is left-wing behavioral intensity, which increased from 2.31 to 2.90 following October 7. This suggests that while most extremism dimensions function through binary activation processes, external security threats may uniquely deepen violence-oriented inclinations among progressive extremists. Overall, these patterns demonstrate that the dramatic </w:t>
      </w:r>
      <w:r>
        <w:rPr>
          <w:lang w:val="en-US"/>
        </w:rPr>
        <w:t>changes in extremism levels reflect shifts in the size of the extremist group rather than changes in the depth of radicalization</w:t>
      </w:r>
      <w:r w:rsidRPr="00C73660">
        <w:rPr>
          <w:lang w:val="en-US"/>
        </w:rPr>
        <w:t xml:space="preserve">. Political </w:t>
      </w:r>
      <w:r w:rsidRPr="00C73660">
        <w:rPr>
          <w:lang w:val="en-US"/>
        </w:rPr>
        <w:lastRenderedPageBreak/>
        <w:t>events mobilize latent attitudes rather than progressively radicalizing moderate positions, which has important implications for how crises expand extremist movements.</w:t>
      </w:r>
    </w:p>
    <w:p w14:paraId="4964A9E1" w14:textId="77777777" w:rsidR="00A30B3B" w:rsidRDefault="00A30B3B" w:rsidP="00A30B3B">
      <w:pPr>
        <w:pStyle w:val="Heading2"/>
      </w:pPr>
      <w:r>
        <w:t>Characteristics of the Extremist Population</w:t>
      </w:r>
    </w:p>
    <w:p w14:paraId="232123BC" w14:textId="2CE99B88" w:rsidR="00A30B3B" w:rsidRDefault="009549FE" w:rsidP="00DC2F34">
      <w:pPr>
        <w:pStyle w:val="Paragraph"/>
      </w:pPr>
      <w:r>
        <w:t>The research examined the</w:t>
      </w:r>
      <w:r w:rsidR="00A30B3B">
        <w:rPr>
          <w:lang w:val="en-US"/>
        </w:rPr>
        <w:t xml:space="preserve"> characteristics</w:t>
      </w:r>
      <w:r>
        <w:rPr>
          <w:lang w:val="en-US"/>
        </w:rPr>
        <w:t xml:space="preserve"> (political orientation, outgroup, gender, and age)</w:t>
      </w:r>
      <w:r w:rsidR="00A30B3B">
        <w:rPr>
          <w:lang w:val="en-US"/>
        </w:rPr>
        <w:t xml:space="preserve"> of the more extremist population group, which had at least two dimensions with scores above the extremism threshold (EP). </w:t>
      </w:r>
      <w:r w:rsidR="00A30B3B" w:rsidRPr="00A30B3B">
        <w:t xml:space="preserve">The most striking trend is the shift in the political identity of ER2 extremists. In the first three waves, the right-wing heavily dominates this group, peaking at </w:t>
      </w:r>
      <w:r w:rsidR="00A30B3B" w:rsidRPr="00A30B3B">
        <w:rPr>
          <w:b/>
          <w:bCs/>
        </w:rPr>
        <w:t>82.27%</w:t>
      </w:r>
      <w:r w:rsidR="00A30B3B" w:rsidRPr="00A30B3B">
        <w:t xml:space="preserve"> in the second wave. However, starting with the Judicial Reform (Wave 4), this dominance drops sharply to </w:t>
      </w:r>
      <w:r w:rsidR="00A30B3B" w:rsidRPr="00A30B3B">
        <w:rPr>
          <w:b/>
          <w:bCs/>
        </w:rPr>
        <w:t>58.42%</w:t>
      </w:r>
      <w:r w:rsidR="00A30B3B" w:rsidRPr="00A30B3B">
        <w:t xml:space="preserve"> and stays below 60% thereafter. Simultaneously, the left-wing presence in the ER2 group nearly doubles, rising from </w:t>
      </w:r>
      <w:r w:rsidR="00A30B3B" w:rsidRPr="00A30B3B">
        <w:rPr>
          <w:b/>
          <w:bCs/>
        </w:rPr>
        <w:t>10.45%</w:t>
      </w:r>
      <w:r w:rsidR="00A30B3B" w:rsidRPr="00A30B3B">
        <w:t xml:space="preserve"> to a peak of </w:t>
      </w:r>
      <w:r w:rsidR="00A30B3B" w:rsidRPr="00A30B3B">
        <w:rPr>
          <w:b/>
          <w:bCs/>
        </w:rPr>
        <w:t>22.89%</w:t>
      </w:r>
      <w:r w:rsidR="00A30B3B" w:rsidRPr="00A30B3B">
        <w:t xml:space="preserve"> by the fifth wave. This suggests that constitutional crises </w:t>
      </w:r>
      <w:r w:rsidR="00AC22B3">
        <w:t>“</w:t>
      </w:r>
      <w:r w:rsidR="00A30B3B" w:rsidRPr="00A30B3B">
        <w:t>recruit</w:t>
      </w:r>
      <w:r w:rsidR="00AC22B3">
        <w:t>”</w:t>
      </w:r>
      <w:r w:rsidR="00A30B3B" w:rsidRPr="00A30B3B">
        <w:t xml:space="preserve"> individuals from the left and center into multidimensional extremism, making the extreme tail more politically diverse over time.</w:t>
      </w:r>
    </w:p>
    <w:p w14:paraId="689F2AB2" w14:textId="7164A218" w:rsidR="00A30B3B" w:rsidRDefault="00A30B3B" w:rsidP="00A30B3B">
      <w:pPr>
        <w:pStyle w:val="Newparagraph"/>
      </w:pPr>
      <w:r>
        <w:t>Intolerance toward Israeli Arabs within the ER2 population shows a clear reactive pattern to security vs. political threats. In the second wave (Inland Terror), over half of the ER2 population (</w:t>
      </w:r>
      <w:r>
        <w:rPr>
          <w:b/>
          <w:bCs/>
        </w:rPr>
        <w:t>52.27%</w:t>
      </w:r>
      <w:r>
        <w:t xml:space="preserve">) identified Israeli Arabs as their least-liked group, compared to only </w:t>
      </w:r>
      <w:r>
        <w:rPr>
          <w:b/>
          <w:bCs/>
        </w:rPr>
        <w:t>33.62%</w:t>
      </w:r>
      <w:r>
        <w:t xml:space="preserve"> of the general population. This figure dropped significantly during the Judicial Reform and Gallant Dismissal (Waves 4 and 5) as political outgroups became more salient. However, it surged back to </w:t>
      </w:r>
      <w:r>
        <w:rPr>
          <w:b/>
          <w:bCs/>
        </w:rPr>
        <w:t>37.88%</w:t>
      </w:r>
      <w:r>
        <w:t xml:space="preserve"> following the October 7 </w:t>
      </w:r>
      <w:r w:rsidR="00AC22B3">
        <w:t>w</w:t>
      </w:r>
      <w:r>
        <w:t>ar. This highlights how security threats refocus extremist hostility toward ethnic outgroups, while political crises temporarily diffuse that focus.</w:t>
      </w:r>
    </w:p>
    <w:p w14:paraId="44FAB732" w14:textId="032ECAAF" w:rsidR="00A30B3B" w:rsidRDefault="00A30B3B" w:rsidP="00A30B3B">
      <w:pPr>
        <w:pStyle w:val="Newparagraph"/>
      </w:pPr>
      <w:r>
        <w:t xml:space="preserve">There is a profound gap between support for violence against the state </w:t>
      </w:r>
      <w:r w:rsidR="00C16BE0">
        <w:t>and</w:t>
      </w:r>
      <w:r>
        <w:t xml:space="preserve"> the outgroup. While the ER2 population shows relatively low support for attacking state institutions (peaking at </w:t>
      </w:r>
      <w:r>
        <w:rPr>
          <w:b/>
          <w:bCs/>
        </w:rPr>
        <w:t>1.93</w:t>
      </w:r>
      <w:r>
        <w:t xml:space="preserve">), their support for violence against their outgroup is extreme, reaching </w:t>
      </w:r>
      <w:r>
        <w:rPr>
          <w:b/>
          <w:bCs/>
        </w:rPr>
        <w:t>6.86</w:t>
      </w:r>
      <w:r>
        <w:t xml:space="preserve"> in the second wave. Even at its lowest point in the fifth wave (</w:t>
      </w:r>
      <w:r>
        <w:rPr>
          <w:b/>
          <w:bCs/>
        </w:rPr>
        <w:t>4.46</w:t>
      </w:r>
      <w:r>
        <w:t xml:space="preserve">), it </w:t>
      </w:r>
      <w:r>
        <w:lastRenderedPageBreak/>
        <w:t xml:space="preserve">remains significantly higher than any other violence metric. This indicates that multidimensional extremism in this context is primarily </w:t>
      </w:r>
      <w:r w:rsidR="00AC22B3">
        <w:t>“</w:t>
      </w:r>
      <w:r>
        <w:t>horizontal</w:t>
      </w:r>
      <w:r w:rsidR="00AC22B3">
        <w:t>”</w:t>
      </w:r>
      <w:r>
        <w:t xml:space="preserve"> (</w:t>
      </w:r>
      <w:r w:rsidR="00AC22B3">
        <w:t>targeting different social groups) rather than “vertical” (targeting</w:t>
      </w:r>
      <w:r>
        <w:t xml:space="preserve"> the state regime).</w:t>
      </w:r>
    </w:p>
    <w:p w14:paraId="654B256A" w14:textId="61709654" w:rsidR="00A30B3B" w:rsidRDefault="00A30B3B" w:rsidP="00A30B3B">
      <w:pPr>
        <w:pStyle w:val="Newparagraph"/>
      </w:pPr>
      <w:r w:rsidRPr="00A30B3B">
        <w:t xml:space="preserve">The gender distribution within the ER2 group remains consistently skewed toward men when compared to the general population. While the overall population is split evenly at approximately 50%, the ER2 group is heavily </w:t>
      </w:r>
      <w:proofErr w:type="gramStart"/>
      <w:r w:rsidRPr="00A30B3B">
        <w:t>male-dominated</w:t>
      </w:r>
      <w:proofErr w:type="gramEnd"/>
      <w:r w:rsidRPr="00A30B3B">
        <w:t xml:space="preserve">, reaching 66.04% in the third wave. Even as the political orientation of this group shifted and the total number of extremists </w:t>
      </w:r>
      <w:r>
        <w:t>fluctuated, the male majority remained robust, never falling</w:t>
      </w:r>
      <w:r w:rsidRPr="00A30B3B">
        <w:t xml:space="preserve"> below 56%. </w:t>
      </w:r>
    </w:p>
    <w:p w14:paraId="70791F42" w14:textId="085A022F" w:rsidR="00A30B3B" w:rsidRPr="00C73660" w:rsidRDefault="00A30B3B" w:rsidP="00A30B3B">
      <w:pPr>
        <w:pStyle w:val="Newparagraph"/>
        <w:rPr>
          <w:lang w:val="en-US"/>
        </w:rPr>
      </w:pPr>
      <w:r>
        <w:t>Finally, the age of the ER2 population reveals a significant shift in the demographic profile of multidimensional extremists as destabilizing events progressed. In the initial waves, the extreme tail was younger than the general population, with a median age of 36.00 in the first wave. However, the median age increased steadily during the later periods, jumping from 37.50 during the fall of the government to 43.00 during the Judicial Reform. This demographic aging peaked after the October 7th War, where the median age of ER2 extremists reached 49.00, surpassing the general population median of 47.00. These findings suggest that while initial extremism may have been more prevalent among younger individuals, later constitutional crises and existential security threats radicalized older populations.</w:t>
      </w:r>
    </w:p>
    <w:p w14:paraId="1FA1C20C" w14:textId="46FDFFD6" w:rsidR="007B3779" w:rsidRDefault="007B3779" w:rsidP="007B3779">
      <w:pPr>
        <w:pStyle w:val="Heading2"/>
      </w:pPr>
      <w:r>
        <w:t>Robustness</w:t>
      </w:r>
      <w:r w:rsidR="00F35F2C">
        <w:t xml:space="preserve"> Analysis</w:t>
      </w:r>
    </w:p>
    <w:p w14:paraId="4B217433" w14:textId="1F6AE94D" w:rsidR="00F35F2C" w:rsidRDefault="009549FE" w:rsidP="009549FE">
      <w:r>
        <w:t xml:space="preserve">The robustness tests evaluate </w:t>
      </w:r>
      <w:r w:rsidR="009E1884">
        <w:t xml:space="preserve">the </w:t>
      </w:r>
      <w:r w:rsidR="00C73660">
        <w:t>gauge</w:t>
      </w:r>
      <w:r w:rsidR="00AC22B3">
        <w:t>’</w:t>
      </w:r>
      <w:r w:rsidR="00C73660">
        <w:t xml:space="preserve">s ability to identify the more extreme group </w:t>
      </w:r>
      <w:r>
        <w:t xml:space="preserve">and </w:t>
      </w:r>
      <w:r w:rsidR="009E1884">
        <w:t xml:space="preserve">whether differences in demographic composition might confound </w:t>
      </w:r>
      <w:r>
        <w:t>the</w:t>
      </w:r>
      <w:r w:rsidR="009E1884">
        <w:t xml:space="preserve"> main results. </w:t>
      </w:r>
      <w:r>
        <w:t>A</w:t>
      </w:r>
      <w:r w:rsidR="00ED64E6">
        <w:t xml:space="preserve"> </w:t>
      </w:r>
      <w:r>
        <w:t>L</w:t>
      </w:r>
      <w:r w:rsidR="00ED64E6">
        <w:t xml:space="preserve">atent </w:t>
      </w:r>
      <w:r>
        <w:t>P</w:t>
      </w:r>
      <w:r w:rsidR="00ED64E6">
        <w:t xml:space="preserve">rofile </w:t>
      </w:r>
      <w:r>
        <w:t>A</w:t>
      </w:r>
      <w:r w:rsidR="00ED64E6">
        <w:t xml:space="preserve">nalysis </w:t>
      </w:r>
      <w:r>
        <w:t xml:space="preserve">(LPA) </w:t>
      </w:r>
      <w:r w:rsidR="00ED64E6">
        <w:t xml:space="preserve">revealed five distinct profiles along the dimensions of political extremism, achieving a strong classification quality with an entropy value of </w:t>
      </w:r>
      <w:r w:rsidR="00ED64E6">
        <w:lastRenderedPageBreak/>
        <w:t xml:space="preserve">0.754. </w:t>
      </w:r>
      <w:r>
        <w:fldChar w:fldCharType="begin"/>
      </w:r>
      <w:r>
        <w:instrText xml:space="preserve"> REF _Ref217851312 \h </w:instrText>
      </w:r>
      <w:r>
        <w:fldChar w:fldCharType="separate"/>
      </w:r>
      <w:r w:rsidR="00C30B96">
        <w:t xml:space="preserve">Table </w:t>
      </w:r>
      <w:r w:rsidR="00C30B96">
        <w:rPr>
          <w:noProof/>
        </w:rPr>
        <w:t>4</w:t>
      </w:r>
      <w:r>
        <w:fldChar w:fldCharType="end"/>
      </w:r>
      <w:r>
        <w:t xml:space="preserve"> </w:t>
      </w:r>
      <w:r w:rsidR="00ED64E6">
        <w:t>summarizes these findings,</w:t>
      </w:r>
      <w:r w:rsidR="00ED64E6">
        <w:rPr>
          <w:rStyle w:val="FootnoteReference"/>
          <w:rFonts w:asciiTheme="majorBidi" w:hAnsiTheme="majorBidi" w:cstheme="majorBidi"/>
          <w:shd w:val="clear" w:color="auto" w:fill="FFFFFF"/>
        </w:rPr>
        <w:footnoteReference w:id="7"/>
      </w:r>
      <w:r w:rsidR="00ED64E6" w:rsidRPr="00ED64E6">
        <w:t xml:space="preserve"> </w:t>
      </w:r>
      <w:r>
        <w:t>showing the average extremism scores for each profile dimension in the Cognitive, Behavioral, and Social columns</w:t>
      </w:r>
      <w:r w:rsidR="00ED64E6">
        <w:t>.</w:t>
      </w:r>
      <w:r>
        <w:t xml:space="preserve"> </w:t>
      </w:r>
      <w:r w:rsidR="00ED64E6">
        <w:t>Profile 3 emerged as the most extremist group, followed by Profile 1 as the second-most extremist, based on their dimension means. The ER1, ER2, and ER3 columns indicate what percentage of each profile</w:t>
      </w:r>
      <w:r w:rsidR="00707BC0">
        <w:t>’</w:t>
      </w:r>
      <w:r w:rsidR="00ED64E6">
        <w:t xml:space="preserve">s members fall into extremist-ranked categories according to these three indices. </w:t>
      </w:r>
      <w:bookmarkStart w:id="33" w:name="_Ref207312415"/>
    </w:p>
    <w:p w14:paraId="7E0A51FF" w14:textId="59E60698" w:rsidR="00DB0781" w:rsidRDefault="00DB0781" w:rsidP="00C73660">
      <w:pPr>
        <w:pStyle w:val="Tabletitle"/>
        <w:spacing w:before="0"/>
      </w:pPr>
      <w:bookmarkStart w:id="34" w:name="_Ref217851312"/>
      <w:r>
        <w:t xml:space="preserve">Table </w:t>
      </w:r>
      <w:fldSimple w:instr=" SEQ Table \* ARABIC ">
        <w:r w:rsidR="00C30B96">
          <w:rPr>
            <w:noProof/>
          </w:rPr>
          <w:t>4</w:t>
        </w:r>
      </w:fldSimple>
      <w:bookmarkEnd w:id="33"/>
      <w:bookmarkEnd w:id="34"/>
      <w:r>
        <w:rPr>
          <w:lang w:val="en-US"/>
        </w:rPr>
        <w:t>: Association</w:t>
      </w:r>
      <w:r w:rsidRPr="005F081A">
        <w:rPr>
          <w:lang w:val="en-US"/>
        </w:rPr>
        <w:t xml:space="preserve"> of latent profiles with the more extremist population</w:t>
      </w:r>
    </w:p>
    <w:tbl>
      <w:tblPr>
        <w:tblW w:w="8499" w:type="dxa"/>
        <w:tblBorders>
          <w:top w:val="single" w:sz="12" w:space="0" w:color="A8A8A8"/>
          <w:bottom w:val="single" w:sz="12" w:space="0" w:color="A8A8A8"/>
        </w:tblBorders>
        <w:shd w:val="clear" w:color="auto" w:fill="FFFFFF"/>
        <w:tblLayout w:type="fixed"/>
        <w:tblCellMar>
          <w:left w:w="0" w:type="dxa"/>
          <w:right w:w="0" w:type="dxa"/>
        </w:tblCellMar>
        <w:tblLook w:val="04A0" w:firstRow="1" w:lastRow="0" w:firstColumn="1" w:lastColumn="0" w:noHBand="0" w:noVBand="1"/>
      </w:tblPr>
      <w:tblGrid>
        <w:gridCol w:w="1080"/>
        <w:gridCol w:w="929"/>
        <w:gridCol w:w="1140"/>
        <w:gridCol w:w="1246"/>
        <w:gridCol w:w="973"/>
        <w:gridCol w:w="1164"/>
        <w:gridCol w:w="1044"/>
        <w:gridCol w:w="923"/>
      </w:tblGrid>
      <w:tr w:rsidR="00DB0781" w:rsidRPr="008C4CC5" w14:paraId="5EACA8D7" w14:textId="77777777" w:rsidTr="00DB0781">
        <w:trPr>
          <w:tblHeader/>
        </w:trPr>
        <w:tc>
          <w:tcPr>
            <w:tcW w:w="1080" w:type="dxa"/>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485E541F" w14:textId="6DE1524D" w:rsidR="00DB0781" w:rsidRPr="008C4CC5" w:rsidRDefault="00DB0781" w:rsidP="00DB0781">
            <w:pPr>
              <w:spacing w:line="240" w:lineRule="auto"/>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w:t>
            </w:r>
            <w:r w:rsidRPr="008C4CC5">
              <w:rPr>
                <w:rFonts w:ascii="Segoe UI" w:hAnsi="Segoe UI" w:cs="Segoe UI"/>
                <w:color w:val="333333"/>
                <w:sz w:val="18"/>
                <w:szCs w:val="18"/>
                <w:vertAlign w:val="superscript"/>
                <w:lang w:val="en-US" w:eastAsia="en-US" w:bidi="he-IL"/>
              </w:rPr>
              <w:t>2</w:t>
            </w:r>
          </w:p>
        </w:tc>
        <w:tc>
          <w:tcPr>
            <w:tcW w:w="929" w:type="dxa"/>
            <w:tcBorders>
              <w:top w:val="nil"/>
              <w:left w:val="nil"/>
              <w:bottom w:val="nil"/>
              <w:right w:val="nil"/>
            </w:tcBorders>
            <w:shd w:val="clear" w:color="auto" w:fill="FFFFFF"/>
            <w:tcMar>
              <w:top w:w="0" w:type="dxa"/>
              <w:left w:w="60" w:type="dxa"/>
              <w:bottom w:w="0" w:type="dxa"/>
              <w:right w:w="60" w:type="dxa"/>
            </w:tcMar>
            <w:vAlign w:val="center"/>
            <w:hideMark/>
          </w:tcPr>
          <w:p w14:paraId="65CDF670" w14:textId="0A251274" w:rsidR="00DB0781" w:rsidRPr="008C4CC5" w:rsidRDefault="00DB0781" w:rsidP="00DB0781">
            <w:pPr>
              <w:spacing w:line="240" w:lineRule="auto"/>
              <w:jc w:val="center"/>
              <w:rPr>
                <w:rFonts w:ascii="Segoe UI" w:hAnsi="Segoe UI" w:cs="Segoe UI"/>
                <w:b/>
                <w:bCs/>
                <w:color w:val="333333"/>
                <w:sz w:val="18"/>
                <w:szCs w:val="18"/>
                <w:lang w:val="en-US" w:eastAsia="en-US" w:bidi="he-IL"/>
              </w:rPr>
            </w:pPr>
          </w:p>
        </w:tc>
        <w:tc>
          <w:tcPr>
            <w:tcW w:w="3359" w:type="dxa"/>
            <w:gridSpan w:val="3"/>
            <w:tcBorders>
              <w:top w:val="nil"/>
              <w:left w:val="nil"/>
              <w:bottom w:val="nil"/>
              <w:right w:val="nil"/>
            </w:tcBorders>
            <w:shd w:val="clear" w:color="auto" w:fill="FFFFFF"/>
            <w:tcMar>
              <w:top w:w="0" w:type="dxa"/>
              <w:left w:w="60" w:type="dxa"/>
              <w:bottom w:w="0" w:type="dxa"/>
              <w:right w:w="60" w:type="dxa"/>
            </w:tcMar>
            <w:vAlign w:val="center"/>
            <w:hideMark/>
          </w:tcPr>
          <w:p w14:paraId="297403FA"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 Means</w:t>
            </w:r>
          </w:p>
        </w:tc>
        <w:tc>
          <w:tcPr>
            <w:tcW w:w="3131" w:type="dxa"/>
            <w:gridSpan w:val="3"/>
            <w:tcBorders>
              <w:top w:val="nil"/>
              <w:left w:val="nil"/>
              <w:bottom w:val="nil"/>
              <w:right w:val="nil"/>
            </w:tcBorders>
            <w:shd w:val="clear" w:color="auto" w:fill="FFFFFF"/>
            <w:tcMar>
              <w:top w:w="0" w:type="dxa"/>
              <w:left w:w="60" w:type="dxa"/>
              <w:bottom w:w="0" w:type="dxa"/>
              <w:right w:w="0" w:type="dxa"/>
            </w:tcMar>
            <w:vAlign w:val="center"/>
            <w:hideMark/>
          </w:tcPr>
          <w:p w14:paraId="62C946C4" w14:textId="663E013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Proportions of Binary Characteristics</w:t>
            </w:r>
            <w:r w:rsidRPr="008C4CC5">
              <w:rPr>
                <w:rFonts w:ascii="Segoe UI" w:hAnsi="Segoe UI" w:cs="Segoe UI"/>
                <w:i/>
                <w:iCs/>
                <w:color w:val="333333"/>
                <w:sz w:val="18"/>
                <w:szCs w:val="18"/>
                <w:vertAlign w:val="superscript"/>
                <w:lang w:val="en-US" w:eastAsia="en-US" w:bidi="he-IL"/>
              </w:rPr>
              <w:t>1</w:t>
            </w:r>
          </w:p>
        </w:tc>
      </w:tr>
      <w:tr w:rsidR="00DB0781" w:rsidRPr="008C4CC5" w14:paraId="25CDA2C1" w14:textId="77777777" w:rsidTr="00DB0781">
        <w:trPr>
          <w:tblHeader/>
        </w:trPr>
        <w:tc>
          <w:tcPr>
            <w:tcW w:w="1080" w:type="dxa"/>
            <w:vMerge/>
            <w:tcBorders>
              <w:top w:val="nil"/>
              <w:left w:val="nil"/>
              <w:bottom w:val="nil"/>
              <w:right w:val="nil"/>
            </w:tcBorders>
            <w:shd w:val="clear" w:color="auto" w:fill="FFFFFF"/>
            <w:vAlign w:val="center"/>
            <w:hideMark/>
          </w:tcPr>
          <w:p w14:paraId="20D61F91" w14:textId="77777777" w:rsidR="00DB0781" w:rsidRPr="008C4CC5" w:rsidRDefault="00DB0781" w:rsidP="00DB0781">
            <w:pPr>
              <w:spacing w:line="240" w:lineRule="auto"/>
              <w:rPr>
                <w:rFonts w:ascii="Segoe UI" w:hAnsi="Segoe UI" w:cs="Segoe UI"/>
                <w:b/>
                <w:bCs/>
                <w:color w:val="333333"/>
                <w:sz w:val="18"/>
                <w:szCs w:val="18"/>
                <w:lang w:val="en-US" w:eastAsia="en-US" w:bidi="he-IL"/>
              </w:rPr>
            </w:pPr>
          </w:p>
        </w:tc>
        <w:tc>
          <w:tcPr>
            <w:tcW w:w="929" w:type="dxa"/>
            <w:tcBorders>
              <w:top w:val="nil"/>
              <w:left w:val="nil"/>
              <w:bottom w:val="nil"/>
              <w:right w:val="nil"/>
            </w:tcBorders>
            <w:shd w:val="clear" w:color="auto" w:fill="FFFFFF"/>
            <w:tcMar>
              <w:top w:w="75" w:type="dxa"/>
              <w:left w:w="75" w:type="dxa"/>
              <w:bottom w:w="90" w:type="dxa"/>
              <w:right w:w="75" w:type="dxa"/>
            </w:tcMar>
            <w:vAlign w:val="bottom"/>
            <w:hideMark/>
          </w:tcPr>
          <w:p w14:paraId="5185C0E3"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N</w:t>
            </w:r>
          </w:p>
        </w:tc>
        <w:tc>
          <w:tcPr>
            <w:tcW w:w="1140" w:type="dxa"/>
            <w:tcBorders>
              <w:top w:val="nil"/>
              <w:left w:val="nil"/>
              <w:bottom w:val="nil"/>
              <w:right w:val="nil"/>
            </w:tcBorders>
            <w:shd w:val="clear" w:color="auto" w:fill="FFFFFF"/>
            <w:tcMar>
              <w:top w:w="75" w:type="dxa"/>
              <w:left w:w="75" w:type="dxa"/>
              <w:bottom w:w="90" w:type="dxa"/>
              <w:right w:w="75" w:type="dxa"/>
            </w:tcMar>
            <w:vAlign w:val="bottom"/>
            <w:hideMark/>
          </w:tcPr>
          <w:p w14:paraId="13459BAF"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Cognitive</w:t>
            </w:r>
          </w:p>
        </w:tc>
        <w:tc>
          <w:tcPr>
            <w:tcW w:w="1246" w:type="dxa"/>
            <w:tcBorders>
              <w:top w:val="nil"/>
              <w:left w:val="nil"/>
              <w:bottom w:val="nil"/>
              <w:right w:val="nil"/>
            </w:tcBorders>
            <w:shd w:val="clear" w:color="auto" w:fill="FFFFFF"/>
            <w:tcMar>
              <w:top w:w="75" w:type="dxa"/>
              <w:left w:w="75" w:type="dxa"/>
              <w:bottom w:w="90" w:type="dxa"/>
              <w:right w:w="75" w:type="dxa"/>
            </w:tcMar>
            <w:vAlign w:val="bottom"/>
            <w:hideMark/>
          </w:tcPr>
          <w:p w14:paraId="70724C88"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Behavioral</w:t>
            </w:r>
          </w:p>
        </w:tc>
        <w:tc>
          <w:tcPr>
            <w:tcW w:w="973" w:type="dxa"/>
            <w:tcBorders>
              <w:top w:val="nil"/>
              <w:left w:val="nil"/>
              <w:bottom w:val="nil"/>
              <w:right w:val="nil"/>
            </w:tcBorders>
            <w:shd w:val="clear" w:color="auto" w:fill="FFFFFF"/>
            <w:tcMar>
              <w:top w:w="75" w:type="dxa"/>
              <w:left w:w="75" w:type="dxa"/>
              <w:bottom w:w="90" w:type="dxa"/>
              <w:right w:w="75" w:type="dxa"/>
            </w:tcMar>
            <w:vAlign w:val="bottom"/>
            <w:hideMark/>
          </w:tcPr>
          <w:p w14:paraId="6BEEF3F1"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Social</w:t>
            </w:r>
          </w:p>
        </w:tc>
        <w:tc>
          <w:tcPr>
            <w:tcW w:w="1164" w:type="dxa"/>
            <w:tcBorders>
              <w:top w:val="nil"/>
              <w:left w:val="nil"/>
              <w:bottom w:val="nil"/>
              <w:right w:val="nil"/>
            </w:tcBorders>
            <w:shd w:val="clear" w:color="auto" w:fill="FFFFFF"/>
            <w:tcMar>
              <w:top w:w="75" w:type="dxa"/>
              <w:left w:w="75" w:type="dxa"/>
              <w:bottom w:w="90" w:type="dxa"/>
              <w:right w:w="75" w:type="dxa"/>
            </w:tcMar>
            <w:vAlign w:val="bottom"/>
            <w:hideMark/>
          </w:tcPr>
          <w:p w14:paraId="49114C2D"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ER1</w:t>
            </w:r>
          </w:p>
        </w:tc>
        <w:tc>
          <w:tcPr>
            <w:tcW w:w="1044" w:type="dxa"/>
            <w:tcBorders>
              <w:top w:val="nil"/>
              <w:left w:val="nil"/>
              <w:bottom w:val="nil"/>
              <w:right w:val="nil"/>
            </w:tcBorders>
            <w:shd w:val="clear" w:color="auto" w:fill="FFFFFF"/>
            <w:tcMar>
              <w:top w:w="75" w:type="dxa"/>
              <w:left w:w="75" w:type="dxa"/>
              <w:bottom w:w="90" w:type="dxa"/>
              <w:right w:w="75" w:type="dxa"/>
            </w:tcMar>
            <w:vAlign w:val="bottom"/>
            <w:hideMark/>
          </w:tcPr>
          <w:p w14:paraId="37A43C48"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ER2</w:t>
            </w:r>
          </w:p>
        </w:tc>
        <w:tc>
          <w:tcPr>
            <w:tcW w:w="923" w:type="dxa"/>
            <w:tcBorders>
              <w:top w:val="nil"/>
              <w:left w:val="nil"/>
              <w:bottom w:val="nil"/>
              <w:right w:val="nil"/>
            </w:tcBorders>
            <w:shd w:val="clear" w:color="auto" w:fill="FFFFFF"/>
            <w:tcMar>
              <w:top w:w="75" w:type="dxa"/>
              <w:left w:w="75" w:type="dxa"/>
              <w:bottom w:w="90" w:type="dxa"/>
              <w:right w:w="75" w:type="dxa"/>
            </w:tcMar>
            <w:vAlign w:val="bottom"/>
            <w:hideMark/>
          </w:tcPr>
          <w:p w14:paraId="32A95925"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ER3</w:t>
            </w:r>
          </w:p>
        </w:tc>
      </w:tr>
      <w:tr w:rsidR="00DB0781" w:rsidRPr="008C4CC5" w14:paraId="0DAC3C8E" w14:textId="77777777" w:rsidTr="00F35F2C">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CE9966F" w14:textId="68112052"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83D15BE"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1362</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A77BF5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4.046</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EF4319D"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920390B"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4.447</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43908C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88.2%</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B129376"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26.1%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62AFCF2F"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3.6%</w:t>
            </w:r>
          </w:p>
        </w:tc>
      </w:tr>
      <w:tr w:rsidR="00DB0781" w:rsidRPr="008C4CC5" w14:paraId="18C08669" w14:textId="77777777" w:rsidTr="00DB0781">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9BDE71" w14:textId="7411D3F6"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B15A23"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3347</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DBB654"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4.058</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EE5E2E"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1.041</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9FBDE3"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3.477</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4489A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31.5%</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60A8FF"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3.8%</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4031B9"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228E33BF" w14:textId="77777777" w:rsidTr="00F35F2C">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CF13BE5" w14:textId="6AFD6CF7"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D937A3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1256</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DC34D8A"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3.310</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88299A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54C5795"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4.399</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CC8BB68"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100.0%</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BCA5B2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D18916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6.4%</w:t>
            </w:r>
          </w:p>
        </w:tc>
      </w:tr>
      <w:tr w:rsidR="00DB0781" w:rsidRPr="008C4CC5" w14:paraId="479440BD" w14:textId="77777777" w:rsidTr="00DB0781">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63E361" w14:textId="174A2F74"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16D488"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459</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E44C8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4.954</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57EEAB"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1.184</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6BEEF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2.171</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BC23B9"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42.3%</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B33271"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6.5%</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A308C5"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445F1F0D" w14:textId="77777777" w:rsidTr="00DB0781">
        <w:tc>
          <w:tcPr>
            <w:tcW w:w="108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1D845DF7" w14:textId="140B2207"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5</w:t>
            </w:r>
          </w:p>
        </w:tc>
        <w:tc>
          <w:tcPr>
            <w:tcW w:w="929"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7A15954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1012</w:t>
            </w:r>
          </w:p>
        </w:tc>
        <w:tc>
          <w:tcPr>
            <w:tcW w:w="114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290BFE96"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1.790</w:t>
            </w:r>
          </w:p>
        </w:tc>
        <w:tc>
          <w:tcPr>
            <w:tcW w:w="1246"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C3292D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1.160</w:t>
            </w:r>
          </w:p>
        </w:tc>
        <w:tc>
          <w:tcPr>
            <w:tcW w:w="973"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B380D7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4.205</w:t>
            </w:r>
          </w:p>
        </w:tc>
        <w:tc>
          <w:tcPr>
            <w:tcW w:w="116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06A1D8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28.8%</w:t>
            </w:r>
          </w:p>
        </w:tc>
        <w:tc>
          <w:tcPr>
            <w:tcW w:w="104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1FC52F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0.9%</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08603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2D178512" w14:textId="77777777" w:rsidTr="00F35F2C">
        <w:tc>
          <w:tcPr>
            <w:tcW w:w="8499" w:type="dxa"/>
            <w:gridSpan w:val="8"/>
            <w:tcBorders>
              <w:top w:val="single" w:sz="4" w:space="0" w:color="auto"/>
              <w:left w:val="nil"/>
              <w:bottom w:val="single" w:sz="4" w:space="0" w:color="auto"/>
              <w:right w:val="nil"/>
            </w:tcBorders>
            <w:shd w:val="clear" w:color="auto" w:fill="FFFFFF"/>
            <w:tcMar>
              <w:top w:w="60" w:type="dxa"/>
              <w:left w:w="75" w:type="dxa"/>
              <w:bottom w:w="60" w:type="dxa"/>
              <w:right w:w="75" w:type="dxa"/>
            </w:tcMar>
            <w:vAlign w:val="center"/>
            <w:hideMark/>
          </w:tcPr>
          <w:p w14:paraId="77ECCB16" w14:textId="77777777" w:rsidR="00DB0781" w:rsidRPr="008C4CC5" w:rsidRDefault="00DB0781" w:rsidP="00DB0781">
            <w:pPr>
              <w:spacing w:line="240" w:lineRule="auto"/>
              <w:rPr>
                <w:rFonts w:ascii="Segoe UI" w:hAnsi="Segoe UI" w:cs="Segoe UI"/>
                <w:color w:val="333333"/>
                <w:sz w:val="18"/>
                <w:szCs w:val="18"/>
                <w:lang w:val="en-US" w:eastAsia="en-US" w:bidi="he-IL"/>
              </w:rPr>
            </w:pPr>
            <w:r w:rsidRPr="008C4CC5">
              <w:rPr>
                <w:rFonts w:ascii="Segoe UI" w:hAnsi="Segoe UI" w:cs="Segoe UI"/>
                <w:i/>
                <w:iCs/>
                <w:color w:val="333333"/>
                <w:sz w:val="18"/>
                <w:szCs w:val="18"/>
                <w:vertAlign w:val="superscript"/>
                <w:lang w:val="en-US" w:eastAsia="en-US" w:bidi="he-IL"/>
              </w:rPr>
              <w:t>1</w:t>
            </w:r>
            <w:r w:rsidRPr="008C4CC5">
              <w:rPr>
                <w:rFonts w:ascii="Segoe UI" w:hAnsi="Segoe UI" w:cs="Segoe UI"/>
                <w:color w:val="333333"/>
                <w:sz w:val="18"/>
                <w:szCs w:val="18"/>
                <w:lang w:val="en-US" w:eastAsia="en-US" w:bidi="he-IL"/>
              </w:rPr>
              <w:t> Percentage of individuals within each profile associated with the extremist group</w:t>
            </w:r>
          </w:p>
          <w:p w14:paraId="10371B1B" w14:textId="1DDD58ED" w:rsidR="00DB0781" w:rsidRPr="008C4CC5" w:rsidRDefault="00DB0781" w:rsidP="00DB0781">
            <w:pPr>
              <w:spacing w:line="240" w:lineRule="auto"/>
              <w:rPr>
                <w:rFonts w:ascii="Segoe UI" w:hAnsi="Segoe UI" w:cs="Segoe UI"/>
                <w:color w:val="333333"/>
                <w:sz w:val="18"/>
                <w:szCs w:val="18"/>
                <w:lang w:val="en-US" w:eastAsia="en-US" w:bidi="he-IL"/>
              </w:rPr>
            </w:pPr>
            <w:r w:rsidRPr="008C4CC5">
              <w:rPr>
                <w:rFonts w:ascii="Segoe UI" w:hAnsi="Segoe UI" w:cs="Segoe UI"/>
                <w:color w:val="333333"/>
                <w:sz w:val="18"/>
                <w:szCs w:val="18"/>
                <w:vertAlign w:val="superscript"/>
                <w:lang w:val="en-US" w:eastAsia="en-US" w:bidi="he-IL"/>
              </w:rPr>
              <w:t>2</w:t>
            </w:r>
            <w:r w:rsidRPr="008C4CC5">
              <w:rPr>
                <w:rFonts w:ascii="Segoe UI" w:hAnsi="Segoe UI" w:cs="Segoe UI"/>
                <w:color w:val="333333"/>
                <w:sz w:val="18"/>
                <w:szCs w:val="18"/>
                <w:lang w:val="en-US" w:eastAsia="en-US" w:bidi="he-IL"/>
              </w:rPr>
              <w:t xml:space="preserve"> Most extreme profiles (overall) are colored in light blue</w:t>
            </w:r>
          </w:p>
        </w:tc>
      </w:tr>
    </w:tbl>
    <w:p w14:paraId="5E46C082" w14:textId="4043B86B" w:rsidR="009E1884" w:rsidRDefault="00F35F2C" w:rsidP="00DC2F34">
      <w:pPr>
        <w:pStyle w:val="Newparagraph"/>
        <w:spacing w:before="240"/>
      </w:pPr>
      <w:r w:rsidRPr="009E1884">
        <w:t>The analysis demonstrates a robust relationship between profile membership and extremist classification. Notably, all members of Profile 3 and over 80% of Profile 1 members qualify for the ER1 extremist category</w:t>
      </w:r>
      <w:r w:rsidR="00200851">
        <w:t xml:space="preserve">, </w:t>
      </w:r>
      <w:r w:rsidRPr="009E1884">
        <w:t>substantially higher than the other three profiles (31.5%, 42.3%, and 28.8% respectively). This distinction becomes even more pronounced for ER2 classification: Profile 3 contains 32% extremists, while Profile 1 contains 26.1%. The remaining profiles show much lower rates (3.8%, 6.5%, and 0.9%). For the most restrictive ER3 category, only Profiles 3 and 1 have any members qualifying (6.4% and 3.6% respectively), with zero representation from the other three profiles.</w:t>
      </w:r>
      <w:r w:rsidR="00DC2F34">
        <w:t xml:space="preserve"> </w:t>
      </w:r>
      <w:r w:rsidR="009E1884">
        <w:t xml:space="preserve">The analysis of </w:t>
      </w:r>
      <w:r w:rsidR="00763B07">
        <w:t>wave-related</w:t>
      </w:r>
      <w:r w:rsidR="009E1884">
        <w:t xml:space="preserve"> </w:t>
      </w:r>
      <w:r w:rsidR="009E1884" w:rsidRPr="009E1884">
        <w:t xml:space="preserve">demographic differences </w:t>
      </w:r>
      <w:r w:rsidR="009E1884">
        <w:t xml:space="preserve">reveals that </w:t>
      </w:r>
      <w:r w:rsidR="00A30B3B">
        <w:t xml:space="preserve">effect sizes are consistently </w:t>
      </w:r>
      <w:r w:rsidR="00A30B3B">
        <w:lastRenderedPageBreak/>
        <w:t>small, indicating that compositional changes are unlikely to substantially confound the main findings that political orientation moderates</w:t>
      </w:r>
      <w:r w:rsidR="009E1884" w:rsidRPr="009E1884">
        <w:t xml:space="preserve"> destabilizing event impacts on political extremism levels. </w:t>
      </w:r>
    </w:p>
    <w:p w14:paraId="1AC80430" w14:textId="5F0742A0" w:rsidR="001B2923" w:rsidRDefault="001B2923" w:rsidP="001B2923">
      <w:pPr>
        <w:pStyle w:val="Heading2"/>
      </w:pPr>
      <w:r>
        <w:t>Limitations</w:t>
      </w:r>
    </w:p>
    <w:p w14:paraId="33D8C50B" w14:textId="77938679" w:rsidR="001B2923" w:rsidRDefault="00AC22B3" w:rsidP="00806CE7">
      <w:pPr>
        <w:pStyle w:val="Paragraph"/>
      </w:pPr>
      <w:r>
        <w:t>The study suffers from s</w:t>
      </w:r>
      <w:r w:rsidR="00806CE7">
        <w:t xml:space="preserve">everal limitations. First, the research relies on a quasi-experimental design leveraging naturally occurring destabilizing events, which, while providing </w:t>
      </w:r>
      <w:r w:rsidR="00CC162F">
        <w:t>stronger</w:t>
      </w:r>
      <w:r w:rsidR="00806CE7">
        <w:t xml:space="preserve"> validity, precludes definitive causal inferences due to potential confounding factors</w:t>
      </w:r>
      <w:r w:rsidR="00666DAD">
        <w:t xml:space="preserve">, such as concurrent societal changes or media influences, that </w:t>
      </w:r>
      <w:r>
        <w:t>the analysis does not fully account for</w:t>
      </w:r>
      <w:r w:rsidR="00806CE7">
        <w:t>. Additionally, the data are derived exclusively from self-reported survey measures among Jewish Israelis, introducing risks of social desirability bias, particularly in responses to sensitive items related to political violence and intolerance. The novel Political Extremism Gauge, although validated through latent profile analysis, remains context-specific to Israel</w:t>
      </w:r>
      <w:r w:rsidR="00707BC0">
        <w:t>’</w:t>
      </w:r>
      <w:r w:rsidR="00806CE7">
        <w:t>s political landscape and requires further testing in other democratic settings to establish broader applicability. Finally, the study</w:t>
      </w:r>
      <w:r w:rsidR="00707BC0">
        <w:t>’</w:t>
      </w:r>
      <w:r w:rsidR="00806CE7">
        <w:t xml:space="preserve">s focus on short-term effects across six waves spanning 2021 to 2024 may overlook longer-term extremism trajectories or cumulative impacts of the events. </w:t>
      </w:r>
    </w:p>
    <w:p w14:paraId="6C4E0EFC" w14:textId="4F716F9F" w:rsidR="008400B6" w:rsidRPr="008400B6" w:rsidRDefault="009549FE" w:rsidP="008400B6">
      <w:pPr>
        <w:pStyle w:val="Newparagraph"/>
        <w:rPr>
          <w:lang w:val="en-US"/>
        </w:rPr>
      </w:pPr>
      <w:r>
        <w:t>The</w:t>
      </w:r>
      <w:r w:rsidR="008400B6">
        <w:t xml:space="preserve"> ideological </w:t>
      </w:r>
      <w:r>
        <w:t>measure</w:t>
      </w:r>
      <w:r w:rsidR="008400B6">
        <w:t xml:space="preserve"> comprises three items that present respondents with extreme political stances on the left or right of the political spectrum</w:t>
      </w:r>
      <w:r w:rsidR="008400B6">
        <w:rPr>
          <w:rStyle w:val="FootnoteReference"/>
        </w:rPr>
        <w:footnoteReference w:id="8"/>
      </w:r>
      <w:r w:rsidR="008400B6">
        <w:t xml:space="preserve">. </w:t>
      </w:r>
      <w:r>
        <w:t>The measure</w:t>
      </w:r>
      <w:r w:rsidR="008400B6">
        <w:t xml:space="preserve"> </w:t>
      </w:r>
      <w:r>
        <w:t>assesses political extremity by measuring</w:t>
      </w:r>
      <w:r w:rsidR="008400B6">
        <w:t xml:space="preserve"> participants</w:t>
      </w:r>
      <w:r w:rsidR="00AC22B3">
        <w:t>’</w:t>
      </w:r>
      <w:r w:rsidR="008400B6">
        <w:t xml:space="preserve"> degree of agreement with these statements. Notably, the positions presented fall short of representing the most radical viewpoints found within Israeli society. This design choice prevents us from distinguishing between those who are extreme and those who are exceptionally extreme. Had </w:t>
      </w:r>
      <w:r>
        <w:t>the survey included</w:t>
      </w:r>
      <w:r w:rsidR="008400B6">
        <w:t xml:space="preserve"> more radical positions, few if any respondents would have expressed strong agreement or disagreement. Such an approach would have compressed </w:t>
      </w:r>
      <w:r>
        <w:lastRenderedPageBreak/>
        <w:t>the</w:t>
      </w:r>
      <w:r w:rsidR="008400B6">
        <w:t xml:space="preserve"> effective measurement range from 1-7 to approximately 2-5, reducing </w:t>
      </w:r>
      <w:r>
        <w:t>the</w:t>
      </w:r>
      <w:r w:rsidR="008400B6">
        <w:t xml:space="preserve"> capacity to separate extreme respondents from moderate ones. Looking forward, subsequent surveys </w:t>
      </w:r>
      <w:r>
        <w:t xml:space="preserve">should </w:t>
      </w:r>
      <w:r w:rsidR="008400B6">
        <w:t>adopt expanded scales (0-10) to achieve finer resolution when measuring political extremism.</w:t>
      </w:r>
    </w:p>
    <w:p w14:paraId="54974E40" w14:textId="565C2E67" w:rsidR="006C079F" w:rsidRDefault="006C079F" w:rsidP="004074B0">
      <w:pPr>
        <w:pStyle w:val="Heading1"/>
      </w:pPr>
      <w:r>
        <w:t>Discussion</w:t>
      </w:r>
      <w:r w:rsidR="0007713C">
        <w:t xml:space="preserve"> &amp; Conclusions</w:t>
      </w:r>
    </w:p>
    <w:p w14:paraId="2BF0FB79" w14:textId="77777777" w:rsidR="00E762A7" w:rsidRDefault="00E762A7" w:rsidP="00E762A7">
      <w:pPr>
        <w:pStyle w:val="Paragraph"/>
      </w:pPr>
      <w:r>
        <w:t xml:space="preserve">The implementation of the Political Extremism Gauge (PEG) demonstrates that socio-political destabilizing events do not produce a uniform effect across the population. Instead, political orientation moderates the relationship between these events and extremist manifestations. Security threats and constitutional crises show strong associations with shifts in extremism levels, particularly among the extreme tail of the population. The evidence indicates that these shifts primarily occur through recruitment and demobilization mechanisms rather than the progressive intensification of existing radical beliefs. While right-wing extremism showed a de-consolidation during the research period, left-wing and center-wing extremism showed a tendency to manifest across multiple dimensions simultaneously when triggered by specific political crises. </w:t>
      </w:r>
    </w:p>
    <w:p w14:paraId="77EBAE2E" w14:textId="0252CD65" w:rsidR="00997872" w:rsidRDefault="00E762A7" w:rsidP="00E762A7">
      <w:pPr>
        <w:pStyle w:val="Newparagraph"/>
      </w:pPr>
      <w:r>
        <w:rPr>
          <w:lang w:val="en-US"/>
        </w:rPr>
        <w:t>A potential</w:t>
      </w:r>
      <w:r w:rsidR="008A4367">
        <w:rPr>
          <w:lang w:val="en-US"/>
        </w:rPr>
        <w:t xml:space="preserve"> approach t</w:t>
      </w:r>
      <w:r>
        <w:rPr>
          <w:lang w:val="en-US"/>
        </w:rPr>
        <w:t>o explain the dynamics of political extremism centers on</w:t>
      </w:r>
      <w:r w:rsidR="008A4367">
        <w:rPr>
          <w:lang w:val="en-US"/>
        </w:rPr>
        <w:t xml:space="preserve"> </w:t>
      </w:r>
      <w:r>
        <w:rPr>
          <w:lang w:val="en-US"/>
        </w:rPr>
        <w:t xml:space="preserve">group-specific </w:t>
      </w:r>
      <w:r w:rsidR="008A4367">
        <w:rPr>
          <w:lang w:val="en-US"/>
        </w:rPr>
        <w:t xml:space="preserve">threat perceptions. </w:t>
      </w:r>
      <w:r w:rsidR="00AF13C6" w:rsidRPr="00AF13C6">
        <w:t>Destabilizing events drive political extremism by acting as psychological catalysts that heighten threat perception. Intergroup threat theory suggests that individuals react to perceived dangers</w:t>
      </w:r>
      <w:r w:rsidR="00AF13C6">
        <w:t xml:space="preserve">, </w:t>
      </w:r>
      <w:r w:rsidR="00AF13C6" w:rsidRPr="00AF13C6">
        <w:t>whether realistic threats to physical safety or symbolic threats to cultural values</w:t>
      </w:r>
      <w:r w:rsidR="00AF13C6">
        <w:t xml:space="preserve">, </w:t>
      </w:r>
      <w:r w:rsidR="00AF13C6" w:rsidRPr="00AF13C6">
        <w:t>by adopting extreme positions to protect group interests</w:t>
      </w:r>
      <w:r w:rsidR="00AF13C6">
        <w:t xml:space="preserve"> </w:t>
      </w:r>
      <w:r w:rsidR="008A4367">
        <w:fldChar w:fldCharType="begin"/>
      </w:r>
      <w:r w:rsidR="008A4367">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rsidR="008A4367">
        <w:fldChar w:fldCharType="separate"/>
      </w:r>
      <w:r w:rsidR="008A4367" w:rsidRPr="008A4367">
        <w:t>(Stephan &amp; Stephan, 2000)</w:t>
      </w:r>
      <w:r w:rsidR="008A4367">
        <w:fldChar w:fldCharType="end"/>
      </w:r>
      <w:r w:rsidR="008A4367">
        <w:t xml:space="preserve">. </w:t>
      </w:r>
      <w:r w:rsidR="00AF13C6" w:rsidRPr="00AF13C6">
        <w:t xml:space="preserve">In a polarized environment like Israel, the same event may represent a threat to one constituency and a victory to another. Events that threaten the core values or security of a specific political group increase extremism within that group. Conversely, extremism may stabilize or decrease among groups that perceive a diminished threat. This mechanism shows that radicalization is a reactive </w:t>
      </w:r>
      <w:r w:rsidR="00AF13C6" w:rsidRPr="00AF13C6">
        <w:lastRenderedPageBreak/>
        <w:t xml:space="preserve">process rather than a constant one. The cognitive, behavioral, and social dimensions of extremism fluctuate </w:t>
      </w:r>
      <w:r w:rsidR="00C16BE0">
        <w:t>in response to</w:t>
      </w:r>
      <w:r w:rsidR="00AF13C6" w:rsidRPr="00AF13C6">
        <w:t xml:space="preserve"> the specific threat posed by socio-political shifts </w:t>
      </w:r>
      <w:r w:rsidR="008A4367">
        <w:fldChar w:fldCharType="begin"/>
      </w:r>
      <w:r w:rsidR="008A4367">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rsidR="008A4367">
        <w:fldChar w:fldCharType="separate"/>
      </w:r>
      <w:r w:rsidR="008A4367" w:rsidRPr="008A4367">
        <w:t>(Canetti-Nisim et al., 2009)</w:t>
      </w:r>
      <w:r w:rsidR="008A4367">
        <w:fldChar w:fldCharType="end"/>
      </w:r>
      <w:r w:rsidR="008A4367">
        <w:t>.</w:t>
      </w:r>
    </w:p>
    <w:p w14:paraId="79633812" w14:textId="3CAB5D0B" w:rsidR="008A4367" w:rsidRDefault="00AF13C6" w:rsidP="00224300">
      <w:pPr>
        <w:pStyle w:val="Newparagraph"/>
      </w:pPr>
      <w:r w:rsidRPr="00AF13C6">
        <w:t>The empirical findings provide strong support for this threat-based mechanism. Security-related events</w:t>
      </w:r>
      <w:r w:rsidR="00C16BE0">
        <w:t xml:space="preserve">, like the October 7 </w:t>
      </w:r>
      <w:r w:rsidR="00AC22B3">
        <w:t>w</w:t>
      </w:r>
      <w:r w:rsidR="00C16BE0">
        <w:t>ar, posed</w:t>
      </w:r>
      <w:r w:rsidRPr="00AF13C6">
        <w:t xml:space="preserve"> a universal threat. This event triggered a peak in left-wing behavioral extremism at 39.11% and increased intensity from 2.31 to 2.90. This change reflects a radicalized shift toward violence in response to existential danger </w:t>
      </w:r>
      <w:r>
        <w:fldChar w:fldCharType="begin"/>
      </w:r>
      <w:r>
        <w:instrText xml:space="preserve"> ADDIN ZOTERO_ITEM CSL_CITATION {"citationID":"uZZI9a67","properties":{"formattedCitation":"(Canetti et al., 2017)","plainCitation":"(Canetti et al., 2017)","noteIndex":0},"citationItems":[{"id":1196,"uris":["http://zotero.org/users/11665025/items/JRLRJQVD"],"itemData":{"id":1196,"type":"article-journal","abstract":"Does ongoing exposure to political violence prompt subject groups to support or oppose compromise in situations of intractable conflict? If so, what is the mechanism underlying these processes? Political scholarship neither offers conclusive arguments nor sufficiently addresses individual-level forms of exposure to violence in the context of political conflict, particularly the factors mediating political outcomes. We address this by looking at the impact of exposure to political violence, psychological distress, perceived threat, and ethos of conflict on support for political compromise. A mediated model is hypothesized whereby exposure to political violence provokes support for the ethos of conflict and hinders support for compromise through perceived psychological distress and perceived national threat. We examined representative samples of two parties to the same conflict: Israelis ( N = 781) and Palestinians from Gaza, East Jerusalem, and the West Bank ( N = 1,196). The study’s main conclusion is that ethos of conflict serves as a mediating variable in the relationship between exposure to violence and attitudes toward peaceful settlement of the conflict.","container-title":"Journal of Conflict Resolution","DOI":"10.1177/0022002715569771","ISSN":"0022-0027, 1552-8766","issue":"1","journalAbbreviation":"Journal of Conflict Resolution","language":"en","page":"84-113","source":"DOI.org (Crossref)","title":"Exposure to Violence, Ethos of Conflict, and Support for Compromise: Surveys in Israel, East Jerusalem, West Bank, and Gaza","title-short":"Exposure to Violence, Ethos of Conflict, and Support for Compromise","volume":"61","author":[{"family":"Canetti","given":"Daphna"},{"family":"Elad-Strenger","given":"Julia"},{"family":"Lavi","given":"Iris"},{"family":"Guy","given":"Dana"},{"family":"Bar-Tal","given":"Daniel"}],"issued":{"date-parts":[["2017",1]]}}}],"schema":"https://github.com/citation-style-language/schema/raw/master/csl-citation.json"} </w:instrText>
      </w:r>
      <w:r>
        <w:fldChar w:fldCharType="separate"/>
      </w:r>
      <w:r w:rsidRPr="00AF13C6">
        <w:t>(Canetti et al., 2017)</w:t>
      </w:r>
      <w:r>
        <w:fldChar w:fldCharType="end"/>
      </w:r>
      <w:r w:rsidR="008A4367" w:rsidRPr="008A4367">
        <w:t xml:space="preserve">. </w:t>
      </w:r>
      <w:r w:rsidR="00224300" w:rsidRPr="00224300">
        <w:t>Political and constitutional events functioned as group-specific threats. The Judicial Reform period threatened democratic institutions and drove left-wing cognitive extremism to its highest point of 61.81%. It also increased center-wing cognitive levels to 19.10%. The Gallant Dismissal, framed as a threat to national security, led to a notable peak in multidimensional extremism (ER2) for the left wing at 18.55% and for the center at 8.38%. These patterns demonstrate that the size of the extreme constituency (ER2) and individual extremism levels (EL) rise when a group perceives its safety or values are under attack. This confirms that political orientation moderates the impact of destabilizing events based on the nature of the perceived threat.</w:t>
      </w:r>
    </w:p>
    <w:p w14:paraId="4B76C8BA" w14:textId="4E188E64" w:rsidR="008A4367" w:rsidRDefault="00E762A7" w:rsidP="00667AC4">
      <w:pPr>
        <w:pStyle w:val="Newparagraph"/>
      </w:pPr>
      <w:r>
        <w:t xml:space="preserve">Future research should further test the gauge </w:t>
      </w:r>
      <w:r w:rsidR="005B689A" w:rsidRPr="005B689A">
        <w:t xml:space="preserve">to determine whether the relative indices can minimize bias when conducting comparative research across different </w:t>
      </w:r>
      <w:r w:rsidR="005B689A">
        <w:t>countries</w:t>
      </w:r>
      <w:r w:rsidR="005B689A" w:rsidRPr="005B689A">
        <w:t xml:space="preserve"> or extended time frames.</w:t>
      </w:r>
      <w:r w:rsidR="00667AC4">
        <w:t xml:space="preserve"> </w:t>
      </w:r>
      <w:r w:rsidR="005B689A" w:rsidRPr="005B689A">
        <w:t xml:space="preserve">Understanding what drives political extremism dynamics also </w:t>
      </w:r>
      <w:r w:rsidR="005B689A">
        <w:t xml:space="preserve">requires further investigation to establish causal relationships between threat perceptions and the destabilizing effects of </w:t>
      </w:r>
      <w:r w:rsidR="005B689A" w:rsidRPr="005B689A">
        <w:t>events on political extremism.</w:t>
      </w:r>
      <w:r w:rsidR="005B689A">
        <w:t xml:space="preserve"> </w:t>
      </w:r>
    </w:p>
    <w:p w14:paraId="59ED9BF4" w14:textId="4E670A60" w:rsidR="006B325F" w:rsidRDefault="00E762A7" w:rsidP="00E762A7">
      <w:pPr>
        <w:pStyle w:val="Newparagraph"/>
        <w:rPr>
          <w:rFonts w:cs="Arial"/>
          <w:b/>
          <w:bCs/>
          <w:kern w:val="32"/>
          <w:szCs w:val="32"/>
          <w:lang w:val="en-US"/>
        </w:rPr>
      </w:pPr>
      <w:r>
        <w:t xml:space="preserve">The study </w:t>
      </w:r>
      <w:r>
        <w:t xml:space="preserve">contributes to the academic discourse on political extremism by providing a universal methodology for monitoring democratic resilience and </w:t>
      </w:r>
      <w:proofErr w:type="spellStart"/>
      <w:r>
        <w:t>analyzing</w:t>
      </w:r>
      <w:proofErr w:type="spellEnd"/>
      <w:r>
        <w:t xml:space="preserve"> how different segments of society align with</w:t>
      </w:r>
      <w:r>
        <w:t xml:space="preserve"> periods of national disruption.</w:t>
      </w:r>
      <w:r w:rsidR="006B325F">
        <w:br w:type="page"/>
      </w:r>
    </w:p>
    <w:p w14:paraId="69551BE4" w14:textId="38276229" w:rsidR="006C079F" w:rsidRDefault="006C079F" w:rsidP="004074B0">
      <w:pPr>
        <w:pStyle w:val="Heading1"/>
      </w:pPr>
      <w:r>
        <w:lastRenderedPageBreak/>
        <w:t>References</w:t>
      </w:r>
    </w:p>
    <w:p w14:paraId="473EA2F8" w14:textId="2593F356" w:rsidR="005F7639" w:rsidRDefault="005F7639" w:rsidP="005F7639">
      <w:pPr>
        <w:pStyle w:val="References"/>
      </w:pPr>
      <w:r>
        <w:t>Agmon, S. (2025, March 25). Israel</w:t>
      </w:r>
      <w:r w:rsidR="00707BC0">
        <w:t>’</w:t>
      </w:r>
      <w:r>
        <w:t xml:space="preserve">s complicit center. </w:t>
      </w:r>
      <w:r>
        <w:rPr>
          <w:rStyle w:val="Emphasis"/>
        </w:rPr>
        <w:t>Boston Review</w:t>
      </w:r>
      <w:r>
        <w:t xml:space="preserve">. </w:t>
      </w:r>
      <w:hyperlink r:id="rId13" w:history="1">
        <w:r>
          <w:rPr>
            <w:rStyle w:val="Hyperlink"/>
          </w:rPr>
          <w:t>https://www.bostonreview.net/articles/israels-complicit-center/</w:t>
        </w:r>
      </w:hyperlink>
    </w:p>
    <w:p w14:paraId="48FED1A5" w14:textId="77777777" w:rsidR="005F7639" w:rsidRDefault="005F7639" w:rsidP="005F7639">
      <w:pPr>
        <w:pStyle w:val="References"/>
      </w:pPr>
      <w:r>
        <w:t xml:space="preserve">Allchorn, W., &amp; Orofino, E. (2023). </w:t>
      </w:r>
      <w:r>
        <w:rPr>
          <w:rStyle w:val="Emphasis"/>
        </w:rPr>
        <w:t>Routledge handbook of non-violent extremism: Groups, perspectives and new debates</w:t>
      </w:r>
      <w:r>
        <w:t xml:space="preserve"> (1st ed.). Routledge. </w:t>
      </w:r>
      <w:hyperlink r:id="rId14" w:history="1">
        <w:r>
          <w:rPr>
            <w:rStyle w:val="Hyperlink"/>
          </w:rPr>
          <w:t>https://doi.org/10.4324/9781003032793</w:t>
        </w:r>
      </w:hyperlink>
    </w:p>
    <w:p w14:paraId="72BD80B4" w14:textId="77777777" w:rsidR="005F7639" w:rsidRDefault="005F7639" w:rsidP="005F7639">
      <w:pPr>
        <w:pStyle w:val="References"/>
      </w:pPr>
      <w:r>
        <w:t xml:space="preserve">Backes, U. (2010). </w:t>
      </w:r>
      <w:r>
        <w:rPr>
          <w:rStyle w:val="Emphasis"/>
        </w:rPr>
        <w:t>Political extremes: A conceptual history from antiquity to the present</w:t>
      </w:r>
      <w:r>
        <w:t xml:space="preserve"> (1st ed.). Routledge. </w:t>
      </w:r>
      <w:hyperlink r:id="rId15" w:history="1">
        <w:r>
          <w:rPr>
            <w:rStyle w:val="Hyperlink"/>
          </w:rPr>
          <w:t>https://doi.org/10.4324/9780203867259</w:t>
        </w:r>
      </w:hyperlink>
    </w:p>
    <w:p w14:paraId="6AFF6A75" w14:textId="77777777" w:rsidR="005F7639" w:rsidRDefault="005F7639" w:rsidP="005F7639">
      <w:pPr>
        <w:pStyle w:val="References"/>
      </w:pPr>
      <w:r>
        <w:t xml:space="preserve">Bauer, P. C., Barberá, P., Ackermann, K., &amp; Venetz, A. (2017). Is the left-right scale a valid measure of ideology? </w:t>
      </w:r>
      <w:r>
        <w:rPr>
          <w:rStyle w:val="Emphasis"/>
        </w:rPr>
        <w:t>Political Behavior</w:t>
      </w:r>
      <w:r>
        <w:t xml:space="preserve">, </w:t>
      </w:r>
      <w:r>
        <w:rPr>
          <w:rStyle w:val="Emphasis"/>
        </w:rPr>
        <w:t>39</w:t>
      </w:r>
      <w:r>
        <w:t xml:space="preserve">(3), 553–583. </w:t>
      </w:r>
      <w:hyperlink r:id="rId16" w:history="1">
        <w:r>
          <w:rPr>
            <w:rStyle w:val="Hyperlink"/>
          </w:rPr>
          <w:t>https://doi.org/10.1007/s11109-016-9368-2</w:t>
        </w:r>
      </w:hyperlink>
    </w:p>
    <w:p w14:paraId="63A3E816" w14:textId="4AB88759" w:rsidR="005F7639" w:rsidRDefault="005F7639" w:rsidP="005F7639">
      <w:pPr>
        <w:pStyle w:val="References"/>
      </w:pPr>
      <w:r>
        <w:t xml:space="preserve">Ben-Shitrit, L., Elad-Strenger, J., &amp; Hirsch-Hoefler, S. (2022). </w:t>
      </w:r>
      <w:r w:rsidR="00707BC0">
        <w:t>‘</w:t>
      </w:r>
      <w:r>
        <w:t>Pinkwashing</w:t>
      </w:r>
      <w:r w:rsidR="00707BC0">
        <w:t>’</w:t>
      </w:r>
      <w:r>
        <w:t xml:space="preserve"> the radical-right: Gender and the mainstreaming of radical-right policies and actions. </w:t>
      </w:r>
      <w:r>
        <w:rPr>
          <w:rStyle w:val="Emphasis"/>
        </w:rPr>
        <w:t>European Journal of Political Research</w:t>
      </w:r>
      <w:r>
        <w:t xml:space="preserve">, </w:t>
      </w:r>
      <w:r>
        <w:rPr>
          <w:rStyle w:val="Emphasis"/>
        </w:rPr>
        <w:t>61</w:t>
      </w:r>
      <w:r>
        <w:t xml:space="preserve">(1), 86–110. </w:t>
      </w:r>
      <w:hyperlink r:id="rId17" w:history="1">
        <w:r>
          <w:rPr>
            <w:rStyle w:val="Hyperlink"/>
          </w:rPr>
          <w:t>https://doi.org/10.1111/1475-6765.12442</w:t>
        </w:r>
      </w:hyperlink>
    </w:p>
    <w:p w14:paraId="220B8F40" w14:textId="77777777" w:rsidR="005F7639" w:rsidRDefault="005F7639" w:rsidP="005F7639">
      <w:pPr>
        <w:pStyle w:val="References"/>
      </w:pPr>
      <w:r>
        <w:t xml:space="preserve">Bjelopera, J. P. (2017). </w:t>
      </w:r>
      <w:r>
        <w:rPr>
          <w:rStyle w:val="Emphasis"/>
        </w:rPr>
        <w:t>Domestic terrorism: An overview</w:t>
      </w:r>
      <w:r>
        <w:t xml:space="preserve"> (R44921). Congressional Research Service. </w:t>
      </w:r>
      <w:hyperlink r:id="rId18" w:history="1">
        <w:r>
          <w:rPr>
            <w:rStyle w:val="Hyperlink"/>
          </w:rPr>
          <w:t>https://sgp.fas.org/crs/terror/R44921.pdf</w:t>
        </w:r>
      </w:hyperlink>
    </w:p>
    <w:p w14:paraId="30835C5F" w14:textId="77777777" w:rsidR="005F7639" w:rsidRDefault="005F7639" w:rsidP="005F7639">
      <w:pPr>
        <w:pStyle w:val="References"/>
      </w:pPr>
      <w:r>
        <w:t xml:space="preserve">Bötticher, A. (2017). Towards academic consensus definitions of radicalism and extremism. </w:t>
      </w:r>
      <w:r>
        <w:rPr>
          <w:rStyle w:val="Emphasis"/>
        </w:rPr>
        <w:t>Perspectives on Terrorism</w:t>
      </w:r>
      <w:r>
        <w:t xml:space="preserve">, </w:t>
      </w:r>
      <w:r>
        <w:rPr>
          <w:rStyle w:val="Emphasis"/>
        </w:rPr>
        <w:t>11</w:t>
      </w:r>
      <w:r>
        <w:t>(4). [</w:t>
      </w:r>
      <w:r>
        <w:rPr>
          <w:rStyle w:val="Emphasis"/>
        </w:rPr>
        <w:t>Note: Page numbers needed for complete reference</w:t>
      </w:r>
      <w:r>
        <w:t>]</w:t>
      </w:r>
    </w:p>
    <w:p w14:paraId="3A7B8559" w14:textId="77777777" w:rsidR="005F7639" w:rsidRDefault="005F7639" w:rsidP="005F7639">
      <w:pPr>
        <w:pStyle w:val="References"/>
      </w:pPr>
      <w:r>
        <w:t xml:space="preserve">Canetti, D., Hall, B. J., Rapaport, C., &amp; Wayne, C. (2013). Exposure to political violence and political extremism. </w:t>
      </w:r>
      <w:r>
        <w:rPr>
          <w:rStyle w:val="Emphasis"/>
        </w:rPr>
        <w:t>European Psychologist</w:t>
      </w:r>
      <w:r>
        <w:t xml:space="preserve">, </w:t>
      </w:r>
      <w:r>
        <w:rPr>
          <w:rStyle w:val="Emphasis"/>
        </w:rPr>
        <w:t>18</w:t>
      </w:r>
      <w:r>
        <w:t xml:space="preserve">(4), 263–272. </w:t>
      </w:r>
      <w:hyperlink r:id="rId19" w:history="1">
        <w:r>
          <w:rPr>
            <w:rStyle w:val="Hyperlink"/>
          </w:rPr>
          <w:t>https://doi.org/10.1027/1016-9040/a000158</w:t>
        </w:r>
      </w:hyperlink>
    </w:p>
    <w:p w14:paraId="2FB78332" w14:textId="77777777" w:rsidR="005F7639" w:rsidRDefault="005F7639" w:rsidP="005F7639">
      <w:pPr>
        <w:pStyle w:val="References"/>
      </w:pPr>
      <w:r>
        <w:t xml:space="preserve">Canetti, D., Halperin, E., Hobfoll, S. E., Shapira, O., &amp; Hirsch-Hoefler, S. (2009). Authoritarianism, perceived threat and exclusionism on the eve of the disengagement: Evidence from Gaza. </w:t>
      </w:r>
      <w:r>
        <w:rPr>
          <w:rStyle w:val="Emphasis"/>
        </w:rPr>
        <w:t>International Journal of Intercultural Relations</w:t>
      </w:r>
      <w:r>
        <w:t xml:space="preserve">, </w:t>
      </w:r>
      <w:r>
        <w:rPr>
          <w:rStyle w:val="Emphasis"/>
        </w:rPr>
        <w:t>33</w:t>
      </w:r>
      <w:r>
        <w:t xml:space="preserve">(6), 463–474. </w:t>
      </w:r>
      <w:hyperlink r:id="rId20" w:history="1">
        <w:r>
          <w:rPr>
            <w:rStyle w:val="Hyperlink"/>
          </w:rPr>
          <w:t>https://doi.org/10.1016/j.ijintrel.2008.12.007</w:t>
        </w:r>
      </w:hyperlink>
    </w:p>
    <w:p w14:paraId="2E30E32A" w14:textId="77777777" w:rsidR="005F7639" w:rsidRDefault="005F7639" w:rsidP="005F7639">
      <w:pPr>
        <w:pStyle w:val="References"/>
      </w:pPr>
      <w:r w:rsidRPr="005F7639">
        <w:rPr>
          <w:lang w:val="de-DE"/>
        </w:rPr>
        <w:t xml:space="preserve">Canetti, D., Hirschberger, G., Rapaport, C., Elad‐Strenger, J., Ein‐Dor, T., Rosenzveig, S., Pyszczynski, T., &amp; Hobfoll, S. E. (2018). </w:t>
      </w:r>
      <w:r>
        <w:t xml:space="preserve">Collective trauma from the lab to the real world: The effects of the Holocaust on contemporary Israeli political cognitions. </w:t>
      </w:r>
      <w:r>
        <w:rPr>
          <w:rStyle w:val="Emphasis"/>
        </w:rPr>
        <w:t>Political Psychology</w:t>
      </w:r>
      <w:r>
        <w:t xml:space="preserve">, </w:t>
      </w:r>
      <w:r>
        <w:rPr>
          <w:rStyle w:val="Emphasis"/>
        </w:rPr>
        <w:t>39</w:t>
      </w:r>
      <w:r>
        <w:t xml:space="preserve">(1), 3–21. </w:t>
      </w:r>
      <w:hyperlink r:id="rId21" w:history="1">
        <w:r>
          <w:rPr>
            <w:rStyle w:val="Hyperlink"/>
          </w:rPr>
          <w:t>https://doi.org/10.1111/pops.12384</w:t>
        </w:r>
      </w:hyperlink>
    </w:p>
    <w:p w14:paraId="24879F78" w14:textId="77777777" w:rsidR="005F7639" w:rsidRDefault="005F7639" w:rsidP="005F7639">
      <w:pPr>
        <w:pStyle w:val="References"/>
      </w:pPr>
      <w:r>
        <w:lastRenderedPageBreak/>
        <w:t xml:space="preserve">Christodoulou, E., &amp; Nesterova, Y. (2020). Violent extremism: Types, implications, and responses. In W. Leal Filho, A. M. Azul, L. Brandli, P. G. Özuyar, &amp; T. Wall (Eds.), </w:t>
      </w:r>
      <w:r>
        <w:rPr>
          <w:rStyle w:val="Emphasis"/>
        </w:rPr>
        <w:t>Peace, justice and strong institutions</w:t>
      </w:r>
      <w:r>
        <w:t xml:space="preserve"> (pp. 1–14). Springer International Publishing. </w:t>
      </w:r>
      <w:hyperlink r:id="rId22" w:history="1">
        <w:r>
          <w:rPr>
            <w:rStyle w:val="Hyperlink"/>
          </w:rPr>
          <w:t>https://doi.org/10.1007/978-3-319-71066-2_60-1</w:t>
        </w:r>
      </w:hyperlink>
    </w:p>
    <w:p w14:paraId="01FD96F0" w14:textId="77777777" w:rsidR="005F7639" w:rsidRDefault="005F7639" w:rsidP="005F7639">
      <w:pPr>
        <w:pStyle w:val="References"/>
      </w:pPr>
      <w:r>
        <w:t xml:space="preserve">Coleman, P. T., &amp; Bartoli, A. (2015). </w:t>
      </w:r>
      <w:r>
        <w:rPr>
          <w:rStyle w:val="Emphasis"/>
        </w:rPr>
        <w:t>Addressing extremism</w:t>
      </w:r>
      <w:r>
        <w:t xml:space="preserve">. The International Center for Cooperation and Conflict Resolution (ICCCR). </w:t>
      </w:r>
      <w:hyperlink r:id="rId23" w:history="1">
        <w:r>
          <w:rPr>
            <w:rStyle w:val="Hyperlink"/>
          </w:rPr>
          <w:t>https://resolvenet.org/research/publications/addressing-extremism</w:t>
        </w:r>
      </w:hyperlink>
    </w:p>
    <w:p w14:paraId="78942E94" w14:textId="77777777" w:rsidR="005F7639" w:rsidRPr="005F7639" w:rsidRDefault="005F7639" w:rsidP="005F7639">
      <w:pPr>
        <w:pStyle w:val="References"/>
        <w:rPr>
          <w:lang w:val="de-DE"/>
        </w:rPr>
      </w:pPr>
      <w:r>
        <w:t xml:space="preserve">Costello, T. H., Bowes, S. M., Stevens, S. T., Waldman, I. D., Tasimi, A., &amp; Lilienfeld, S. O. (2022). Clarifying the structure and nature of left-wing authoritarianism. </w:t>
      </w:r>
      <w:r>
        <w:rPr>
          <w:rStyle w:val="Emphasis"/>
        </w:rPr>
        <w:t>Journal of Personality and Social Psychology</w:t>
      </w:r>
      <w:r>
        <w:t xml:space="preserve">, </w:t>
      </w:r>
      <w:r>
        <w:rPr>
          <w:rStyle w:val="Emphasis"/>
        </w:rPr>
        <w:t>122</w:t>
      </w:r>
      <w:r>
        <w:t xml:space="preserve">(1), 135–170. </w:t>
      </w:r>
      <w:hyperlink r:id="rId24" w:history="1">
        <w:r w:rsidRPr="005F7639">
          <w:rPr>
            <w:rStyle w:val="Hyperlink"/>
            <w:lang w:val="de-DE"/>
          </w:rPr>
          <w:t>https://doi.org/10.1037/pspp0000341</w:t>
        </w:r>
      </w:hyperlink>
    </w:p>
    <w:p w14:paraId="67CBE937" w14:textId="74556EE6" w:rsidR="005F7639" w:rsidRDefault="005F7639" w:rsidP="005F7639">
      <w:pPr>
        <w:pStyle w:val="References"/>
      </w:pPr>
      <w:r w:rsidRPr="005F7639">
        <w:rPr>
          <w:lang w:val="de-DE"/>
        </w:rPr>
        <w:t xml:space="preserve">Davies, G., Wu, E., &amp; Frank, R. (2023). </w:t>
      </w:r>
      <w:r>
        <w:t>A witch</w:t>
      </w:r>
      <w:r w:rsidR="00707BC0">
        <w:t>’</w:t>
      </w:r>
      <w:r>
        <w:t xml:space="preserve">s brew of grievances: The potential effects of COVID-19 on radicalization to violent extremism. </w:t>
      </w:r>
      <w:r>
        <w:rPr>
          <w:rStyle w:val="Emphasis"/>
        </w:rPr>
        <w:t>Studies in Conflict &amp; Terrorism</w:t>
      </w:r>
      <w:r>
        <w:t xml:space="preserve">, </w:t>
      </w:r>
      <w:r>
        <w:rPr>
          <w:rStyle w:val="Emphasis"/>
        </w:rPr>
        <w:t>46</w:t>
      </w:r>
      <w:r>
        <w:t xml:space="preserve">(11), 2327–2350. </w:t>
      </w:r>
      <w:hyperlink r:id="rId25" w:history="1">
        <w:r>
          <w:rPr>
            <w:rStyle w:val="Hyperlink"/>
          </w:rPr>
          <w:t>https://doi.org/10.1080/1057610X.2021.1923188</w:t>
        </w:r>
      </w:hyperlink>
    </w:p>
    <w:p w14:paraId="14BEC0B8" w14:textId="77777777" w:rsidR="005F7639" w:rsidRDefault="005F7639" w:rsidP="005F7639">
      <w:pPr>
        <w:pStyle w:val="References"/>
      </w:pPr>
      <w:r>
        <w:t xml:space="preserve">Dinas, E., Matakos, K., Xefteris, D., &amp; Hangartner, D. (2019). Waking up the Golden Dawn: Does exposure to the refugee crisis increase support for extreme-right parties? </w:t>
      </w:r>
      <w:r>
        <w:rPr>
          <w:rStyle w:val="Emphasis"/>
        </w:rPr>
        <w:t>Political Analysis</w:t>
      </w:r>
      <w:r>
        <w:t xml:space="preserve">, </w:t>
      </w:r>
      <w:r>
        <w:rPr>
          <w:rStyle w:val="Emphasis"/>
        </w:rPr>
        <w:t>27</w:t>
      </w:r>
      <w:r>
        <w:t xml:space="preserve">(2), 244–254. </w:t>
      </w:r>
      <w:hyperlink r:id="rId26" w:history="1">
        <w:r>
          <w:rPr>
            <w:rStyle w:val="Hyperlink"/>
          </w:rPr>
          <w:t>https://doi.org/10.1017/pan.2018.48</w:t>
        </w:r>
      </w:hyperlink>
    </w:p>
    <w:p w14:paraId="74F40F3C" w14:textId="77777777" w:rsidR="005F7639" w:rsidRDefault="005F7639" w:rsidP="005F7639">
      <w:pPr>
        <w:pStyle w:val="References"/>
      </w:pPr>
      <w:r>
        <w:t xml:space="preserve">Dolezal, M. (2010). Exploring the stabilization of a political force: The social and attitudinal basis of Green parties in the age of globalization. </w:t>
      </w:r>
      <w:r>
        <w:rPr>
          <w:rStyle w:val="Emphasis"/>
        </w:rPr>
        <w:t>West European Politics</w:t>
      </w:r>
      <w:r>
        <w:t xml:space="preserve">, </w:t>
      </w:r>
      <w:r>
        <w:rPr>
          <w:rStyle w:val="Emphasis"/>
        </w:rPr>
        <w:t>33</w:t>
      </w:r>
      <w:r>
        <w:t xml:space="preserve">(3), 534–552. </w:t>
      </w:r>
      <w:hyperlink r:id="rId27" w:history="1">
        <w:r>
          <w:rPr>
            <w:rStyle w:val="Hyperlink"/>
          </w:rPr>
          <w:t>https://doi.org/10.1080/01402381003654569</w:t>
        </w:r>
      </w:hyperlink>
    </w:p>
    <w:p w14:paraId="51F95A12" w14:textId="77777777" w:rsidR="005F7639" w:rsidRPr="005F7639" w:rsidRDefault="005F7639" w:rsidP="005F7639">
      <w:pPr>
        <w:pStyle w:val="References"/>
        <w:rPr>
          <w:lang w:val="de-DE"/>
        </w:rPr>
      </w:pPr>
      <w:r>
        <w:t xml:space="preserve">Dono, M., Alzate, M., &amp; Seoane, G. (2018). Development and validation of the Monopoly on Truth Scale: A measure of political extremism. </w:t>
      </w:r>
      <w:r w:rsidRPr="005F7639">
        <w:rPr>
          <w:rStyle w:val="Emphasis"/>
          <w:lang w:val="de-DE"/>
        </w:rPr>
        <w:t>Psicothema</w:t>
      </w:r>
      <w:r w:rsidRPr="005F7639">
        <w:rPr>
          <w:lang w:val="de-DE"/>
        </w:rPr>
        <w:t xml:space="preserve">, </w:t>
      </w:r>
      <w:r w:rsidRPr="005F7639">
        <w:rPr>
          <w:rStyle w:val="Emphasis"/>
          <w:lang w:val="de-DE"/>
        </w:rPr>
        <w:t>30</w:t>
      </w:r>
      <w:r w:rsidRPr="005F7639">
        <w:rPr>
          <w:lang w:val="de-DE"/>
        </w:rPr>
        <w:t xml:space="preserve">(3), 330–336. </w:t>
      </w:r>
      <w:hyperlink r:id="rId28" w:history="1">
        <w:r w:rsidRPr="005F7639">
          <w:rPr>
            <w:rStyle w:val="Hyperlink"/>
            <w:lang w:val="de-DE"/>
          </w:rPr>
          <w:t>https://doi.org/10.7334/psicothema2017.423</w:t>
        </w:r>
      </w:hyperlink>
    </w:p>
    <w:p w14:paraId="66014652" w14:textId="77777777" w:rsidR="005F7639" w:rsidRDefault="005F7639" w:rsidP="005F7639">
      <w:pPr>
        <w:pStyle w:val="References"/>
      </w:pPr>
      <w:r w:rsidRPr="005F7639">
        <w:rPr>
          <w:lang w:val="de-DE"/>
        </w:rPr>
        <w:t xml:space="preserve">Doosje, B., Moghaddam, F. M., Kruglanski, A. W., de Wolf, A., Mann, L., &amp; Feddes, A. R. (2016). </w:t>
      </w:r>
      <w:r>
        <w:t xml:space="preserve">Terrorism, radicalization and de-radicalization. </w:t>
      </w:r>
      <w:r>
        <w:rPr>
          <w:rStyle w:val="Emphasis"/>
        </w:rPr>
        <w:t>Current Opinion in Psychology</w:t>
      </w:r>
      <w:r>
        <w:t xml:space="preserve">, </w:t>
      </w:r>
      <w:r>
        <w:rPr>
          <w:rStyle w:val="Emphasis"/>
        </w:rPr>
        <w:t>11</w:t>
      </w:r>
      <w:r>
        <w:t xml:space="preserve">, 79–84. </w:t>
      </w:r>
      <w:hyperlink r:id="rId29" w:history="1">
        <w:r>
          <w:rPr>
            <w:rStyle w:val="Hyperlink"/>
          </w:rPr>
          <w:t>https://doi.org/10.1016/j.copsyc.2016.06.008</w:t>
        </w:r>
      </w:hyperlink>
    </w:p>
    <w:p w14:paraId="59F39333" w14:textId="77777777" w:rsidR="005F7639" w:rsidRDefault="005F7639" w:rsidP="005F7639">
      <w:pPr>
        <w:pStyle w:val="References"/>
      </w:pPr>
      <w:r>
        <w:t xml:space="preserve">Eatwell, E. R., &amp; Goodwin, M. (2010). </w:t>
      </w:r>
      <w:r>
        <w:rPr>
          <w:rStyle w:val="Emphasis"/>
        </w:rPr>
        <w:t>The new extremism in 21st century Britain</w:t>
      </w:r>
      <w:r>
        <w:t>. Routledge.</w:t>
      </w:r>
    </w:p>
    <w:p w14:paraId="207B70FD" w14:textId="3C6144CD" w:rsidR="005F7639" w:rsidRDefault="005F7639" w:rsidP="005F7639">
      <w:pPr>
        <w:pStyle w:val="References"/>
      </w:pPr>
      <w:r>
        <w:t>Enders, A. M., &amp; Lupton, R. N. (2021). Value extremity contributes to affective polarization in the U</w:t>
      </w:r>
      <w:r w:rsidR="00AC22B3">
        <w:t>.</w:t>
      </w:r>
      <w:r>
        <w:t xml:space="preserve">S. </w:t>
      </w:r>
      <w:r>
        <w:rPr>
          <w:rStyle w:val="Emphasis"/>
        </w:rPr>
        <w:t>Political Science Research and Methods</w:t>
      </w:r>
      <w:r>
        <w:t xml:space="preserve">, </w:t>
      </w:r>
      <w:r>
        <w:rPr>
          <w:rStyle w:val="Emphasis"/>
        </w:rPr>
        <w:t>9</w:t>
      </w:r>
      <w:r>
        <w:t xml:space="preserve">(4), 857–866. </w:t>
      </w:r>
      <w:hyperlink r:id="rId30" w:history="1">
        <w:r>
          <w:rPr>
            <w:rStyle w:val="Hyperlink"/>
          </w:rPr>
          <w:t>https://doi.org/10.1017/psrm.2020.27</w:t>
        </w:r>
      </w:hyperlink>
    </w:p>
    <w:p w14:paraId="3AAA7027" w14:textId="61C1640C" w:rsidR="005F7639" w:rsidRDefault="005F7639" w:rsidP="005F7639">
      <w:pPr>
        <w:pStyle w:val="References"/>
      </w:pPr>
      <w:r>
        <w:lastRenderedPageBreak/>
        <w:t>Fasching, N., Iyengar, S., Lelkes, Y., &amp; Westwood, S. J. (2024). Persistent polarization: The unexpected durability of political animosity around U</w:t>
      </w:r>
      <w:r w:rsidR="00AC22B3">
        <w:t>.S.</w:t>
      </w:r>
      <w:r>
        <w:t xml:space="preserve"> elections. </w:t>
      </w:r>
      <w:r>
        <w:rPr>
          <w:rStyle w:val="Emphasis"/>
        </w:rPr>
        <w:t>Science Advances</w:t>
      </w:r>
      <w:r>
        <w:t xml:space="preserve">, </w:t>
      </w:r>
      <w:r>
        <w:rPr>
          <w:rStyle w:val="Emphasis"/>
        </w:rPr>
        <w:t>10</w:t>
      </w:r>
      <w:r>
        <w:t xml:space="preserve">(36), eadm9198. </w:t>
      </w:r>
      <w:hyperlink r:id="rId31" w:history="1">
        <w:r>
          <w:rPr>
            <w:rStyle w:val="Hyperlink"/>
          </w:rPr>
          <w:t>https://doi.org/10.1126/sciadv.adm9198</w:t>
        </w:r>
      </w:hyperlink>
    </w:p>
    <w:p w14:paraId="379D64A1" w14:textId="77777777" w:rsidR="005F7639" w:rsidRDefault="005F7639" w:rsidP="005F7639">
      <w:pPr>
        <w:pStyle w:val="References"/>
      </w:pPr>
      <w:r>
        <w:t xml:space="preserve">Gibson, J., &amp; Bingham, R. (1982). On the conceptualization and measurement of political tolerance. </w:t>
      </w:r>
      <w:r>
        <w:rPr>
          <w:rStyle w:val="Emphasis"/>
        </w:rPr>
        <w:t>The American Political Science Review</w:t>
      </w:r>
      <w:r>
        <w:t xml:space="preserve">, </w:t>
      </w:r>
      <w:r>
        <w:rPr>
          <w:rStyle w:val="Emphasis"/>
        </w:rPr>
        <w:t>76</w:t>
      </w:r>
      <w:r>
        <w:t xml:space="preserve">, 603–620. </w:t>
      </w:r>
      <w:hyperlink r:id="rId32" w:history="1">
        <w:r>
          <w:rPr>
            <w:rStyle w:val="Hyperlink"/>
          </w:rPr>
          <w:t>https://doi.org/10.2307/1963734</w:t>
        </w:r>
      </w:hyperlink>
    </w:p>
    <w:p w14:paraId="2C2A53E0" w14:textId="77777777" w:rsidR="005F7639" w:rsidRDefault="005F7639" w:rsidP="005F7639">
      <w:pPr>
        <w:pStyle w:val="References"/>
      </w:pPr>
      <w:r>
        <w:t xml:space="preserve">Guhl, J. (2025). </w:t>
      </w:r>
      <w:r>
        <w:rPr>
          <w:rStyle w:val="Emphasis"/>
        </w:rPr>
        <w:t>Left wing extremism</w:t>
      </w:r>
      <w:r>
        <w:t xml:space="preserve">. Institute for Strategic Dialog (ISD). </w:t>
      </w:r>
      <w:hyperlink r:id="rId33" w:history="1">
        <w:r>
          <w:rPr>
            <w:rStyle w:val="Hyperlink"/>
          </w:rPr>
          <w:t>https://www.isdglobal.org/explainers/left-wing-extremism/</w:t>
        </w:r>
      </w:hyperlink>
    </w:p>
    <w:p w14:paraId="6EE0749D" w14:textId="77777777" w:rsidR="005F7639" w:rsidRDefault="005F7639" w:rsidP="005F7639">
      <w:pPr>
        <w:pStyle w:val="References"/>
      </w:pPr>
      <w:r>
        <w:t xml:space="preserve">Hirsch-Hoefler, S., Canetti, D., Rapaport, C., &amp; Hobfoll, S. E. (2014). Conflict will harden your heart: Exposure to violence, psychological distress, and peace barriers in Israel and Palestine. </w:t>
      </w:r>
      <w:r>
        <w:rPr>
          <w:rStyle w:val="Emphasis"/>
        </w:rPr>
        <w:t>British Journal of Political Science</w:t>
      </w:r>
      <w:r>
        <w:t xml:space="preserve">, </w:t>
      </w:r>
      <w:r>
        <w:rPr>
          <w:rStyle w:val="Emphasis"/>
        </w:rPr>
        <w:t>46</w:t>
      </w:r>
      <w:r>
        <w:t xml:space="preserve">(4), 845–859. </w:t>
      </w:r>
      <w:hyperlink r:id="rId34" w:history="1">
        <w:r>
          <w:rPr>
            <w:rStyle w:val="Hyperlink"/>
          </w:rPr>
          <w:t>https://doi.org/10.1017/S0007123414000374</w:t>
        </w:r>
      </w:hyperlink>
    </w:p>
    <w:p w14:paraId="33E6ACBD" w14:textId="0101449D" w:rsidR="005F7639" w:rsidRDefault="005F7639" w:rsidP="005F7639">
      <w:pPr>
        <w:pStyle w:val="References"/>
      </w:pPr>
      <w:r>
        <w:t>Jackson, S. (2019). Non</w:t>
      </w:r>
      <w:r w:rsidR="006F625E">
        <w:t>-</w:t>
      </w:r>
      <w:r>
        <w:t>normative political extremism: Reclaiming a concept</w:t>
      </w:r>
      <w:r w:rsidR="00707BC0">
        <w:t>’</w:t>
      </w:r>
      <w:r>
        <w:t xml:space="preserve">s analytical utility. </w:t>
      </w:r>
      <w:r>
        <w:rPr>
          <w:rStyle w:val="Emphasis"/>
        </w:rPr>
        <w:t>Terrorism and Political Violence</w:t>
      </w:r>
      <w:r>
        <w:t xml:space="preserve">, </w:t>
      </w:r>
      <w:r>
        <w:rPr>
          <w:rStyle w:val="Emphasis"/>
        </w:rPr>
        <w:t>31</w:t>
      </w:r>
      <w:r>
        <w:t xml:space="preserve">(2), 244–259. </w:t>
      </w:r>
      <w:hyperlink r:id="rId35" w:history="1">
        <w:r>
          <w:rPr>
            <w:rStyle w:val="Hyperlink"/>
          </w:rPr>
          <w:t>https://doi.org/10.1080/09546553.2016.1212599</w:t>
        </w:r>
      </w:hyperlink>
    </w:p>
    <w:p w14:paraId="337D9252" w14:textId="77777777" w:rsidR="005F7639" w:rsidRDefault="005F7639" w:rsidP="005F7639">
      <w:pPr>
        <w:pStyle w:val="References"/>
      </w:pPr>
      <w:r>
        <w:t xml:space="preserve">Jasko, K., LaFree, G., Piazza, J., &amp; Becker, M. H. (2022). A comparison of political violence by left-wing, right-wing, and Islamist extremists in the United States and the world. </w:t>
      </w:r>
      <w:r>
        <w:rPr>
          <w:rStyle w:val="Emphasis"/>
        </w:rPr>
        <w:t>Proceedings of the National Academy of Sciences</w:t>
      </w:r>
      <w:r>
        <w:t xml:space="preserve">, </w:t>
      </w:r>
      <w:r>
        <w:rPr>
          <w:rStyle w:val="Emphasis"/>
        </w:rPr>
        <w:t>119</w:t>
      </w:r>
      <w:r>
        <w:t xml:space="preserve">(30), e2122593119. </w:t>
      </w:r>
      <w:hyperlink r:id="rId36" w:history="1">
        <w:r>
          <w:rPr>
            <w:rStyle w:val="Hyperlink"/>
          </w:rPr>
          <w:t>https://doi.org/10.1073/pnas.2122593119</w:t>
        </w:r>
      </w:hyperlink>
    </w:p>
    <w:p w14:paraId="73632E73" w14:textId="77777777" w:rsidR="005F7639" w:rsidRDefault="005F7639" w:rsidP="005F7639">
      <w:pPr>
        <w:pStyle w:val="References"/>
      </w:pPr>
      <w:r>
        <w:t xml:space="preserve">Jost, J. T. (2024). Both-sideology endangers democracy and social science. </w:t>
      </w:r>
      <w:r>
        <w:rPr>
          <w:rStyle w:val="Emphasis"/>
        </w:rPr>
        <w:t>Journal of Social Issues</w:t>
      </w:r>
      <w:r>
        <w:t xml:space="preserve">, </w:t>
      </w:r>
      <w:r>
        <w:rPr>
          <w:rStyle w:val="Emphasis"/>
        </w:rPr>
        <w:t>80</w:t>
      </w:r>
      <w:r>
        <w:t xml:space="preserve">(3), 1138–1203. </w:t>
      </w:r>
      <w:hyperlink r:id="rId37" w:history="1">
        <w:r>
          <w:rPr>
            <w:rStyle w:val="Hyperlink"/>
          </w:rPr>
          <w:t>https://doi.org/10.1111/josi.12633</w:t>
        </w:r>
      </w:hyperlink>
    </w:p>
    <w:p w14:paraId="3EF9E9BD" w14:textId="77777777" w:rsidR="005F7639" w:rsidRDefault="005F7639" w:rsidP="005F7639">
      <w:pPr>
        <w:pStyle w:val="References"/>
      </w:pPr>
      <w:r>
        <w:t xml:space="preserve">Jost, J. T., Federico, C. M., &amp; Napier, J. L. (2009). Political ideology: Its structure, functions, and elective affinities. </w:t>
      </w:r>
      <w:r>
        <w:rPr>
          <w:rStyle w:val="Emphasis"/>
        </w:rPr>
        <w:t>Annual Review of Psychology</w:t>
      </w:r>
      <w:r>
        <w:t xml:space="preserve">, </w:t>
      </w:r>
      <w:r>
        <w:rPr>
          <w:rStyle w:val="Emphasis"/>
        </w:rPr>
        <w:t>60</w:t>
      </w:r>
      <w:r>
        <w:t xml:space="preserve">(1), 307–337. </w:t>
      </w:r>
      <w:hyperlink r:id="rId38" w:history="1">
        <w:r>
          <w:rPr>
            <w:rStyle w:val="Hyperlink"/>
          </w:rPr>
          <w:t>https://doi.org/10.1146/annurev.psych.60.110707.163600</w:t>
        </w:r>
      </w:hyperlink>
    </w:p>
    <w:p w14:paraId="1488CA29" w14:textId="77777777" w:rsidR="005F7639" w:rsidRDefault="005F7639" w:rsidP="005F7639">
      <w:pPr>
        <w:pStyle w:val="References"/>
      </w:pPr>
      <w:r>
        <w:t xml:space="preserve">Jungkunz, S. (2019). Towards a measurement of extreme left-wing attitudes. </w:t>
      </w:r>
      <w:r>
        <w:rPr>
          <w:rStyle w:val="Emphasis"/>
        </w:rPr>
        <w:t>German Politics</w:t>
      </w:r>
      <w:r>
        <w:t xml:space="preserve">, </w:t>
      </w:r>
      <w:r>
        <w:rPr>
          <w:rStyle w:val="Emphasis"/>
        </w:rPr>
        <w:t>28</w:t>
      </w:r>
      <w:r>
        <w:t xml:space="preserve">(1), 101–122. </w:t>
      </w:r>
      <w:hyperlink r:id="rId39" w:history="1">
        <w:r>
          <w:rPr>
            <w:rStyle w:val="Hyperlink"/>
          </w:rPr>
          <w:t>https://doi.org/10.1080/09644008.2018.1484906</w:t>
        </w:r>
      </w:hyperlink>
    </w:p>
    <w:p w14:paraId="5EC039D8" w14:textId="77777777" w:rsidR="005F7639" w:rsidRDefault="005F7639" w:rsidP="005F7639">
      <w:pPr>
        <w:pStyle w:val="References"/>
      </w:pPr>
      <w:r>
        <w:t xml:space="preserve">Jungkunz, S. (2022). </w:t>
      </w:r>
      <w:r>
        <w:rPr>
          <w:rStyle w:val="Emphasis"/>
        </w:rPr>
        <w:t>The nature and origins of political extremism in Germany and beyond</w:t>
      </w:r>
      <w:r>
        <w:t xml:space="preserve">. Springer International Publishing. </w:t>
      </w:r>
      <w:hyperlink r:id="rId40" w:history="1">
        <w:r>
          <w:rPr>
            <w:rStyle w:val="Hyperlink"/>
          </w:rPr>
          <w:t>https://doi.org/10.1007/978-3-030-83336-7</w:t>
        </w:r>
      </w:hyperlink>
    </w:p>
    <w:p w14:paraId="0F780118" w14:textId="77777777" w:rsidR="005F7639" w:rsidRDefault="005F7639" w:rsidP="005F7639">
      <w:pPr>
        <w:pStyle w:val="References"/>
      </w:pPr>
      <w:r>
        <w:t xml:space="preserve">Jungkunz, S., Helbling, M., &amp; Osenbrügge, N. (2024). Measuring political radicalism and extremism in surveys: Three new scales. </w:t>
      </w:r>
      <w:r>
        <w:rPr>
          <w:rStyle w:val="Emphasis"/>
        </w:rPr>
        <w:t>PLOS ONE</w:t>
      </w:r>
      <w:r>
        <w:t xml:space="preserve">, </w:t>
      </w:r>
      <w:r>
        <w:rPr>
          <w:rStyle w:val="Emphasis"/>
        </w:rPr>
        <w:t>19</w:t>
      </w:r>
      <w:r>
        <w:t xml:space="preserve">(5), e0300661. </w:t>
      </w:r>
      <w:hyperlink r:id="rId41" w:history="1">
        <w:r>
          <w:rPr>
            <w:rStyle w:val="Hyperlink"/>
          </w:rPr>
          <w:t>https://doi.org/10.1371/journal.pone.0300661</w:t>
        </w:r>
      </w:hyperlink>
    </w:p>
    <w:p w14:paraId="09CE9F3C" w14:textId="77777777" w:rsidR="005F7639" w:rsidRDefault="005F7639" w:rsidP="005F7639">
      <w:pPr>
        <w:pStyle w:val="References"/>
      </w:pPr>
      <w:r>
        <w:lastRenderedPageBreak/>
        <w:t xml:space="preserve">Khalil, L. (2021). </w:t>
      </w:r>
      <w:r>
        <w:rPr>
          <w:rStyle w:val="Emphasis"/>
        </w:rPr>
        <w:t>The impact of natural disasters on violent extremism</w:t>
      </w:r>
      <w:r>
        <w:t xml:space="preserve">. Australian Strategic Policy Institute. </w:t>
      </w:r>
      <w:hyperlink r:id="rId42" w:history="1">
        <w:r>
          <w:rPr>
            <w:rStyle w:val="Hyperlink"/>
          </w:rPr>
          <w:t>https://www.jstor.org/stable/resrep31258.24</w:t>
        </w:r>
      </w:hyperlink>
    </w:p>
    <w:p w14:paraId="56BF6609" w14:textId="77777777" w:rsidR="005F7639" w:rsidRDefault="005F7639" w:rsidP="005F7639">
      <w:pPr>
        <w:pStyle w:val="References"/>
      </w:pPr>
      <w:r w:rsidRPr="005F7639">
        <w:rPr>
          <w:lang w:val="de-DE"/>
        </w:rPr>
        <w:t xml:space="preserve">Kofman, Y., &amp; Garfin, D. R. (2020). </w:t>
      </w:r>
      <w:r>
        <w:t xml:space="preserve">Home is not always a haven: The domestic violence crisis amid the COVID-19 pandemic. </w:t>
      </w:r>
      <w:r>
        <w:rPr>
          <w:rStyle w:val="Emphasis"/>
        </w:rPr>
        <w:t>Psychological Trauma: Theory, Research, Practice and Policy</w:t>
      </w:r>
      <w:r>
        <w:t xml:space="preserve">, </w:t>
      </w:r>
      <w:r>
        <w:rPr>
          <w:rStyle w:val="Emphasis"/>
        </w:rPr>
        <w:t>12</w:t>
      </w:r>
      <w:r>
        <w:t xml:space="preserve">(Suppl 1), S199–S201. </w:t>
      </w:r>
      <w:hyperlink r:id="rId43" w:history="1">
        <w:r>
          <w:rPr>
            <w:rStyle w:val="Hyperlink"/>
          </w:rPr>
          <w:t>https://doi.org/10.1037/tra0000866</w:t>
        </w:r>
      </w:hyperlink>
    </w:p>
    <w:p w14:paraId="07BA4BAD" w14:textId="77777777" w:rsidR="005F7639" w:rsidRDefault="005F7639" w:rsidP="005F7639">
      <w:pPr>
        <w:pStyle w:val="References"/>
      </w:pPr>
      <w:r>
        <w:t xml:space="preserve">Krüsselmann, K., &amp; Weggemans, D. (2023). Radicalization and left-wing extremism. In J. P. Zúquete (Ed.), </w:t>
      </w:r>
      <w:r>
        <w:rPr>
          <w:rStyle w:val="Emphasis"/>
        </w:rPr>
        <w:t>The Palgrave handbook of left-wing extremism, Volume 1</w:t>
      </w:r>
      <w:r>
        <w:t xml:space="preserve"> (pp. 55–68). Springer International Publishing. </w:t>
      </w:r>
      <w:hyperlink r:id="rId44" w:history="1">
        <w:r>
          <w:rPr>
            <w:rStyle w:val="Hyperlink"/>
          </w:rPr>
          <w:t>https://doi.org/10.1007/978-3-031-30897-0_3</w:t>
        </w:r>
      </w:hyperlink>
    </w:p>
    <w:p w14:paraId="10F5EE9D" w14:textId="77777777" w:rsidR="005F7639" w:rsidRDefault="005F7639" w:rsidP="005F7639">
      <w:pPr>
        <w:pStyle w:val="References"/>
      </w:pPr>
      <w:r>
        <w:t xml:space="preserve">Mandel, D. (2010). Radicalization: What does it mean? In T. Pick &amp; A. Speckhard (Eds.), </w:t>
      </w:r>
      <w:r>
        <w:rPr>
          <w:rStyle w:val="Emphasis"/>
        </w:rPr>
        <w:t>Indigenous terrorism: Understanding and addressing the root causes of radicalisation among groups with an immigrant heritage in Europe</w:t>
      </w:r>
      <w:r>
        <w:t xml:space="preserve"> (pp. 101–113). IOS Press.</w:t>
      </w:r>
    </w:p>
    <w:p w14:paraId="45CFAA71" w14:textId="77777777" w:rsidR="005F7639" w:rsidRDefault="005F7639" w:rsidP="005F7639">
      <w:pPr>
        <w:pStyle w:val="References"/>
      </w:pPr>
      <w:r>
        <w:t xml:space="preserve">Marone, F. (2022). Hate in the time of coronavirus: Exploring the impact of the COVID-19 pandemic on violent extremism and terrorism in the West. </w:t>
      </w:r>
      <w:r>
        <w:rPr>
          <w:rStyle w:val="Emphasis"/>
        </w:rPr>
        <w:t>Security Journal</w:t>
      </w:r>
      <w:r>
        <w:t xml:space="preserve">, </w:t>
      </w:r>
      <w:r>
        <w:rPr>
          <w:rStyle w:val="Emphasis"/>
        </w:rPr>
        <w:t>35</w:t>
      </w:r>
      <w:r>
        <w:t xml:space="preserve">(1), 205–225. </w:t>
      </w:r>
      <w:hyperlink r:id="rId45" w:history="1">
        <w:r>
          <w:rPr>
            <w:rStyle w:val="Hyperlink"/>
          </w:rPr>
          <w:t>https://doi.org/10.1057/s41284-020-00274-y</w:t>
        </w:r>
      </w:hyperlink>
    </w:p>
    <w:p w14:paraId="4ACA8DBD" w14:textId="77777777" w:rsidR="005F7639" w:rsidRDefault="005F7639" w:rsidP="005F7639">
      <w:pPr>
        <w:pStyle w:val="References"/>
      </w:pPr>
      <w:r>
        <w:t xml:space="preserve">Michelitch, K., &amp; Utych, S. (2018). Electoral cycle fluctuations in partisanship: Global evidence from eighty-six countries. </w:t>
      </w:r>
      <w:r>
        <w:rPr>
          <w:rStyle w:val="Emphasis"/>
        </w:rPr>
        <w:t>The Journal of Politics</w:t>
      </w:r>
      <w:r>
        <w:t xml:space="preserve">, </w:t>
      </w:r>
      <w:r>
        <w:rPr>
          <w:rStyle w:val="Emphasis"/>
        </w:rPr>
        <w:t>80</w:t>
      </w:r>
      <w:r>
        <w:t xml:space="preserve">(2), 412–427. </w:t>
      </w:r>
      <w:hyperlink r:id="rId46" w:history="1">
        <w:r>
          <w:rPr>
            <w:rStyle w:val="Hyperlink"/>
          </w:rPr>
          <w:t>https://doi.org/10.1086/695775</w:t>
        </w:r>
      </w:hyperlink>
    </w:p>
    <w:p w14:paraId="57AC5996" w14:textId="77777777" w:rsidR="005F7639" w:rsidRDefault="005F7639" w:rsidP="005F7639">
      <w:pPr>
        <w:pStyle w:val="References"/>
      </w:pPr>
      <w:r>
        <w:t xml:space="preserve">Midlarsky, M. I. (2011). </w:t>
      </w:r>
      <w:r>
        <w:rPr>
          <w:rStyle w:val="Emphasis"/>
        </w:rPr>
        <w:t>Origins of political extremism: Mass violence in the twentieth century and beyond</w:t>
      </w:r>
      <w:r>
        <w:t>. Cambridge University Press.</w:t>
      </w:r>
    </w:p>
    <w:p w14:paraId="09F5A5BD" w14:textId="77777777" w:rsidR="005F7639" w:rsidRPr="005F7639" w:rsidRDefault="005F7639" w:rsidP="005F7639">
      <w:pPr>
        <w:pStyle w:val="References"/>
        <w:rPr>
          <w:lang w:val="de-DE"/>
        </w:rPr>
      </w:pPr>
      <w:r>
        <w:t xml:space="preserve">Mudde, C. (1995). Right-wing extremism analyzed. </w:t>
      </w:r>
      <w:r>
        <w:rPr>
          <w:rStyle w:val="Emphasis"/>
        </w:rPr>
        <w:t>European Journal of Political Research</w:t>
      </w:r>
      <w:r>
        <w:t xml:space="preserve">, </w:t>
      </w:r>
      <w:r>
        <w:rPr>
          <w:rStyle w:val="Emphasis"/>
        </w:rPr>
        <w:t>27</w:t>
      </w:r>
      <w:r>
        <w:t xml:space="preserve">(2), 203–224. </w:t>
      </w:r>
      <w:hyperlink r:id="rId47" w:history="1">
        <w:r w:rsidRPr="005F7639">
          <w:rPr>
            <w:rStyle w:val="Hyperlink"/>
            <w:lang w:val="de-DE"/>
          </w:rPr>
          <w:t>https://doi.org/10.1111/j.1475-6765.1995.tb00636.x</w:t>
        </w:r>
      </w:hyperlink>
    </w:p>
    <w:p w14:paraId="2FE3F9C2" w14:textId="778FC7A3" w:rsidR="005F7639" w:rsidRDefault="005F7639" w:rsidP="005F7639">
      <w:pPr>
        <w:pStyle w:val="References"/>
      </w:pPr>
      <w:r w:rsidRPr="005F7639">
        <w:rPr>
          <w:lang w:val="de-DE"/>
        </w:rPr>
        <w:t xml:space="preserve">Onursal, R., &amp; Kirkpatrick, D. (2021). </w:t>
      </w:r>
      <w:r>
        <w:t xml:space="preserve">Is extremism the </w:t>
      </w:r>
      <w:r w:rsidR="00707BC0">
        <w:t>‘</w:t>
      </w:r>
      <w:r>
        <w:t>new</w:t>
      </w:r>
      <w:r w:rsidR="00707BC0">
        <w:t>’</w:t>
      </w:r>
      <w:r>
        <w:t xml:space="preserve"> terrorism? The convergence of </w:t>
      </w:r>
      <w:r w:rsidR="00707BC0">
        <w:t>‘</w:t>
      </w:r>
      <w:r>
        <w:t>extremism</w:t>
      </w:r>
      <w:r w:rsidR="00707BC0">
        <w:t>’</w:t>
      </w:r>
      <w:r>
        <w:t xml:space="preserve"> and </w:t>
      </w:r>
      <w:r w:rsidR="00707BC0">
        <w:t>‘</w:t>
      </w:r>
      <w:r>
        <w:t>terrorism</w:t>
      </w:r>
      <w:r w:rsidR="00707BC0">
        <w:t>’</w:t>
      </w:r>
      <w:r>
        <w:t xml:space="preserve"> in British parliamentary discourse. </w:t>
      </w:r>
      <w:r>
        <w:rPr>
          <w:rStyle w:val="Emphasis"/>
        </w:rPr>
        <w:t>Terrorism and Political Violence</w:t>
      </w:r>
      <w:r>
        <w:t xml:space="preserve">, </w:t>
      </w:r>
      <w:r>
        <w:rPr>
          <w:rStyle w:val="Emphasis"/>
        </w:rPr>
        <w:t>33</w:t>
      </w:r>
      <w:r>
        <w:t xml:space="preserve">(5), 1094–1116. </w:t>
      </w:r>
      <w:hyperlink r:id="rId48" w:history="1">
        <w:r>
          <w:rPr>
            <w:rStyle w:val="Hyperlink"/>
          </w:rPr>
          <w:t>https://doi.org/10.1080/09546553.2019.1598391</w:t>
        </w:r>
      </w:hyperlink>
    </w:p>
    <w:p w14:paraId="57F166DC" w14:textId="77777777" w:rsidR="005F7639" w:rsidRDefault="005F7639" w:rsidP="005F7639">
      <w:pPr>
        <w:pStyle w:val="References"/>
      </w:pPr>
      <w:r>
        <w:t xml:space="preserve">Ozer, S., &amp; Bertelsen, P. (2018). Capturing violent radicalization: Developing and validating scales measuring central aspects of radicalization. </w:t>
      </w:r>
      <w:r>
        <w:rPr>
          <w:rStyle w:val="Emphasis"/>
        </w:rPr>
        <w:t>Scandinavian Journal of Psychology</w:t>
      </w:r>
      <w:r>
        <w:t xml:space="preserve">, </w:t>
      </w:r>
      <w:r>
        <w:rPr>
          <w:rStyle w:val="Emphasis"/>
        </w:rPr>
        <w:t>59</w:t>
      </w:r>
      <w:r>
        <w:t xml:space="preserve">(6), 653–660. </w:t>
      </w:r>
      <w:hyperlink r:id="rId49" w:history="1">
        <w:r>
          <w:rPr>
            <w:rStyle w:val="Hyperlink"/>
          </w:rPr>
          <w:t>https://doi.org/10.1111/sjop.12484</w:t>
        </w:r>
      </w:hyperlink>
    </w:p>
    <w:p w14:paraId="6303E887" w14:textId="77777777" w:rsidR="005F7639" w:rsidRDefault="005F7639" w:rsidP="005F7639">
      <w:pPr>
        <w:pStyle w:val="References"/>
      </w:pPr>
      <w:r>
        <w:t xml:space="preserve">Ozer, S., Obaidi, M., &amp; Bergh, R. (2025). The impact of globalized conflicts: Examining attitudes toward Jews among Britons in the political context of the </w:t>
      </w:r>
      <w:r>
        <w:lastRenderedPageBreak/>
        <w:t xml:space="preserve">war in Gaza. </w:t>
      </w:r>
      <w:r>
        <w:rPr>
          <w:rStyle w:val="Emphasis"/>
        </w:rPr>
        <w:t>International Journal of Intercultural Relations</w:t>
      </w:r>
      <w:r>
        <w:t xml:space="preserve">, </w:t>
      </w:r>
      <w:r>
        <w:rPr>
          <w:rStyle w:val="Emphasis"/>
        </w:rPr>
        <w:t>107</w:t>
      </w:r>
      <w:r>
        <w:t xml:space="preserve">, 102184. </w:t>
      </w:r>
      <w:hyperlink r:id="rId50" w:history="1">
        <w:r>
          <w:rPr>
            <w:rStyle w:val="Hyperlink"/>
          </w:rPr>
          <w:t>https://doi.org/10.1016/j.ijintrel.2025.102184</w:t>
        </w:r>
      </w:hyperlink>
    </w:p>
    <w:p w14:paraId="27FC5E62" w14:textId="275959F0" w:rsidR="005F7639" w:rsidRDefault="005F7639" w:rsidP="005F7639">
      <w:pPr>
        <w:pStyle w:val="References"/>
      </w:pPr>
      <w:r w:rsidRPr="005F7639">
        <w:rPr>
          <w:lang w:val="de-DE"/>
        </w:rPr>
        <w:t xml:space="preserve">Pauwels, L. J. R., &amp; Heylen, B. (2020). </w:t>
      </w:r>
      <w:r>
        <w:t>Perceived group threat, perceived injustice, and self-reported right-wing violence: An integrative approach to the explanation</w:t>
      </w:r>
      <w:r w:rsidR="00AC22B3">
        <w:t xml:space="preserve"> of</w:t>
      </w:r>
      <w:r>
        <w:t xml:space="preserve"> right-wing violence. </w:t>
      </w:r>
      <w:r>
        <w:rPr>
          <w:rStyle w:val="Emphasis"/>
        </w:rPr>
        <w:t>Journal of Interpersonal Violence</w:t>
      </w:r>
      <w:r>
        <w:t xml:space="preserve">, </w:t>
      </w:r>
      <w:r>
        <w:rPr>
          <w:rStyle w:val="Emphasis"/>
        </w:rPr>
        <w:t>35</w:t>
      </w:r>
      <w:r>
        <w:t xml:space="preserve">(21–22), 4276–4302. </w:t>
      </w:r>
      <w:hyperlink r:id="rId51" w:history="1">
        <w:r>
          <w:rPr>
            <w:rStyle w:val="Hyperlink"/>
          </w:rPr>
          <w:t>https://doi.org/10.1177/0886260517713711</w:t>
        </w:r>
      </w:hyperlink>
    </w:p>
    <w:p w14:paraId="17BD9931" w14:textId="77777777" w:rsidR="005F7639" w:rsidRDefault="005F7639" w:rsidP="005F7639">
      <w:pPr>
        <w:pStyle w:val="References"/>
      </w:pPr>
      <w:r>
        <w:t xml:space="preserve">Pretus, C., Sheikh, H., Hamid, N., &amp; Atran, S. (2023). Predicting radicalism after perceived injustice: The role of separatist identity, sacred values, and police violence. </w:t>
      </w:r>
      <w:r>
        <w:rPr>
          <w:rStyle w:val="Emphasis"/>
        </w:rPr>
        <w:t>Journal of Social and Political Psychology</w:t>
      </w:r>
      <w:r>
        <w:t xml:space="preserve">, </w:t>
      </w:r>
      <w:r>
        <w:rPr>
          <w:rStyle w:val="Emphasis"/>
        </w:rPr>
        <w:t>11</w:t>
      </w:r>
      <w:r>
        <w:t xml:space="preserve">(2), Article 2. </w:t>
      </w:r>
      <w:hyperlink r:id="rId52" w:history="1">
        <w:r>
          <w:rPr>
            <w:rStyle w:val="Hyperlink"/>
          </w:rPr>
          <w:t>https://doi.org/10.5964/jspp.11255</w:t>
        </w:r>
      </w:hyperlink>
    </w:p>
    <w:p w14:paraId="5FAA9A21" w14:textId="77777777" w:rsidR="005F7639" w:rsidRDefault="005F7639" w:rsidP="005F7639">
      <w:pPr>
        <w:pStyle w:val="References"/>
      </w:pPr>
      <w:r>
        <w:t xml:space="preserve">Rasler, K. (1986). War, accommodation, and violence in the United States, 1890-1970. </w:t>
      </w:r>
      <w:r>
        <w:rPr>
          <w:rStyle w:val="Emphasis"/>
        </w:rPr>
        <w:t>The American Political Science Review</w:t>
      </w:r>
      <w:r>
        <w:t xml:space="preserve">, </w:t>
      </w:r>
      <w:r>
        <w:rPr>
          <w:rStyle w:val="Emphasis"/>
        </w:rPr>
        <w:t>80</w:t>
      </w:r>
      <w:r>
        <w:t xml:space="preserve">(3), 921–945. </w:t>
      </w:r>
      <w:hyperlink r:id="rId53" w:history="1">
        <w:r>
          <w:rPr>
            <w:rStyle w:val="Hyperlink"/>
          </w:rPr>
          <w:t>https://doi.org/10.2307/1960545</w:t>
        </w:r>
      </w:hyperlink>
    </w:p>
    <w:p w14:paraId="2EE7E012" w14:textId="77777777" w:rsidR="005F7639" w:rsidRDefault="005F7639" w:rsidP="005F7639">
      <w:pPr>
        <w:pStyle w:val="References"/>
      </w:pPr>
      <w:r>
        <w:t xml:space="preserve">Rigoli, F. (2023). Political extremism in a global perspective. </w:t>
      </w:r>
      <w:r>
        <w:rPr>
          <w:rStyle w:val="Emphasis"/>
        </w:rPr>
        <w:t>Journal of Global Awareness</w:t>
      </w:r>
      <w:r>
        <w:t xml:space="preserve">, </w:t>
      </w:r>
      <w:r>
        <w:rPr>
          <w:rStyle w:val="Emphasis"/>
        </w:rPr>
        <w:t>4</w:t>
      </w:r>
      <w:r>
        <w:t xml:space="preserve">(1), 1–16. </w:t>
      </w:r>
      <w:hyperlink r:id="rId54" w:history="1">
        <w:r>
          <w:rPr>
            <w:rStyle w:val="Hyperlink"/>
          </w:rPr>
          <w:t>https://doi.org/10.24073/jga/4/01/03</w:t>
        </w:r>
      </w:hyperlink>
    </w:p>
    <w:p w14:paraId="108BE497" w14:textId="77777777" w:rsidR="005F7639" w:rsidRDefault="005F7639" w:rsidP="005F7639">
      <w:pPr>
        <w:pStyle w:val="References"/>
      </w:pPr>
      <w:r>
        <w:t xml:space="preserve">Schmid, A. (2013). Radicalisation, de-radicalisation, counter-radicalisation: A conceptual discussion and literature review. </w:t>
      </w:r>
      <w:r>
        <w:rPr>
          <w:rStyle w:val="Emphasis"/>
        </w:rPr>
        <w:t>Terrorism and Counter-Terrorism Studies</w:t>
      </w:r>
      <w:r>
        <w:t xml:space="preserve">. </w:t>
      </w:r>
      <w:hyperlink r:id="rId55" w:history="1">
        <w:r>
          <w:rPr>
            <w:rStyle w:val="Hyperlink"/>
          </w:rPr>
          <w:t>https://doi.org/10.19165/2013.1.02</w:t>
        </w:r>
      </w:hyperlink>
    </w:p>
    <w:p w14:paraId="61CD245C" w14:textId="77777777" w:rsidR="005F7639" w:rsidRDefault="005F7639" w:rsidP="005F7639">
      <w:pPr>
        <w:pStyle w:val="References"/>
      </w:pPr>
      <w:r>
        <w:t xml:space="preserve">Schmid, A. (2014). Violent and non-violent extremism: Two sides of the same coin? </w:t>
      </w:r>
      <w:r>
        <w:rPr>
          <w:rStyle w:val="Emphasis"/>
        </w:rPr>
        <w:t>Terrorism and Counter-Terrorism Studies</w:t>
      </w:r>
      <w:r>
        <w:t xml:space="preserve">. </w:t>
      </w:r>
      <w:hyperlink r:id="rId56" w:history="1">
        <w:r>
          <w:rPr>
            <w:rStyle w:val="Hyperlink"/>
          </w:rPr>
          <w:t>https://doi.org/10.19165/2014.1.05</w:t>
        </w:r>
      </w:hyperlink>
    </w:p>
    <w:p w14:paraId="15F8BD68" w14:textId="77777777" w:rsidR="005F7639" w:rsidRDefault="005F7639" w:rsidP="005F7639">
      <w:pPr>
        <w:pStyle w:val="References"/>
      </w:pPr>
      <w:r>
        <w:t xml:space="preserve">Scruton, R. (2007). </w:t>
      </w:r>
      <w:r>
        <w:rPr>
          <w:rStyle w:val="Emphasis"/>
        </w:rPr>
        <w:t>The Palgrave Macmillan dictionary of political thought</w:t>
      </w:r>
      <w:r>
        <w:t xml:space="preserve"> (3rd ed.). Palgrave Macmillan.</w:t>
      </w:r>
    </w:p>
    <w:p w14:paraId="02870C69" w14:textId="77777777" w:rsidR="005F7639" w:rsidRDefault="005F7639" w:rsidP="005F7639">
      <w:pPr>
        <w:pStyle w:val="References"/>
      </w:pPr>
      <w:r>
        <w:t xml:space="preserve">Sedgwick, M. (2010). The concept of radicalization as a source of confusion. </w:t>
      </w:r>
      <w:r>
        <w:rPr>
          <w:rStyle w:val="Emphasis"/>
        </w:rPr>
        <w:t>Terrorism and Political Violence</w:t>
      </w:r>
      <w:r>
        <w:t xml:space="preserve">, </w:t>
      </w:r>
      <w:r>
        <w:rPr>
          <w:rStyle w:val="Emphasis"/>
        </w:rPr>
        <w:t>22</w:t>
      </w:r>
      <w:r>
        <w:t xml:space="preserve">(4), 479–494. </w:t>
      </w:r>
      <w:hyperlink r:id="rId57" w:history="1">
        <w:r>
          <w:rPr>
            <w:rStyle w:val="Hyperlink"/>
          </w:rPr>
          <w:t>https://doi.org/10.1080/09546553.2010.491009</w:t>
        </w:r>
      </w:hyperlink>
    </w:p>
    <w:p w14:paraId="11F3D284" w14:textId="77777777" w:rsidR="005F7639" w:rsidRDefault="005F7639" w:rsidP="005F7639">
      <w:pPr>
        <w:pStyle w:val="References"/>
      </w:pPr>
      <w:r>
        <w:t xml:space="preserve">Shiller, V. V. (2019). Monitoring extremist sentiments as a diagnostic and preventive toolkit of anti-extremist activities (experience in the Kemerovo region). 584–589. </w:t>
      </w:r>
      <w:hyperlink r:id="rId58" w:history="1">
        <w:r>
          <w:rPr>
            <w:rStyle w:val="Hyperlink"/>
          </w:rPr>
          <w:t>https://doi.org/10.2991/icsdcbr-19.2019.118</w:t>
        </w:r>
      </w:hyperlink>
    </w:p>
    <w:p w14:paraId="51DFD88A" w14:textId="3D425773" w:rsidR="005F7639" w:rsidRDefault="005F7639" w:rsidP="005F7639">
      <w:pPr>
        <w:pStyle w:val="References"/>
      </w:pPr>
      <w:r>
        <w:t>Shuman, E., Saguy, T., Van Zomeren, M., &amp; Halperin, E. (2021). Disrupting the system constructively: Testing the effectiveness of non</w:t>
      </w:r>
      <w:r w:rsidR="006F625E">
        <w:t>-</w:t>
      </w:r>
      <w:r>
        <w:t>normative non</w:t>
      </w:r>
      <w:r w:rsidR="006F625E">
        <w:t>-</w:t>
      </w:r>
      <w:r>
        <w:t xml:space="preserve">violent collective action. </w:t>
      </w:r>
      <w:r>
        <w:rPr>
          <w:rStyle w:val="Emphasis"/>
        </w:rPr>
        <w:t>Journal of Personality and Social Psychology</w:t>
      </w:r>
      <w:r>
        <w:t xml:space="preserve">, </w:t>
      </w:r>
      <w:r>
        <w:rPr>
          <w:rStyle w:val="Emphasis"/>
        </w:rPr>
        <w:t>121</w:t>
      </w:r>
      <w:r>
        <w:t xml:space="preserve">(4), 819–841. </w:t>
      </w:r>
      <w:hyperlink r:id="rId59" w:history="1">
        <w:r>
          <w:rPr>
            <w:rStyle w:val="Hyperlink"/>
          </w:rPr>
          <w:t>https://doi.org/10.1037/pspi0000333</w:t>
        </w:r>
      </w:hyperlink>
    </w:p>
    <w:p w14:paraId="1382F4A9" w14:textId="77777777" w:rsidR="005F7639" w:rsidRDefault="005F7639" w:rsidP="005F7639">
      <w:pPr>
        <w:pStyle w:val="References"/>
      </w:pPr>
      <w:r>
        <w:lastRenderedPageBreak/>
        <w:t xml:space="preserve">Sotlar, A. (2004). </w:t>
      </w:r>
      <w:r>
        <w:rPr>
          <w:rStyle w:val="Emphasis"/>
        </w:rPr>
        <w:t>Some problems with definition and perception of extremism within society</w:t>
      </w:r>
      <w:r>
        <w:t xml:space="preserve"> (208033). U.S. Department of Justice. </w:t>
      </w:r>
      <w:hyperlink r:id="rId60" w:history="1">
        <w:r>
          <w:rPr>
            <w:rStyle w:val="Hyperlink"/>
          </w:rPr>
          <w:t>https://www.ojp.gov/pdffiles1/nij/Mesko/208033.pdf</w:t>
        </w:r>
      </w:hyperlink>
    </w:p>
    <w:p w14:paraId="21F0B8A9" w14:textId="77777777" w:rsidR="005F7639" w:rsidRDefault="005F7639" w:rsidP="005F7639">
      <w:pPr>
        <w:pStyle w:val="References"/>
      </w:pPr>
      <w:r>
        <w:t xml:space="preserve">Steinhoff, P., &amp; Zwerman, G. (2008). Introduction to the special issue on political violence. </w:t>
      </w:r>
      <w:r>
        <w:rPr>
          <w:rStyle w:val="Emphasis"/>
        </w:rPr>
        <w:t>Qualitative Sociology</w:t>
      </w:r>
      <w:r>
        <w:t xml:space="preserve">, </w:t>
      </w:r>
      <w:r>
        <w:rPr>
          <w:rStyle w:val="Emphasis"/>
        </w:rPr>
        <w:t>31</w:t>
      </w:r>
      <w:r>
        <w:t xml:space="preserve">(3), 213–220. </w:t>
      </w:r>
      <w:hyperlink r:id="rId61" w:history="1">
        <w:r>
          <w:rPr>
            <w:rStyle w:val="Hyperlink"/>
          </w:rPr>
          <w:t>https://doi.org/10.1007/s11133-008-9111-3</w:t>
        </w:r>
      </w:hyperlink>
    </w:p>
    <w:p w14:paraId="2AE8E6E4" w14:textId="77777777" w:rsidR="005F7639" w:rsidRDefault="005F7639" w:rsidP="005F7639">
      <w:pPr>
        <w:pStyle w:val="References"/>
      </w:pPr>
      <w:r>
        <w:t xml:space="preserve">Stohl, M. (1975). War and domestic political violence: The case of the United States 1890–1970. </w:t>
      </w:r>
      <w:r>
        <w:rPr>
          <w:rStyle w:val="Emphasis"/>
        </w:rPr>
        <w:t>Journal of Conflict Resolution</w:t>
      </w:r>
      <w:r>
        <w:t xml:space="preserve">, </w:t>
      </w:r>
      <w:r>
        <w:rPr>
          <w:rStyle w:val="Emphasis"/>
        </w:rPr>
        <w:t>19</w:t>
      </w:r>
      <w:r>
        <w:t xml:space="preserve">(3), 379–416. </w:t>
      </w:r>
      <w:hyperlink r:id="rId62" w:history="1">
        <w:r>
          <w:rPr>
            <w:rStyle w:val="Hyperlink"/>
          </w:rPr>
          <w:t>https://doi.org/10.1177/002200277501900301</w:t>
        </w:r>
      </w:hyperlink>
    </w:p>
    <w:p w14:paraId="43EE74D9" w14:textId="77777777" w:rsidR="005F7639" w:rsidRDefault="005F7639" w:rsidP="005F7639">
      <w:pPr>
        <w:pStyle w:val="References"/>
      </w:pPr>
      <w:r>
        <w:t xml:space="preserve">Sullivan, J. L., Piereson, J., &amp; Marcus, G. E. (1979). An alternative conceptualization of political tolerance: Illusory increases 1950s-1970s. </w:t>
      </w:r>
      <w:r>
        <w:rPr>
          <w:rStyle w:val="Emphasis"/>
        </w:rPr>
        <w:t>The American Political Science Review</w:t>
      </w:r>
      <w:r>
        <w:t xml:space="preserve">, </w:t>
      </w:r>
      <w:r>
        <w:rPr>
          <w:rStyle w:val="Emphasis"/>
        </w:rPr>
        <w:t>73</w:t>
      </w:r>
      <w:r>
        <w:t xml:space="preserve">(3), 781–794. </w:t>
      </w:r>
      <w:hyperlink r:id="rId63" w:history="1">
        <w:r>
          <w:rPr>
            <w:rStyle w:val="Hyperlink"/>
          </w:rPr>
          <w:t>https://doi.org/10.2307/1955404</w:t>
        </w:r>
      </w:hyperlink>
    </w:p>
    <w:p w14:paraId="2E056F44" w14:textId="3760BA63" w:rsidR="005F7639" w:rsidRDefault="005F7639" w:rsidP="005F7639">
      <w:pPr>
        <w:pStyle w:val="References"/>
      </w:pPr>
      <w:r>
        <w:t xml:space="preserve">Svetlichny, A., &amp; Khorev, M. (2022). On the need to develop a unified terminological approach to the concept of </w:t>
      </w:r>
      <w:r w:rsidR="00707BC0">
        <w:t>‘</w:t>
      </w:r>
      <w:r>
        <w:t>extremism</w:t>
      </w:r>
      <w:r w:rsidR="00707BC0">
        <w:t>’</w:t>
      </w:r>
      <w:r>
        <w:t xml:space="preserve">: 004. </w:t>
      </w:r>
      <w:r>
        <w:rPr>
          <w:rStyle w:val="Emphasis"/>
        </w:rPr>
        <w:t>Dela Press Conference Series: Humanities and Social Sciences</w:t>
      </w:r>
      <w:r>
        <w:t xml:space="preserve">, </w:t>
      </w:r>
      <w:r>
        <w:rPr>
          <w:rStyle w:val="Emphasis"/>
        </w:rPr>
        <w:t>01</w:t>
      </w:r>
      <w:r>
        <w:t>, Article 01.</w:t>
      </w:r>
    </w:p>
    <w:p w14:paraId="218A53A7" w14:textId="77777777" w:rsidR="005F7639" w:rsidRPr="005F7639" w:rsidRDefault="005F7639" w:rsidP="005F7639">
      <w:pPr>
        <w:pStyle w:val="References"/>
        <w:rPr>
          <w:lang w:val="de-DE"/>
        </w:rPr>
      </w:pPr>
      <w:r>
        <w:t xml:space="preserve">Talshir, G. (2019). </w:t>
      </w:r>
      <w:r>
        <w:rPr>
          <w:rStyle w:val="Emphasis"/>
        </w:rPr>
        <w:t>Center parties and power change in Israeli politics</w:t>
      </w:r>
      <w:r>
        <w:t xml:space="preserve">. </w:t>
      </w:r>
      <w:r w:rsidRPr="005F7639">
        <w:rPr>
          <w:lang w:val="de-DE"/>
        </w:rPr>
        <w:t xml:space="preserve">Heinrich Böll Stiftung. </w:t>
      </w:r>
      <w:hyperlink r:id="rId64" w:history="1">
        <w:r w:rsidRPr="005F7639">
          <w:rPr>
            <w:rStyle w:val="Hyperlink"/>
            <w:lang w:val="de-DE"/>
          </w:rPr>
          <w:t>https://il.boell.org/en/2019/04/03/center-parties-and-power-change-israeli-politics</w:t>
        </w:r>
      </w:hyperlink>
    </w:p>
    <w:p w14:paraId="52B8003D" w14:textId="77777777" w:rsidR="005F7639" w:rsidRDefault="005F7639" w:rsidP="005F7639">
      <w:pPr>
        <w:pStyle w:val="References"/>
      </w:pPr>
      <w:r>
        <w:t xml:space="preserve">Uba, K., &amp; Bosi, L. (2022). Explaining youth radicalism as a positioning of the self at opposite extremes. </w:t>
      </w:r>
      <w:r>
        <w:rPr>
          <w:rStyle w:val="Emphasis"/>
        </w:rPr>
        <w:t>Politics</w:t>
      </w:r>
      <w:r>
        <w:t xml:space="preserve">, </w:t>
      </w:r>
      <w:r>
        <w:rPr>
          <w:rStyle w:val="Emphasis"/>
        </w:rPr>
        <w:t>42</w:t>
      </w:r>
      <w:r>
        <w:t xml:space="preserve">(1), 128–145. </w:t>
      </w:r>
      <w:hyperlink r:id="rId65" w:history="1">
        <w:r>
          <w:rPr>
            <w:rStyle w:val="Hyperlink"/>
          </w:rPr>
          <w:t>https://doi.org/10.1177/0263395721990539</w:t>
        </w:r>
      </w:hyperlink>
    </w:p>
    <w:p w14:paraId="77EE0471" w14:textId="77777777" w:rsidR="005F7639" w:rsidRDefault="005F7639" w:rsidP="005F7639">
      <w:pPr>
        <w:pStyle w:val="References"/>
      </w:pPr>
      <w:r>
        <w:t xml:space="preserve">UK Parliament. (2024). </w:t>
      </w:r>
      <w:r>
        <w:rPr>
          <w:rStyle w:val="Emphasis"/>
        </w:rPr>
        <w:t>Extremism definition and community engagement</w:t>
      </w:r>
      <w:r>
        <w:t xml:space="preserve">. UK Parliament. </w:t>
      </w:r>
      <w:hyperlink r:id="rId66" w:history="1">
        <w:r>
          <w:rPr>
            <w:rStyle w:val="Hyperlink"/>
          </w:rPr>
          <w:t>https://hansard.parliament.uk/Lords/2024-03-19/debates/0641C02D-BD26-47DB-900A-2916104490CB/ExtremismDefinitionAndCommunityEngagement</w:t>
        </w:r>
      </w:hyperlink>
    </w:p>
    <w:p w14:paraId="012D4C8E" w14:textId="77777777" w:rsidR="005F7639" w:rsidRDefault="005F7639" w:rsidP="005F7639">
      <w:pPr>
        <w:pStyle w:val="References"/>
      </w:pPr>
      <w:r>
        <w:t xml:space="preserve">Van Hiel, A., Onraet, E., Bostyn, D. H., Stadeus, J., Haesevoets, T., Van Assche, J., &amp; Roets, A. (2020). A meta-analytic integration of research on the relationship between right-wing ideological attitudes and aggressive tendencies. </w:t>
      </w:r>
      <w:r>
        <w:rPr>
          <w:rStyle w:val="Emphasis"/>
        </w:rPr>
        <w:t>European Review of Social Psychology</w:t>
      </w:r>
      <w:r>
        <w:t xml:space="preserve">, </w:t>
      </w:r>
      <w:r>
        <w:rPr>
          <w:rStyle w:val="Emphasis"/>
        </w:rPr>
        <w:t>31</w:t>
      </w:r>
      <w:r>
        <w:t xml:space="preserve">(1), 183–221. </w:t>
      </w:r>
      <w:hyperlink r:id="rId67" w:history="1">
        <w:r>
          <w:rPr>
            <w:rStyle w:val="Hyperlink"/>
          </w:rPr>
          <w:t>https://doi.org/10.1080/10463283.2020.1778324</w:t>
        </w:r>
      </w:hyperlink>
    </w:p>
    <w:p w14:paraId="41DE8D79" w14:textId="77777777" w:rsidR="005F7639" w:rsidRDefault="005F7639" w:rsidP="005F7639">
      <w:pPr>
        <w:pStyle w:val="References"/>
      </w:pPr>
      <w:r>
        <w:t xml:space="preserve">van Prooijen, J.-W., &amp; Krouwel, A. P. M. (2019). Psychological features of extreme political ideologies. </w:t>
      </w:r>
      <w:r>
        <w:rPr>
          <w:rStyle w:val="Emphasis"/>
        </w:rPr>
        <w:t>Current Directions in Psychological Science</w:t>
      </w:r>
      <w:r>
        <w:t xml:space="preserve">, </w:t>
      </w:r>
      <w:r>
        <w:rPr>
          <w:rStyle w:val="Emphasis"/>
        </w:rPr>
        <w:t>28</w:t>
      </w:r>
      <w:r>
        <w:t xml:space="preserve">(2), 111–217. </w:t>
      </w:r>
      <w:hyperlink r:id="rId68" w:history="1">
        <w:r>
          <w:rPr>
            <w:rStyle w:val="Hyperlink"/>
          </w:rPr>
          <w:t>https://doi.org/10.1177/0963721418817755</w:t>
        </w:r>
      </w:hyperlink>
    </w:p>
    <w:p w14:paraId="11E6230B" w14:textId="77777777" w:rsidR="005F7639" w:rsidRDefault="005F7639" w:rsidP="005F7639">
      <w:pPr>
        <w:pStyle w:val="References"/>
      </w:pPr>
      <w:r>
        <w:lastRenderedPageBreak/>
        <w:t xml:space="preserve">van Prooijen, J.-W., &amp; Krouwel, A. P. M. (2022). Political extremism. In C. G. Sibley &amp; D. Osborne (Eds.), </w:t>
      </w:r>
      <w:r>
        <w:rPr>
          <w:rStyle w:val="Emphasis"/>
        </w:rPr>
        <w:t>The Cambridge handbook of political psychology</w:t>
      </w:r>
      <w:r>
        <w:t xml:space="preserve"> (pp. 414–428). Cambridge University Press. </w:t>
      </w:r>
      <w:hyperlink r:id="rId69" w:history="1">
        <w:r>
          <w:rPr>
            <w:rStyle w:val="Hyperlink"/>
          </w:rPr>
          <w:t>https://doi.org/10.1017/9781108779104.029</w:t>
        </w:r>
      </w:hyperlink>
    </w:p>
    <w:p w14:paraId="44DB11E5" w14:textId="77777777" w:rsidR="005F7639" w:rsidRDefault="005F7639" w:rsidP="005F7639">
      <w:pPr>
        <w:pStyle w:val="References"/>
      </w:pPr>
      <w:r>
        <w:t xml:space="preserve">van Prooijen, J.-W., Krouwel, A. P. M., &amp; Pollet, T. V. (2015). Political extremism predicts belief in conspiracy theories. </w:t>
      </w:r>
      <w:r>
        <w:rPr>
          <w:rStyle w:val="Emphasis"/>
        </w:rPr>
        <w:t>Social Psychological and Personality Science</w:t>
      </w:r>
      <w:r>
        <w:t xml:space="preserve">, </w:t>
      </w:r>
      <w:r>
        <w:rPr>
          <w:rStyle w:val="Emphasis"/>
        </w:rPr>
        <w:t>6</w:t>
      </w:r>
      <w:r>
        <w:t xml:space="preserve">(5), 570–578. </w:t>
      </w:r>
      <w:hyperlink r:id="rId70" w:history="1">
        <w:r>
          <w:rPr>
            <w:rStyle w:val="Hyperlink"/>
          </w:rPr>
          <w:t>https://doi.org/10.1177/1948550614567356</w:t>
        </w:r>
      </w:hyperlink>
    </w:p>
    <w:p w14:paraId="234A612C" w14:textId="77777777" w:rsidR="005F7639" w:rsidRDefault="005F7639" w:rsidP="005F7639">
      <w:pPr>
        <w:pStyle w:val="References"/>
      </w:pPr>
      <w:r>
        <w:t xml:space="preserve">van Prooijen, J.-W., &amp; Kuijper, S. M. H. C. (2020). A comparison of extreme religious and political ideologies: Similar worldviews but different grievances. </w:t>
      </w:r>
      <w:r>
        <w:rPr>
          <w:rStyle w:val="Emphasis"/>
        </w:rPr>
        <w:t>Personality and Individual Differences</w:t>
      </w:r>
      <w:r>
        <w:t xml:space="preserve">, </w:t>
      </w:r>
      <w:r>
        <w:rPr>
          <w:rStyle w:val="Emphasis"/>
        </w:rPr>
        <w:t>159</w:t>
      </w:r>
      <w:r>
        <w:t xml:space="preserve">, 109888. </w:t>
      </w:r>
      <w:hyperlink r:id="rId71" w:history="1">
        <w:r>
          <w:rPr>
            <w:rStyle w:val="Hyperlink"/>
          </w:rPr>
          <w:t>https://doi.org/10.1016/j.paid.2020.109888</w:t>
        </w:r>
      </w:hyperlink>
    </w:p>
    <w:p w14:paraId="777EACCC" w14:textId="77777777" w:rsidR="005F7639" w:rsidRDefault="005F7639" w:rsidP="005F7639">
      <w:pPr>
        <w:pStyle w:val="References"/>
      </w:pPr>
      <w:r>
        <w:t xml:space="preserve">Vlachos, S. (2016). </w:t>
      </w:r>
      <w:r>
        <w:rPr>
          <w:rStyle w:val="Emphasis"/>
        </w:rPr>
        <w:t>The legacy of war exposure on political radicalization</w:t>
      </w:r>
      <w:r>
        <w:t xml:space="preserve">. Department of Economics (DEEP), University of Lausanne. </w:t>
      </w:r>
      <w:hyperlink r:id="rId72" w:history="1">
        <w:r>
          <w:rPr>
            <w:rStyle w:val="Hyperlink"/>
          </w:rPr>
          <w:t>https://serval.unil.ch/resource/serval:BIB_99F83F0E52A3.P001/REF.pdf</w:t>
        </w:r>
      </w:hyperlink>
    </w:p>
    <w:p w14:paraId="51B809D1" w14:textId="77777777" w:rsidR="005F7639" w:rsidRDefault="005F7639" w:rsidP="005F7639">
      <w:pPr>
        <w:pStyle w:val="References"/>
      </w:pPr>
      <w:r>
        <w:t xml:space="preserve">Wintrobe, R. (2006). </w:t>
      </w:r>
      <w:r>
        <w:rPr>
          <w:rStyle w:val="Emphasis"/>
        </w:rPr>
        <w:t>Rational extremism: The political economy of radicalism</w:t>
      </w:r>
      <w:r>
        <w:t>. Cambridge University Press.</w:t>
      </w:r>
    </w:p>
    <w:p w14:paraId="1C5D6C92" w14:textId="77777777" w:rsidR="005F7639" w:rsidRDefault="005F7639" w:rsidP="005F7639">
      <w:pPr>
        <w:pStyle w:val="References"/>
      </w:pPr>
      <w:r>
        <w:t xml:space="preserve">Zuell, C., &amp; Scholz, E. (2019). Construct equivalence of left-right scale placement in a cross-national perspective. </w:t>
      </w:r>
      <w:r>
        <w:rPr>
          <w:rStyle w:val="Emphasis"/>
        </w:rPr>
        <w:t>International Journal of Sociology</w:t>
      </w:r>
      <w:r>
        <w:t xml:space="preserve">, </w:t>
      </w:r>
      <w:r>
        <w:rPr>
          <w:rStyle w:val="Emphasis"/>
        </w:rPr>
        <w:t>49</w:t>
      </w:r>
      <w:r>
        <w:t xml:space="preserve">(1), 77–95. </w:t>
      </w:r>
      <w:hyperlink r:id="rId73" w:history="1">
        <w:r>
          <w:rPr>
            <w:rStyle w:val="Hyperlink"/>
          </w:rPr>
          <w:t>https://doi.org/10.1080/00207659.2018.1560982</w:t>
        </w:r>
      </w:hyperlink>
    </w:p>
    <w:p w14:paraId="55883800" w14:textId="77777777" w:rsidR="005F7639" w:rsidRPr="005F7639" w:rsidRDefault="005F7639" w:rsidP="005F7639">
      <w:pPr>
        <w:pStyle w:val="Paragraph"/>
        <w:rPr>
          <w:lang w:val="en-US"/>
        </w:rPr>
      </w:pPr>
    </w:p>
    <w:sectPr w:rsidR="005F7639" w:rsidRPr="005F7639" w:rsidSect="00074B81">
      <w:footerReference w:type="default" r:id="rId74"/>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C5B21" w14:textId="77777777" w:rsidR="002875B2" w:rsidRDefault="002875B2" w:rsidP="00AF2C92">
      <w:r>
        <w:separator/>
      </w:r>
    </w:p>
  </w:endnote>
  <w:endnote w:type="continuationSeparator" w:id="0">
    <w:p w14:paraId="06D3379F" w14:textId="77777777" w:rsidR="002875B2" w:rsidRDefault="002875B2"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032504"/>
      <w:docPartObj>
        <w:docPartGallery w:val="Page Numbers (Bottom of Page)"/>
        <w:docPartUnique/>
      </w:docPartObj>
    </w:sdtPr>
    <w:sdtEndPr>
      <w:rPr>
        <w:noProof/>
      </w:rPr>
    </w:sdtEndPr>
    <w:sdtContent>
      <w:p w14:paraId="44880520" w14:textId="76E33D54" w:rsidR="003A6765" w:rsidRDefault="003A67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399F2D"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3BCD4" w14:textId="77777777" w:rsidR="002875B2" w:rsidRDefault="002875B2" w:rsidP="00AF2C92">
      <w:r>
        <w:separator/>
      </w:r>
    </w:p>
  </w:footnote>
  <w:footnote w:type="continuationSeparator" w:id="0">
    <w:p w14:paraId="4B6A0047" w14:textId="77777777" w:rsidR="002875B2" w:rsidRDefault="002875B2" w:rsidP="00AF2C92">
      <w:r>
        <w:continuationSeparator/>
      </w:r>
    </w:p>
  </w:footnote>
  <w:footnote w:id="1">
    <w:p w14:paraId="22AF3A6F" w14:textId="77777777" w:rsidR="00254069" w:rsidRPr="008F2372" w:rsidRDefault="00254069" w:rsidP="00254069">
      <w:pPr>
        <w:pStyle w:val="FootnoteText"/>
        <w:rPr>
          <w:lang w:val="en-US"/>
        </w:rPr>
      </w:pPr>
      <w:r>
        <w:rPr>
          <w:rStyle w:val="FootnoteReference"/>
        </w:rPr>
        <w:footnoteRef/>
      </w:r>
      <w:r>
        <w:t xml:space="preserve"> </w:t>
      </w:r>
      <w:r w:rsidRPr="008F2372">
        <w:rPr>
          <w:lang w:val="en-US"/>
        </w:rPr>
        <w:t>The questionnaires and data used in this paper have been developed and collected by Prof. Sivan Hirsch-Hoefler and Prof. Julia Elad Strenger, based on generous support from the Program on Democratic Resilience and Development (PDRD), and from the institutionalized</w:t>
      </w:r>
      <w:r w:rsidRPr="008F2372">
        <w:rPr>
          <w:rtl/>
          <w:lang w:val="en-US"/>
        </w:rPr>
        <w:t xml:space="preserve"> </w:t>
      </w:r>
      <w:r w:rsidRPr="008F2372">
        <w:rPr>
          <w:lang w:val="en-US"/>
        </w:rPr>
        <w:t>partnership between the Konrad-Adenauer-Stiftung (KAS) and the Lauder School of Government, Diplomacy and Strategy, Reichman University (IDC Herzliya)</w:t>
      </w:r>
    </w:p>
  </w:footnote>
  <w:footnote w:id="2">
    <w:p w14:paraId="1679FF9A" w14:textId="7C977604" w:rsidR="006F625E" w:rsidRPr="00D2321C" w:rsidRDefault="006F625E" w:rsidP="006F625E">
      <w:pPr>
        <w:pStyle w:val="FootnoteText"/>
      </w:pPr>
      <w:r>
        <w:rPr>
          <w:rStyle w:val="FootnoteReference"/>
        </w:rPr>
        <w:footnoteRef/>
      </w:r>
      <w:r>
        <w:t xml:space="preserve"> See the Supplementary Information (SI) Appendix for dimensions not included.</w:t>
      </w:r>
    </w:p>
  </w:footnote>
  <w:footnote w:id="3">
    <w:p w14:paraId="3E30BBCA" w14:textId="37DEA396" w:rsidR="00594741" w:rsidRPr="00594741" w:rsidRDefault="00594741" w:rsidP="004043DC">
      <w:pPr>
        <w:pStyle w:val="FootnoteText"/>
        <w:rPr>
          <w:lang w:val="en-US"/>
        </w:rPr>
      </w:pPr>
      <w:r>
        <w:rPr>
          <w:rStyle w:val="FootnoteReference"/>
        </w:rPr>
        <w:footnoteRef/>
      </w:r>
      <w:r>
        <w:t xml:space="preserve"> </w:t>
      </w:r>
      <w:r>
        <w:rPr>
          <w:lang w:val="en-US"/>
        </w:rPr>
        <w:t xml:space="preserve">See the SI appendix for a detailed discussion on the calculation of the EP. </w:t>
      </w:r>
    </w:p>
  </w:footnote>
  <w:footnote w:id="4">
    <w:p w14:paraId="1915477A" w14:textId="77777777" w:rsidR="00074E1D" w:rsidRPr="005E1B30" w:rsidRDefault="00074E1D" w:rsidP="00074E1D">
      <w:pPr>
        <w:pStyle w:val="FootnoteText"/>
        <w:rPr>
          <w:lang w:val="en-US"/>
        </w:rPr>
      </w:pPr>
      <w:r>
        <w:rPr>
          <w:rStyle w:val="FootnoteReference"/>
        </w:rPr>
        <w:footnoteRef/>
      </w:r>
      <w:r>
        <w:t xml:space="preserve"> </w:t>
      </w:r>
      <w:r>
        <w:rPr>
          <w:lang w:val="en-US"/>
        </w:rPr>
        <w:t>Detailed CFA results for each dimension are provided in the SI appendix</w:t>
      </w:r>
    </w:p>
  </w:footnote>
  <w:footnote w:id="5">
    <w:p w14:paraId="31C9130E" w14:textId="421801D7" w:rsidR="007D20EB" w:rsidRPr="007D20EB" w:rsidRDefault="007D20EB">
      <w:pPr>
        <w:pStyle w:val="FootnoteText"/>
        <w:rPr>
          <w:lang w:val="en-US"/>
        </w:rPr>
      </w:pPr>
      <w:r>
        <w:rPr>
          <w:rStyle w:val="FootnoteReference"/>
        </w:rPr>
        <w:footnoteRef/>
      </w:r>
      <w:r>
        <w:t xml:space="preserve"> Detaile</w:t>
      </w:r>
      <w:r w:rsidR="004810BA">
        <w:t>d</w:t>
      </w:r>
      <w:r>
        <w:t xml:space="preserve"> results of the </w:t>
      </w:r>
      <w:r w:rsidR="004810BA">
        <w:rPr>
          <w:lang w:val="en-US"/>
        </w:rPr>
        <w:t>ANOVA</w:t>
      </w:r>
      <w:r>
        <w:rPr>
          <w:lang w:val="en-US"/>
        </w:rPr>
        <w:t xml:space="preserve"> analysis (entire population) are provided in the SI appendix </w:t>
      </w:r>
    </w:p>
  </w:footnote>
  <w:footnote w:id="6">
    <w:p w14:paraId="2ACCC97F" w14:textId="08B47FB1" w:rsidR="004810BA" w:rsidRPr="004810BA" w:rsidRDefault="004810BA">
      <w:pPr>
        <w:pStyle w:val="FootnoteText"/>
        <w:rPr>
          <w:lang w:val="en-US"/>
        </w:rPr>
      </w:pPr>
      <w:r>
        <w:rPr>
          <w:rStyle w:val="FootnoteReference"/>
        </w:rPr>
        <w:footnoteRef/>
      </w:r>
      <w:r>
        <w:t xml:space="preserve"> Detailed results of the MANOVA and ANOVA analyses (extremist population) are provided in the SI appendix</w:t>
      </w:r>
    </w:p>
  </w:footnote>
  <w:footnote w:id="7">
    <w:p w14:paraId="6F289D81" w14:textId="6A139783" w:rsidR="00ED64E6" w:rsidRPr="00651D2A" w:rsidRDefault="00ED64E6" w:rsidP="00ED64E6">
      <w:pPr>
        <w:pStyle w:val="FootnoteText"/>
        <w:rPr>
          <w:lang w:val="en-US"/>
        </w:rPr>
      </w:pPr>
      <w:r>
        <w:rPr>
          <w:rStyle w:val="FootnoteReference"/>
        </w:rPr>
        <w:footnoteRef/>
      </w:r>
      <w:r>
        <w:t xml:space="preserve"> </w:t>
      </w:r>
      <w:r w:rsidR="00D03572">
        <w:rPr>
          <w:lang w:val="en-US"/>
        </w:rPr>
        <w:t xml:space="preserve">Detailed results of the latent profile analysis </w:t>
      </w:r>
      <w:r>
        <w:rPr>
          <w:lang w:val="en-US"/>
        </w:rPr>
        <w:t>are provided in the SI appendix</w:t>
      </w:r>
    </w:p>
  </w:footnote>
  <w:footnote w:id="8">
    <w:p w14:paraId="628DFB1C" w14:textId="79032B60" w:rsidR="008400B6" w:rsidRPr="008400B6" w:rsidRDefault="008400B6">
      <w:pPr>
        <w:pStyle w:val="FootnoteText"/>
        <w:rPr>
          <w:lang w:val="en-US"/>
        </w:rPr>
      </w:pPr>
      <w:r>
        <w:rPr>
          <w:rStyle w:val="FootnoteReference"/>
        </w:rPr>
        <w:footnoteRef/>
      </w:r>
      <w:r>
        <w:t xml:space="preserve"> </w:t>
      </w:r>
      <w:r>
        <w:rPr>
          <w:lang w:val="en-US"/>
        </w:rPr>
        <w:t>The list of questions (measures) for each dimension are provided in the SI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B041E84"/>
    <w:multiLevelType w:val="hybridMultilevel"/>
    <w:tmpl w:val="DE448102"/>
    <w:lvl w:ilvl="0" w:tplc="8AAC5D82">
      <w:start w:val="1"/>
      <w:numFmt w:val="bullet"/>
      <w:lvlText w:val="•"/>
      <w:lvlJc w:val="left"/>
      <w:pPr>
        <w:tabs>
          <w:tab w:val="num" w:pos="720"/>
        </w:tabs>
        <w:ind w:left="720" w:hanging="360"/>
      </w:pPr>
      <w:rPr>
        <w:rFonts w:ascii="Arial" w:hAnsi="Arial" w:hint="default"/>
      </w:rPr>
    </w:lvl>
    <w:lvl w:ilvl="1" w:tplc="E10C2030">
      <w:start w:val="1"/>
      <w:numFmt w:val="bullet"/>
      <w:lvlText w:val="•"/>
      <w:lvlJc w:val="left"/>
      <w:pPr>
        <w:tabs>
          <w:tab w:val="num" w:pos="1440"/>
        </w:tabs>
        <w:ind w:left="1440" w:hanging="360"/>
      </w:pPr>
      <w:rPr>
        <w:rFonts w:ascii="Arial" w:hAnsi="Arial" w:hint="default"/>
      </w:rPr>
    </w:lvl>
    <w:lvl w:ilvl="2" w:tplc="1E9803A2" w:tentative="1">
      <w:start w:val="1"/>
      <w:numFmt w:val="bullet"/>
      <w:lvlText w:val="•"/>
      <w:lvlJc w:val="left"/>
      <w:pPr>
        <w:tabs>
          <w:tab w:val="num" w:pos="2160"/>
        </w:tabs>
        <w:ind w:left="2160" w:hanging="360"/>
      </w:pPr>
      <w:rPr>
        <w:rFonts w:ascii="Arial" w:hAnsi="Arial" w:hint="default"/>
      </w:rPr>
    </w:lvl>
    <w:lvl w:ilvl="3" w:tplc="B84AA7B0" w:tentative="1">
      <w:start w:val="1"/>
      <w:numFmt w:val="bullet"/>
      <w:lvlText w:val="•"/>
      <w:lvlJc w:val="left"/>
      <w:pPr>
        <w:tabs>
          <w:tab w:val="num" w:pos="2880"/>
        </w:tabs>
        <w:ind w:left="2880" w:hanging="360"/>
      </w:pPr>
      <w:rPr>
        <w:rFonts w:ascii="Arial" w:hAnsi="Arial" w:hint="default"/>
      </w:rPr>
    </w:lvl>
    <w:lvl w:ilvl="4" w:tplc="7FD20BFC" w:tentative="1">
      <w:start w:val="1"/>
      <w:numFmt w:val="bullet"/>
      <w:lvlText w:val="•"/>
      <w:lvlJc w:val="left"/>
      <w:pPr>
        <w:tabs>
          <w:tab w:val="num" w:pos="3600"/>
        </w:tabs>
        <w:ind w:left="3600" w:hanging="360"/>
      </w:pPr>
      <w:rPr>
        <w:rFonts w:ascii="Arial" w:hAnsi="Arial" w:hint="default"/>
      </w:rPr>
    </w:lvl>
    <w:lvl w:ilvl="5" w:tplc="114E2DC6" w:tentative="1">
      <w:start w:val="1"/>
      <w:numFmt w:val="bullet"/>
      <w:lvlText w:val="•"/>
      <w:lvlJc w:val="left"/>
      <w:pPr>
        <w:tabs>
          <w:tab w:val="num" w:pos="4320"/>
        </w:tabs>
        <w:ind w:left="4320" w:hanging="360"/>
      </w:pPr>
      <w:rPr>
        <w:rFonts w:ascii="Arial" w:hAnsi="Arial" w:hint="default"/>
      </w:rPr>
    </w:lvl>
    <w:lvl w:ilvl="6" w:tplc="6D363F3A" w:tentative="1">
      <w:start w:val="1"/>
      <w:numFmt w:val="bullet"/>
      <w:lvlText w:val="•"/>
      <w:lvlJc w:val="left"/>
      <w:pPr>
        <w:tabs>
          <w:tab w:val="num" w:pos="5040"/>
        </w:tabs>
        <w:ind w:left="5040" w:hanging="360"/>
      </w:pPr>
      <w:rPr>
        <w:rFonts w:ascii="Arial" w:hAnsi="Arial" w:hint="default"/>
      </w:rPr>
    </w:lvl>
    <w:lvl w:ilvl="7" w:tplc="249CD33C" w:tentative="1">
      <w:start w:val="1"/>
      <w:numFmt w:val="bullet"/>
      <w:lvlText w:val="•"/>
      <w:lvlJc w:val="left"/>
      <w:pPr>
        <w:tabs>
          <w:tab w:val="num" w:pos="5760"/>
        </w:tabs>
        <w:ind w:left="5760" w:hanging="360"/>
      </w:pPr>
      <w:rPr>
        <w:rFonts w:ascii="Arial" w:hAnsi="Arial" w:hint="default"/>
      </w:rPr>
    </w:lvl>
    <w:lvl w:ilvl="8" w:tplc="243A241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0027EBD"/>
    <w:multiLevelType w:val="hybridMultilevel"/>
    <w:tmpl w:val="C4DA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30605F"/>
    <w:multiLevelType w:val="hybridMultilevel"/>
    <w:tmpl w:val="F2C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AF55756"/>
    <w:multiLevelType w:val="multilevel"/>
    <w:tmpl w:val="A49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8033995">
    <w:abstractNumId w:val="16"/>
  </w:num>
  <w:num w:numId="2" w16cid:durableId="38745482">
    <w:abstractNumId w:val="23"/>
  </w:num>
  <w:num w:numId="3" w16cid:durableId="95255833">
    <w:abstractNumId w:val="1"/>
  </w:num>
  <w:num w:numId="4" w16cid:durableId="1546521995">
    <w:abstractNumId w:val="2"/>
  </w:num>
  <w:num w:numId="5" w16cid:durableId="1379822719">
    <w:abstractNumId w:val="3"/>
  </w:num>
  <w:num w:numId="6" w16cid:durableId="613899339">
    <w:abstractNumId w:val="4"/>
  </w:num>
  <w:num w:numId="7" w16cid:durableId="454910102">
    <w:abstractNumId w:val="9"/>
  </w:num>
  <w:num w:numId="8" w16cid:durableId="1453398747">
    <w:abstractNumId w:val="5"/>
  </w:num>
  <w:num w:numId="9" w16cid:durableId="1961380236">
    <w:abstractNumId w:val="7"/>
  </w:num>
  <w:num w:numId="10" w16cid:durableId="1619601001">
    <w:abstractNumId w:val="6"/>
  </w:num>
  <w:num w:numId="11" w16cid:durableId="434715984">
    <w:abstractNumId w:val="10"/>
  </w:num>
  <w:num w:numId="12" w16cid:durableId="944191396">
    <w:abstractNumId w:val="8"/>
  </w:num>
  <w:num w:numId="13" w16cid:durableId="432551981">
    <w:abstractNumId w:val="20"/>
  </w:num>
  <w:num w:numId="14" w16cid:durableId="2126187827">
    <w:abstractNumId w:val="24"/>
  </w:num>
  <w:num w:numId="15" w16cid:durableId="993342305">
    <w:abstractNumId w:val="15"/>
  </w:num>
  <w:num w:numId="16" w16cid:durableId="541212593">
    <w:abstractNumId w:val="19"/>
  </w:num>
  <w:num w:numId="17" w16cid:durableId="1801536575">
    <w:abstractNumId w:val="11"/>
  </w:num>
  <w:num w:numId="18" w16cid:durableId="587617281">
    <w:abstractNumId w:val="0"/>
  </w:num>
  <w:num w:numId="19" w16cid:durableId="1353453490">
    <w:abstractNumId w:val="12"/>
  </w:num>
  <w:num w:numId="20" w16cid:durableId="1340738949">
    <w:abstractNumId w:val="24"/>
  </w:num>
  <w:num w:numId="21" w16cid:durableId="115687280">
    <w:abstractNumId w:val="24"/>
  </w:num>
  <w:num w:numId="22" w16cid:durableId="1123302242">
    <w:abstractNumId w:val="24"/>
  </w:num>
  <w:num w:numId="23" w16cid:durableId="1604609811">
    <w:abstractNumId w:val="24"/>
  </w:num>
  <w:num w:numId="24" w16cid:durableId="2099138134">
    <w:abstractNumId w:val="20"/>
  </w:num>
  <w:num w:numId="25" w16cid:durableId="490607757">
    <w:abstractNumId w:val="21"/>
  </w:num>
  <w:num w:numId="26" w16cid:durableId="1888224470">
    <w:abstractNumId w:val="25"/>
  </w:num>
  <w:num w:numId="27" w16cid:durableId="1231846823">
    <w:abstractNumId w:val="26"/>
  </w:num>
  <w:num w:numId="28" w16cid:durableId="629435270">
    <w:abstractNumId w:val="24"/>
  </w:num>
  <w:num w:numId="29" w16cid:durableId="1087728997">
    <w:abstractNumId w:val="14"/>
  </w:num>
  <w:num w:numId="30" w16cid:durableId="1436900190">
    <w:abstractNumId w:val="27"/>
  </w:num>
  <w:num w:numId="31" w16cid:durableId="801079065">
    <w:abstractNumId w:val="13"/>
  </w:num>
  <w:num w:numId="32" w16cid:durableId="560019804">
    <w:abstractNumId w:val="17"/>
  </w:num>
  <w:num w:numId="33" w16cid:durableId="266928492">
    <w:abstractNumId w:val="18"/>
  </w:num>
  <w:num w:numId="34" w16cid:durableId="20820199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NjUwNzY1N7e0NDZT0lEKTi0uzszPAykwtKwFANOppQEtAAAA"/>
  </w:docVars>
  <w:rsids>
    <w:rsidRoot w:val="00C971F6"/>
    <w:rsid w:val="00000FB0"/>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46BF"/>
    <w:rsid w:val="00047CB5"/>
    <w:rsid w:val="00051595"/>
    <w:rsid w:val="00051FAA"/>
    <w:rsid w:val="000569EB"/>
    <w:rsid w:val="000572A9"/>
    <w:rsid w:val="00061050"/>
    <w:rsid w:val="00061325"/>
    <w:rsid w:val="000733AC"/>
    <w:rsid w:val="00074B81"/>
    <w:rsid w:val="00074D22"/>
    <w:rsid w:val="00074E1D"/>
    <w:rsid w:val="00075081"/>
    <w:rsid w:val="0007528A"/>
    <w:rsid w:val="000767F6"/>
    <w:rsid w:val="0007713C"/>
    <w:rsid w:val="000811AB"/>
    <w:rsid w:val="00083C5F"/>
    <w:rsid w:val="0008724D"/>
    <w:rsid w:val="0009172C"/>
    <w:rsid w:val="000930EC"/>
    <w:rsid w:val="00095E61"/>
    <w:rsid w:val="000966C1"/>
    <w:rsid w:val="000970AC"/>
    <w:rsid w:val="000A1167"/>
    <w:rsid w:val="000A4428"/>
    <w:rsid w:val="000A6D40"/>
    <w:rsid w:val="000A7BC3"/>
    <w:rsid w:val="000B00CE"/>
    <w:rsid w:val="000B1661"/>
    <w:rsid w:val="000B1F0B"/>
    <w:rsid w:val="000B2E88"/>
    <w:rsid w:val="000B4603"/>
    <w:rsid w:val="000C09BE"/>
    <w:rsid w:val="000C1380"/>
    <w:rsid w:val="000C17E0"/>
    <w:rsid w:val="000C554F"/>
    <w:rsid w:val="000D0DC5"/>
    <w:rsid w:val="000D15FF"/>
    <w:rsid w:val="000D28DF"/>
    <w:rsid w:val="000D4280"/>
    <w:rsid w:val="000D488B"/>
    <w:rsid w:val="000D68DF"/>
    <w:rsid w:val="000D691E"/>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4FCE"/>
    <w:rsid w:val="00116023"/>
    <w:rsid w:val="001217E4"/>
    <w:rsid w:val="00134A51"/>
    <w:rsid w:val="00140727"/>
    <w:rsid w:val="00156477"/>
    <w:rsid w:val="00157997"/>
    <w:rsid w:val="00160628"/>
    <w:rsid w:val="00161344"/>
    <w:rsid w:val="00162195"/>
    <w:rsid w:val="001629EE"/>
    <w:rsid w:val="0016322A"/>
    <w:rsid w:val="00165A21"/>
    <w:rsid w:val="001705CE"/>
    <w:rsid w:val="00174BFF"/>
    <w:rsid w:val="0017714B"/>
    <w:rsid w:val="001804DF"/>
    <w:rsid w:val="00181BDC"/>
    <w:rsid w:val="00181DB0"/>
    <w:rsid w:val="001829E3"/>
    <w:rsid w:val="0018394A"/>
    <w:rsid w:val="00192036"/>
    <w:rsid w:val="001924C0"/>
    <w:rsid w:val="0019731E"/>
    <w:rsid w:val="001A09FE"/>
    <w:rsid w:val="001A18A4"/>
    <w:rsid w:val="001A67C9"/>
    <w:rsid w:val="001A69DE"/>
    <w:rsid w:val="001A713C"/>
    <w:rsid w:val="001B1C7C"/>
    <w:rsid w:val="001B2923"/>
    <w:rsid w:val="001B398F"/>
    <w:rsid w:val="001B46C6"/>
    <w:rsid w:val="001B4B48"/>
    <w:rsid w:val="001B4D1F"/>
    <w:rsid w:val="001B7681"/>
    <w:rsid w:val="001B7CAE"/>
    <w:rsid w:val="001C0772"/>
    <w:rsid w:val="001C0D4F"/>
    <w:rsid w:val="001C1BA3"/>
    <w:rsid w:val="001C1DEC"/>
    <w:rsid w:val="001C5736"/>
    <w:rsid w:val="001D5B55"/>
    <w:rsid w:val="001D647F"/>
    <w:rsid w:val="001D6857"/>
    <w:rsid w:val="001E0572"/>
    <w:rsid w:val="001E0A67"/>
    <w:rsid w:val="001E1028"/>
    <w:rsid w:val="001E14E2"/>
    <w:rsid w:val="001E2DA9"/>
    <w:rsid w:val="001E6302"/>
    <w:rsid w:val="001E7DCB"/>
    <w:rsid w:val="001F3411"/>
    <w:rsid w:val="001F4287"/>
    <w:rsid w:val="001F4DBA"/>
    <w:rsid w:val="00200851"/>
    <w:rsid w:val="0020415E"/>
    <w:rsid w:val="00204FF4"/>
    <w:rsid w:val="00210043"/>
    <w:rsid w:val="0021056E"/>
    <w:rsid w:val="0021075D"/>
    <w:rsid w:val="00210DDA"/>
    <w:rsid w:val="0021165A"/>
    <w:rsid w:val="00211BC9"/>
    <w:rsid w:val="0021620C"/>
    <w:rsid w:val="00216E78"/>
    <w:rsid w:val="00217275"/>
    <w:rsid w:val="002211DD"/>
    <w:rsid w:val="00224300"/>
    <w:rsid w:val="00236F4B"/>
    <w:rsid w:val="00242B0D"/>
    <w:rsid w:val="002467C6"/>
    <w:rsid w:val="0024692A"/>
    <w:rsid w:val="002476F6"/>
    <w:rsid w:val="00252BBA"/>
    <w:rsid w:val="00252D31"/>
    <w:rsid w:val="00253123"/>
    <w:rsid w:val="00253304"/>
    <w:rsid w:val="00254069"/>
    <w:rsid w:val="00264001"/>
    <w:rsid w:val="00266354"/>
    <w:rsid w:val="00267A18"/>
    <w:rsid w:val="00273462"/>
    <w:rsid w:val="0027395B"/>
    <w:rsid w:val="00275854"/>
    <w:rsid w:val="00283B41"/>
    <w:rsid w:val="0028509F"/>
    <w:rsid w:val="00285F28"/>
    <w:rsid w:val="00286398"/>
    <w:rsid w:val="002875B2"/>
    <w:rsid w:val="00293D43"/>
    <w:rsid w:val="002954E7"/>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5171"/>
    <w:rsid w:val="002F6054"/>
    <w:rsid w:val="00310E13"/>
    <w:rsid w:val="00315713"/>
    <w:rsid w:val="0031686C"/>
    <w:rsid w:val="00316A71"/>
    <w:rsid w:val="00316FE0"/>
    <w:rsid w:val="003204D2"/>
    <w:rsid w:val="00321AF1"/>
    <w:rsid w:val="0032605E"/>
    <w:rsid w:val="003275D1"/>
    <w:rsid w:val="00330B2A"/>
    <w:rsid w:val="00331E17"/>
    <w:rsid w:val="00333063"/>
    <w:rsid w:val="003337CA"/>
    <w:rsid w:val="003354BB"/>
    <w:rsid w:val="003408E3"/>
    <w:rsid w:val="00343480"/>
    <w:rsid w:val="0034371D"/>
    <w:rsid w:val="00345E89"/>
    <w:rsid w:val="003522A1"/>
    <w:rsid w:val="0035254B"/>
    <w:rsid w:val="00353555"/>
    <w:rsid w:val="00355C70"/>
    <w:rsid w:val="003565D4"/>
    <w:rsid w:val="003607FB"/>
    <w:rsid w:val="00360FD5"/>
    <w:rsid w:val="00361C51"/>
    <w:rsid w:val="00362E48"/>
    <w:rsid w:val="0036340D"/>
    <w:rsid w:val="003634A5"/>
    <w:rsid w:val="00366868"/>
    <w:rsid w:val="00367506"/>
    <w:rsid w:val="00370085"/>
    <w:rsid w:val="003744A7"/>
    <w:rsid w:val="00376235"/>
    <w:rsid w:val="00381FB6"/>
    <w:rsid w:val="003829BA"/>
    <w:rsid w:val="003836D3"/>
    <w:rsid w:val="00383A52"/>
    <w:rsid w:val="00391652"/>
    <w:rsid w:val="003917F4"/>
    <w:rsid w:val="0039507F"/>
    <w:rsid w:val="003A1260"/>
    <w:rsid w:val="003A295F"/>
    <w:rsid w:val="003A41DD"/>
    <w:rsid w:val="003A6765"/>
    <w:rsid w:val="003A6F31"/>
    <w:rsid w:val="003A7033"/>
    <w:rsid w:val="003B47FE"/>
    <w:rsid w:val="003B5673"/>
    <w:rsid w:val="003B6287"/>
    <w:rsid w:val="003B62C9"/>
    <w:rsid w:val="003C7176"/>
    <w:rsid w:val="003D0929"/>
    <w:rsid w:val="003D1449"/>
    <w:rsid w:val="003D43C5"/>
    <w:rsid w:val="003D4729"/>
    <w:rsid w:val="003D7DD6"/>
    <w:rsid w:val="003E5AAF"/>
    <w:rsid w:val="003E600D"/>
    <w:rsid w:val="003E6291"/>
    <w:rsid w:val="003E64DF"/>
    <w:rsid w:val="003E6A5D"/>
    <w:rsid w:val="003F193A"/>
    <w:rsid w:val="003F4207"/>
    <w:rsid w:val="003F5C46"/>
    <w:rsid w:val="003F7CBB"/>
    <w:rsid w:val="003F7D34"/>
    <w:rsid w:val="004043DC"/>
    <w:rsid w:val="00405C7D"/>
    <w:rsid w:val="004074B0"/>
    <w:rsid w:val="00412C8E"/>
    <w:rsid w:val="00413AC0"/>
    <w:rsid w:val="0041518D"/>
    <w:rsid w:val="00415381"/>
    <w:rsid w:val="0042221D"/>
    <w:rsid w:val="00424DD3"/>
    <w:rsid w:val="004269C5"/>
    <w:rsid w:val="00435939"/>
    <w:rsid w:val="00437CC7"/>
    <w:rsid w:val="00440FB6"/>
    <w:rsid w:val="00442B9C"/>
    <w:rsid w:val="00445EFA"/>
    <w:rsid w:val="0044738A"/>
    <w:rsid w:val="004473D3"/>
    <w:rsid w:val="00452231"/>
    <w:rsid w:val="00455880"/>
    <w:rsid w:val="00460905"/>
    <w:rsid w:val="00460C13"/>
    <w:rsid w:val="00463228"/>
    <w:rsid w:val="00463782"/>
    <w:rsid w:val="004667E0"/>
    <w:rsid w:val="00466D53"/>
    <w:rsid w:val="0046760E"/>
    <w:rsid w:val="00470E10"/>
    <w:rsid w:val="00472D27"/>
    <w:rsid w:val="00477A97"/>
    <w:rsid w:val="004810BA"/>
    <w:rsid w:val="00481343"/>
    <w:rsid w:val="0048549E"/>
    <w:rsid w:val="004930C6"/>
    <w:rsid w:val="00493347"/>
    <w:rsid w:val="00496092"/>
    <w:rsid w:val="004A08DB"/>
    <w:rsid w:val="004A2219"/>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3198"/>
    <w:rsid w:val="004E4FF3"/>
    <w:rsid w:val="004E56A8"/>
    <w:rsid w:val="004F3B55"/>
    <w:rsid w:val="004F428E"/>
    <w:rsid w:val="004F4E46"/>
    <w:rsid w:val="004F6B7D"/>
    <w:rsid w:val="005015F6"/>
    <w:rsid w:val="005028A0"/>
    <w:rsid w:val="005030C4"/>
    <w:rsid w:val="005031C5"/>
    <w:rsid w:val="00504FDC"/>
    <w:rsid w:val="0050762A"/>
    <w:rsid w:val="005120CC"/>
    <w:rsid w:val="00512B7B"/>
    <w:rsid w:val="00514161"/>
    <w:rsid w:val="00514EA1"/>
    <w:rsid w:val="0051798B"/>
    <w:rsid w:val="00521F5A"/>
    <w:rsid w:val="00525E06"/>
    <w:rsid w:val="00526454"/>
    <w:rsid w:val="00531823"/>
    <w:rsid w:val="00534023"/>
    <w:rsid w:val="00534ECC"/>
    <w:rsid w:val="0053720D"/>
    <w:rsid w:val="00540EF5"/>
    <w:rsid w:val="00541558"/>
    <w:rsid w:val="00541BF3"/>
    <w:rsid w:val="00541CD3"/>
    <w:rsid w:val="005476FA"/>
    <w:rsid w:val="005551D2"/>
    <w:rsid w:val="0055595E"/>
    <w:rsid w:val="00557988"/>
    <w:rsid w:val="00562C49"/>
    <w:rsid w:val="00562DEF"/>
    <w:rsid w:val="0056321A"/>
    <w:rsid w:val="00563A35"/>
    <w:rsid w:val="00563FCB"/>
    <w:rsid w:val="0056406B"/>
    <w:rsid w:val="00564176"/>
    <w:rsid w:val="00566596"/>
    <w:rsid w:val="005741E9"/>
    <w:rsid w:val="005748CF"/>
    <w:rsid w:val="00584270"/>
    <w:rsid w:val="00584738"/>
    <w:rsid w:val="0059100A"/>
    <w:rsid w:val="005920B0"/>
    <w:rsid w:val="0059380D"/>
    <w:rsid w:val="00594741"/>
    <w:rsid w:val="00595A8F"/>
    <w:rsid w:val="005977C2"/>
    <w:rsid w:val="00597BF2"/>
    <w:rsid w:val="005A1A4B"/>
    <w:rsid w:val="005A1F54"/>
    <w:rsid w:val="005A3020"/>
    <w:rsid w:val="005B134E"/>
    <w:rsid w:val="005B2039"/>
    <w:rsid w:val="005B344F"/>
    <w:rsid w:val="005B3952"/>
    <w:rsid w:val="005B3FBA"/>
    <w:rsid w:val="005B4A1D"/>
    <w:rsid w:val="005B644D"/>
    <w:rsid w:val="005B674D"/>
    <w:rsid w:val="005B689A"/>
    <w:rsid w:val="005B7099"/>
    <w:rsid w:val="005C056D"/>
    <w:rsid w:val="005C0CBE"/>
    <w:rsid w:val="005C1FCF"/>
    <w:rsid w:val="005C3F41"/>
    <w:rsid w:val="005C59D1"/>
    <w:rsid w:val="005C732C"/>
    <w:rsid w:val="005D1885"/>
    <w:rsid w:val="005D3B00"/>
    <w:rsid w:val="005D4A38"/>
    <w:rsid w:val="005D5D1F"/>
    <w:rsid w:val="005E0C4F"/>
    <w:rsid w:val="005E1B30"/>
    <w:rsid w:val="005E2EEA"/>
    <w:rsid w:val="005E3708"/>
    <w:rsid w:val="005E3CCD"/>
    <w:rsid w:val="005E3D6B"/>
    <w:rsid w:val="005E3F15"/>
    <w:rsid w:val="005E5B55"/>
    <w:rsid w:val="005E5E4A"/>
    <w:rsid w:val="005E693D"/>
    <w:rsid w:val="005E75BF"/>
    <w:rsid w:val="005E7CEC"/>
    <w:rsid w:val="005F0711"/>
    <w:rsid w:val="005F57BA"/>
    <w:rsid w:val="005F61E6"/>
    <w:rsid w:val="005F6C45"/>
    <w:rsid w:val="005F7639"/>
    <w:rsid w:val="0060365A"/>
    <w:rsid w:val="00605A69"/>
    <w:rsid w:val="00606C54"/>
    <w:rsid w:val="00606C8B"/>
    <w:rsid w:val="00614375"/>
    <w:rsid w:val="00615B0A"/>
    <w:rsid w:val="00615FC8"/>
    <w:rsid w:val="006168CF"/>
    <w:rsid w:val="0062011B"/>
    <w:rsid w:val="00626DE0"/>
    <w:rsid w:val="00630901"/>
    <w:rsid w:val="00631549"/>
    <w:rsid w:val="00631F8E"/>
    <w:rsid w:val="00636EE9"/>
    <w:rsid w:val="00640950"/>
    <w:rsid w:val="00641AE7"/>
    <w:rsid w:val="00642629"/>
    <w:rsid w:val="0064782B"/>
    <w:rsid w:val="00651D2A"/>
    <w:rsid w:val="0065293D"/>
    <w:rsid w:val="00653EFC"/>
    <w:rsid w:val="00654021"/>
    <w:rsid w:val="00661045"/>
    <w:rsid w:val="00666DA8"/>
    <w:rsid w:val="00666DAD"/>
    <w:rsid w:val="00667AC4"/>
    <w:rsid w:val="00671057"/>
    <w:rsid w:val="006740D1"/>
    <w:rsid w:val="00675AAF"/>
    <w:rsid w:val="0068031A"/>
    <w:rsid w:val="00681B2F"/>
    <w:rsid w:val="0068335F"/>
    <w:rsid w:val="00687217"/>
    <w:rsid w:val="00693302"/>
    <w:rsid w:val="0069640B"/>
    <w:rsid w:val="006A1B83"/>
    <w:rsid w:val="006A1E4C"/>
    <w:rsid w:val="006A21CD"/>
    <w:rsid w:val="006A282B"/>
    <w:rsid w:val="006A5918"/>
    <w:rsid w:val="006B1C86"/>
    <w:rsid w:val="006B21B2"/>
    <w:rsid w:val="006B325F"/>
    <w:rsid w:val="006B4A4A"/>
    <w:rsid w:val="006C079F"/>
    <w:rsid w:val="006C19B2"/>
    <w:rsid w:val="006C4409"/>
    <w:rsid w:val="006C56E9"/>
    <w:rsid w:val="006C5BB8"/>
    <w:rsid w:val="006C6936"/>
    <w:rsid w:val="006C7B01"/>
    <w:rsid w:val="006C7C3A"/>
    <w:rsid w:val="006D0FE8"/>
    <w:rsid w:val="006D28A5"/>
    <w:rsid w:val="006D4B2B"/>
    <w:rsid w:val="006D4F3C"/>
    <w:rsid w:val="006D5677"/>
    <w:rsid w:val="006D5C66"/>
    <w:rsid w:val="006D7002"/>
    <w:rsid w:val="006E09C8"/>
    <w:rsid w:val="006E1B3C"/>
    <w:rsid w:val="006E23FB"/>
    <w:rsid w:val="006E325A"/>
    <w:rsid w:val="006E33EC"/>
    <w:rsid w:val="006E3802"/>
    <w:rsid w:val="006E6C02"/>
    <w:rsid w:val="006F13C2"/>
    <w:rsid w:val="006F231A"/>
    <w:rsid w:val="006F625E"/>
    <w:rsid w:val="006F6B55"/>
    <w:rsid w:val="006F788D"/>
    <w:rsid w:val="006F78E1"/>
    <w:rsid w:val="00701072"/>
    <w:rsid w:val="00702054"/>
    <w:rsid w:val="007035A4"/>
    <w:rsid w:val="00705703"/>
    <w:rsid w:val="00707BC0"/>
    <w:rsid w:val="00711799"/>
    <w:rsid w:val="00712B78"/>
    <w:rsid w:val="0071393B"/>
    <w:rsid w:val="00713EE2"/>
    <w:rsid w:val="007177FC"/>
    <w:rsid w:val="00720C5E"/>
    <w:rsid w:val="00721214"/>
    <w:rsid w:val="00721701"/>
    <w:rsid w:val="00722FBB"/>
    <w:rsid w:val="00731835"/>
    <w:rsid w:val="007341F8"/>
    <w:rsid w:val="00734372"/>
    <w:rsid w:val="00734EB8"/>
    <w:rsid w:val="00735F8B"/>
    <w:rsid w:val="0074090B"/>
    <w:rsid w:val="0074194D"/>
    <w:rsid w:val="00742D1F"/>
    <w:rsid w:val="00743EBA"/>
    <w:rsid w:val="00744C8E"/>
    <w:rsid w:val="00745234"/>
    <w:rsid w:val="0074707E"/>
    <w:rsid w:val="007516DC"/>
    <w:rsid w:val="00752E58"/>
    <w:rsid w:val="00754B80"/>
    <w:rsid w:val="00760B84"/>
    <w:rsid w:val="00761918"/>
    <w:rsid w:val="00762F03"/>
    <w:rsid w:val="00763B07"/>
    <w:rsid w:val="0076413B"/>
    <w:rsid w:val="007648AE"/>
    <w:rsid w:val="00764BF8"/>
    <w:rsid w:val="0076514D"/>
    <w:rsid w:val="00773661"/>
    <w:rsid w:val="00773D59"/>
    <w:rsid w:val="00777ED7"/>
    <w:rsid w:val="00781003"/>
    <w:rsid w:val="00786FA3"/>
    <w:rsid w:val="007911FD"/>
    <w:rsid w:val="00793930"/>
    <w:rsid w:val="00793DD1"/>
    <w:rsid w:val="00794FEC"/>
    <w:rsid w:val="007966C5"/>
    <w:rsid w:val="00797CA2"/>
    <w:rsid w:val="007A003E"/>
    <w:rsid w:val="007A13C8"/>
    <w:rsid w:val="007A1965"/>
    <w:rsid w:val="007A2ED1"/>
    <w:rsid w:val="007A4BE6"/>
    <w:rsid w:val="007B0DC6"/>
    <w:rsid w:val="007B1094"/>
    <w:rsid w:val="007B1762"/>
    <w:rsid w:val="007B32B5"/>
    <w:rsid w:val="007B3320"/>
    <w:rsid w:val="007B3779"/>
    <w:rsid w:val="007B3889"/>
    <w:rsid w:val="007C301F"/>
    <w:rsid w:val="007C4540"/>
    <w:rsid w:val="007C54EC"/>
    <w:rsid w:val="007C65AF"/>
    <w:rsid w:val="007D135D"/>
    <w:rsid w:val="007D13FA"/>
    <w:rsid w:val="007D20EB"/>
    <w:rsid w:val="007D730F"/>
    <w:rsid w:val="007D7CD8"/>
    <w:rsid w:val="007E3AA7"/>
    <w:rsid w:val="007F737D"/>
    <w:rsid w:val="008016C9"/>
    <w:rsid w:val="0080308E"/>
    <w:rsid w:val="00805303"/>
    <w:rsid w:val="00806705"/>
    <w:rsid w:val="00806738"/>
    <w:rsid w:val="00806CE7"/>
    <w:rsid w:val="00820C21"/>
    <w:rsid w:val="008216D5"/>
    <w:rsid w:val="008220A1"/>
    <w:rsid w:val="008249CE"/>
    <w:rsid w:val="00831A50"/>
    <w:rsid w:val="00831B3C"/>
    <w:rsid w:val="00831C89"/>
    <w:rsid w:val="00832114"/>
    <w:rsid w:val="00834C46"/>
    <w:rsid w:val="008400B6"/>
    <w:rsid w:val="0084093E"/>
    <w:rsid w:val="00841CE1"/>
    <w:rsid w:val="0084316D"/>
    <w:rsid w:val="00843454"/>
    <w:rsid w:val="008439DB"/>
    <w:rsid w:val="008473D8"/>
    <w:rsid w:val="008528DC"/>
    <w:rsid w:val="00852B8C"/>
    <w:rsid w:val="00854981"/>
    <w:rsid w:val="00856D00"/>
    <w:rsid w:val="00864B2E"/>
    <w:rsid w:val="00865963"/>
    <w:rsid w:val="00871869"/>
    <w:rsid w:val="00871C1D"/>
    <w:rsid w:val="0087450E"/>
    <w:rsid w:val="00875A82"/>
    <w:rsid w:val="00876CA3"/>
    <w:rsid w:val="008772FE"/>
    <w:rsid w:val="008775F1"/>
    <w:rsid w:val="008821AE"/>
    <w:rsid w:val="00883D3A"/>
    <w:rsid w:val="00884351"/>
    <w:rsid w:val="008854F7"/>
    <w:rsid w:val="00885A9D"/>
    <w:rsid w:val="00887242"/>
    <w:rsid w:val="008929D2"/>
    <w:rsid w:val="00892F8D"/>
    <w:rsid w:val="00893134"/>
    <w:rsid w:val="00893534"/>
    <w:rsid w:val="00893636"/>
    <w:rsid w:val="00893B94"/>
    <w:rsid w:val="00896E9D"/>
    <w:rsid w:val="00896F11"/>
    <w:rsid w:val="008A1049"/>
    <w:rsid w:val="008A1C98"/>
    <w:rsid w:val="008A230F"/>
    <w:rsid w:val="008A322D"/>
    <w:rsid w:val="008A4367"/>
    <w:rsid w:val="008A4D72"/>
    <w:rsid w:val="008A6285"/>
    <w:rsid w:val="008A63B2"/>
    <w:rsid w:val="008B0F34"/>
    <w:rsid w:val="008B345D"/>
    <w:rsid w:val="008C1FC2"/>
    <w:rsid w:val="008C2980"/>
    <w:rsid w:val="008C4CC5"/>
    <w:rsid w:val="008C4DD6"/>
    <w:rsid w:val="008C5AFB"/>
    <w:rsid w:val="008D07FB"/>
    <w:rsid w:val="008D0C02"/>
    <w:rsid w:val="008D357D"/>
    <w:rsid w:val="008D435A"/>
    <w:rsid w:val="008E387B"/>
    <w:rsid w:val="008E6087"/>
    <w:rsid w:val="008E70FA"/>
    <w:rsid w:val="008E758D"/>
    <w:rsid w:val="008F10A7"/>
    <w:rsid w:val="008F2372"/>
    <w:rsid w:val="008F271F"/>
    <w:rsid w:val="008F2973"/>
    <w:rsid w:val="008F755D"/>
    <w:rsid w:val="008F7A39"/>
    <w:rsid w:val="009000D2"/>
    <w:rsid w:val="00901BFA"/>
    <w:rsid w:val="009021E8"/>
    <w:rsid w:val="00904677"/>
    <w:rsid w:val="00905EE2"/>
    <w:rsid w:val="009065BE"/>
    <w:rsid w:val="00911440"/>
    <w:rsid w:val="009114EB"/>
    <w:rsid w:val="00911712"/>
    <w:rsid w:val="00911B27"/>
    <w:rsid w:val="009170BE"/>
    <w:rsid w:val="00920B55"/>
    <w:rsid w:val="009262C9"/>
    <w:rsid w:val="00927DBF"/>
    <w:rsid w:val="00930EB9"/>
    <w:rsid w:val="00933DC7"/>
    <w:rsid w:val="009418F4"/>
    <w:rsid w:val="00942BBC"/>
    <w:rsid w:val="00944180"/>
    <w:rsid w:val="00944AA0"/>
    <w:rsid w:val="009467EC"/>
    <w:rsid w:val="00947DA2"/>
    <w:rsid w:val="00951177"/>
    <w:rsid w:val="009549FE"/>
    <w:rsid w:val="009673E8"/>
    <w:rsid w:val="00973E24"/>
    <w:rsid w:val="00974DB8"/>
    <w:rsid w:val="00980661"/>
    <w:rsid w:val="0098093B"/>
    <w:rsid w:val="009876D4"/>
    <w:rsid w:val="00990E57"/>
    <w:rsid w:val="009914A5"/>
    <w:rsid w:val="0099548E"/>
    <w:rsid w:val="00996456"/>
    <w:rsid w:val="00996A12"/>
    <w:rsid w:val="00997872"/>
    <w:rsid w:val="00997B0F"/>
    <w:rsid w:val="009A0CC3"/>
    <w:rsid w:val="009A1CAD"/>
    <w:rsid w:val="009A3440"/>
    <w:rsid w:val="009A5832"/>
    <w:rsid w:val="009A5B2B"/>
    <w:rsid w:val="009A5B51"/>
    <w:rsid w:val="009A664D"/>
    <w:rsid w:val="009A6838"/>
    <w:rsid w:val="009B1836"/>
    <w:rsid w:val="009B24B5"/>
    <w:rsid w:val="009B4EBC"/>
    <w:rsid w:val="009B5ABB"/>
    <w:rsid w:val="009B73CE"/>
    <w:rsid w:val="009C2461"/>
    <w:rsid w:val="009C5A15"/>
    <w:rsid w:val="009C6FE2"/>
    <w:rsid w:val="009C7674"/>
    <w:rsid w:val="009D004A"/>
    <w:rsid w:val="009D1439"/>
    <w:rsid w:val="009D5880"/>
    <w:rsid w:val="009D598B"/>
    <w:rsid w:val="009E1884"/>
    <w:rsid w:val="009E1DE3"/>
    <w:rsid w:val="009E1FD4"/>
    <w:rsid w:val="009E3B07"/>
    <w:rsid w:val="009E51D1"/>
    <w:rsid w:val="009E5531"/>
    <w:rsid w:val="009F171E"/>
    <w:rsid w:val="009F3D2F"/>
    <w:rsid w:val="009F7052"/>
    <w:rsid w:val="00A00B33"/>
    <w:rsid w:val="00A02668"/>
    <w:rsid w:val="00A02801"/>
    <w:rsid w:val="00A02CB8"/>
    <w:rsid w:val="00A04A13"/>
    <w:rsid w:val="00A06A39"/>
    <w:rsid w:val="00A06FB0"/>
    <w:rsid w:val="00A07F58"/>
    <w:rsid w:val="00A131CB"/>
    <w:rsid w:val="00A14847"/>
    <w:rsid w:val="00A16D6D"/>
    <w:rsid w:val="00A21383"/>
    <w:rsid w:val="00A2199F"/>
    <w:rsid w:val="00A21B31"/>
    <w:rsid w:val="00A2360E"/>
    <w:rsid w:val="00A26E0C"/>
    <w:rsid w:val="00A30B3B"/>
    <w:rsid w:val="00A32FCB"/>
    <w:rsid w:val="00A34C25"/>
    <w:rsid w:val="00A3507D"/>
    <w:rsid w:val="00A3717A"/>
    <w:rsid w:val="00A4088C"/>
    <w:rsid w:val="00A4456B"/>
    <w:rsid w:val="00A448D4"/>
    <w:rsid w:val="00A452E0"/>
    <w:rsid w:val="00A4797E"/>
    <w:rsid w:val="00A506DF"/>
    <w:rsid w:val="00A51EA5"/>
    <w:rsid w:val="00A53742"/>
    <w:rsid w:val="00A550AD"/>
    <w:rsid w:val="00A557A1"/>
    <w:rsid w:val="00A63059"/>
    <w:rsid w:val="00A63AE3"/>
    <w:rsid w:val="00A651A4"/>
    <w:rsid w:val="00A71361"/>
    <w:rsid w:val="00A746E2"/>
    <w:rsid w:val="00A75FCA"/>
    <w:rsid w:val="00A81FF2"/>
    <w:rsid w:val="00A83904"/>
    <w:rsid w:val="00A90A79"/>
    <w:rsid w:val="00A96B30"/>
    <w:rsid w:val="00A97B81"/>
    <w:rsid w:val="00AA0AFD"/>
    <w:rsid w:val="00AA442D"/>
    <w:rsid w:val="00AA59B5"/>
    <w:rsid w:val="00AA73AC"/>
    <w:rsid w:val="00AA7777"/>
    <w:rsid w:val="00AA7B84"/>
    <w:rsid w:val="00AA7FB7"/>
    <w:rsid w:val="00AB4FC2"/>
    <w:rsid w:val="00AB680B"/>
    <w:rsid w:val="00AB737E"/>
    <w:rsid w:val="00AC0B4C"/>
    <w:rsid w:val="00AC1164"/>
    <w:rsid w:val="00AC2296"/>
    <w:rsid w:val="00AC22B3"/>
    <w:rsid w:val="00AC2754"/>
    <w:rsid w:val="00AC48B0"/>
    <w:rsid w:val="00AC4ACD"/>
    <w:rsid w:val="00AC5DFB"/>
    <w:rsid w:val="00AC7038"/>
    <w:rsid w:val="00AD13DC"/>
    <w:rsid w:val="00AD6DE2"/>
    <w:rsid w:val="00AE0A40"/>
    <w:rsid w:val="00AE1ED4"/>
    <w:rsid w:val="00AE21E1"/>
    <w:rsid w:val="00AE249E"/>
    <w:rsid w:val="00AE2F8D"/>
    <w:rsid w:val="00AE3BAE"/>
    <w:rsid w:val="00AE6A21"/>
    <w:rsid w:val="00AF13C6"/>
    <w:rsid w:val="00AF1C8F"/>
    <w:rsid w:val="00AF2B68"/>
    <w:rsid w:val="00AF2C92"/>
    <w:rsid w:val="00AF3EC1"/>
    <w:rsid w:val="00AF5025"/>
    <w:rsid w:val="00AF519F"/>
    <w:rsid w:val="00AF5387"/>
    <w:rsid w:val="00AF55F5"/>
    <w:rsid w:val="00AF7E86"/>
    <w:rsid w:val="00B024B9"/>
    <w:rsid w:val="00B0496B"/>
    <w:rsid w:val="00B077FA"/>
    <w:rsid w:val="00B12176"/>
    <w:rsid w:val="00B127D7"/>
    <w:rsid w:val="00B13B0C"/>
    <w:rsid w:val="00B14408"/>
    <w:rsid w:val="00B1453A"/>
    <w:rsid w:val="00B1627F"/>
    <w:rsid w:val="00B20F82"/>
    <w:rsid w:val="00B25BD5"/>
    <w:rsid w:val="00B34079"/>
    <w:rsid w:val="00B3793A"/>
    <w:rsid w:val="00B401BA"/>
    <w:rsid w:val="00B407E4"/>
    <w:rsid w:val="00B425B6"/>
    <w:rsid w:val="00B42A72"/>
    <w:rsid w:val="00B441AE"/>
    <w:rsid w:val="00B45A65"/>
    <w:rsid w:val="00B45F33"/>
    <w:rsid w:val="00B46D50"/>
    <w:rsid w:val="00B5048C"/>
    <w:rsid w:val="00B5122F"/>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6F0"/>
    <w:rsid w:val="00B93AF6"/>
    <w:rsid w:val="00B95405"/>
    <w:rsid w:val="00B963F1"/>
    <w:rsid w:val="00BA020A"/>
    <w:rsid w:val="00BA6316"/>
    <w:rsid w:val="00BB025A"/>
    <w:rsid w:val="00BB02A4"/>
    <w:rsid w:val="00BB1270"/>
    <w:rsid w:val="00BB1387"/>
    <w:rsid w:val="00BB1E44"/>
    <w:rsid w:val="00BB5267"/>
    <w:rsid w:val="00BB52B8"/>
    <w:rsid w:val="00BB59D8"/>
    <w:rsid w:val="00BB6289"/>
    <w:rsid w:val="00BB6463"/>
    <w:rsid w:val="00BB7E69"/>
    <w:rsid w:val="00BC0E51"/>
    <w:rsid w:val="00BC3C1F"/>
    <w:rsid w:val="00BC7CE7"/>
    <w:rsid w:val="00BD295E"/>
    <w:rsid w:val="00BD2FEB"/>
    <w:rsid w:val="00BD4664"/>
    <w:rsid w:val="00BD5615"/>
    <w:rsid w:val="00BE1193"/>
    <w:rsid w:val="00BF4849"/>
    <w:rsid w:val="00BF4EA7"/>
    <w:rsid w:val="00BF6525"/>
    <w:rsid w:val="00C00EDB"/>
    <w:rsid w:val="00C02863"/>
    <w:rsid w:val="00C03027"/>
    <w:rsid w:val="00C0383A"/>
    <w:rsid w:val="00C065B0"/>
    <w:rsid w:val="00C067FF"/>
    <w:rsid w:val="00C12862"/>
    <w:rsid w:val="00C13D28"/>
    <w:rsid w:val="00C14585"/>
    <w:rsid w:val="00C165A0"/>
    <w:rsid w:val="00C16BE0"/>
    <w:rsid w:val="00C21277"/>
    <w:rsid w:val="00C216CE"/>
    <w:rsid w:val="00C2184F"/>
    <w:rsid w:val="00C22A78"/>
    <w:rsid w:val="00C23C7E"/>
    <w:rsid w:val="00C246C5"/>
    <w:rsid w:val="00C25A82"/>
    <w:rsid w:val="00C30A2A"/>
    <w:rsid w:val="00C30B96"/>
    <w:rsid w:val="00C33993"/>
    <w:rsid w:val="00C4069E"/>
    <w:rsid w:val="00C41ADC"/>
    <w:rsid w:val="00C44149"/>
    <w:rsid w:val="00C44410"/>
    <w:rsid w:val="00C44A15"/>
    <w:rsid w:val="00C45B45"/>
    <w:rsid w:val="00C4630A"/>
    <w:rsid w:val="00C523F0"/>
    <w:rsid w:val="00C526D2"/>
    <w:rsid w:val="00C53A91"/>
    <w:rsid w:val="00C55873"/>
    <w:rsid w:val="00C5794E"/>
    <w:rsid w:val="00C60968"/>
    <w:rsid w:val="00C63D39"/>
    <w:rsid w:val="00C63EDD"/>
    <w:rsid w:val="00C650A5"/>
    <w:rsid w:val="00C65B36"/>
    <w:rsid w:val="00C66B6F"/>
    <w:rsid w:val="00C7292E"/>
    <w:rsid w:val="00C73660"/>
    <w:rsid w:val="00C74E88"/>
    <w:rsid w:val="00C74FD7"/>
    <w:rsid w:val="00C80924"/>
    <w:rsid w:val="00C8286B"/>
    <w:rsid w:val="00C947F8"/>
    <w:rsid w:val="00C9515F"/>
    <w:rsid w:val="00C963C5"/>
    <w:rsid w:val="00C971F6"/>
    <w:rsid w:val="00CA030C"/>
    <w:rsid w:val="00CA1F41"/>
    <w:rsid w:val="00CA32EE"/>
    <w:rsid w:val="00CA5771"/>
    <w:rsid w:val="00CA6A1A"/>
    <w:rsid w:val="00CB2719"/>
    <w:rsid w:val="00CB334B"/>
    <w:rsid w:val="00CC162F"/>
    <w:rsid w:val="00CC1E75"/>
    <w:rsid w:val="00CC2E0E"/>
    <w:rsid w:val="00CC361C"/>
    <w:rsid w:val="00CC449C"/>
    <w:rsid w:val="00CC474B"/>
    <w:rsid w:val="00CC658C"/>
    <w:rsid w:val="00CC67BF"/>
    <w:rsid w:val="00CD0843"/>
    <w:rsid w:val="00CD23DB"/>
    <w:rsid w:val="00CD30A1"/>
    <w:rsid w:val="00CD4E31"/>
    <w:rsid w:val="00CD5A78"/>
    <w:rsid w:val="00CD7345"/>
    <w:rsid w:val="00CE372E"/>
    <w:rsid w:val="00CE4E60"/>
    <w:rsid w:val="00CE7CC8"/>
    <w:rsid w:val="00CF0A1B"/>
    <w:rsid w:val="00CF19F6"/>
    <w:rsid w:val="00CF2F4F"/>
    <w:rsid w:val="00CF536D"/>
    <w:rsid w:val="00D02E9D"/>
    <w:rsid w:val="00D03572"/>
    <w:rsid w:val="00D054CD"/>
    <w:rsid w:val="00D10CB8"/>
    <w:rsid w:val="00D12806"/>
    <w:rsid w:val="00D12D44"/>
    <w:rsid w:val="00D12E79"/>
    <w:rsid w:val="00D15018"/>
    <w:rsid w:val="00D158AC"/>
    <w:rsid w:val="00D1694C"/>
    <w:rsid w:val="00D20C3E"/>
    <w:rsid w:val="00D20F5E"/>
    <w:rsid w:val="00D2321C"/>
    <w:rsid w:val="00D23B76"/>
    <w:rsid w:val="00D24B4A"/>
    <w:rsid w:val="00D379A3"/>
    <w:rsid w:val="00D43185"/>
    <w:rsid w:val="00D45FF3"/>
    <w:rsid w:val="00D47AC4"/>
    <w:rsid w:val="00D512CF"/>
    <w:rsid w:val="00D528B9"/>
    <w:rsid w:val="00D53186"/>
    <w:rsid w:val="00D5487D"/>
    <w:rsid w:val="00D60140"/>
    <w:rsid w:val="00D6024A"/>
    <w:rsid w:val="00D608B5"/>
    <w:rsid w:val="00D64739"/>
    <w:rsid w:val="00D64BCE"/>
    <w:rsid w:val="00D701BB"/>
    <w:rsid w:val="00D71F99"/>
    <w:rsid w:val="00D73CA4"/>
    <w:rsid w:val="00D73D71"/>
    <w:rsid w:val="00D74396"/>
    <w:rsid w:val="00D80284"/>
    <w:rsid w:val="00D81F71"/>
    <w:rsid w:val="00D8642D"/>
    <w:rsid w:val="00D90A5E"/>
    <w:rsid w:val="00D91A68"/>
    <w:rsid w:val="00D94451"/>
    <w:rsid w:val="00D95A68"/>
    <w:rsid w:val="00DA17C7"/>
    <w:rsid w:val="00DA6A9A"/>
    <w:rsid w:val="00DB0781"/>
    <w:rsid w:val="00DB1EFD"/>
    <w:rsid w:val="00DB3EAF"/>
    <w:rsid w:val="00DB3F25"/>
    <w:rsid w:val="00DB46C6"/>
    <w:rsid w:val="00DC2F34"/>
    <w:rsid w:val="00DC3203"/>
    <w:rsid w:val="00DC3C99"/>
    <w:rsid w:val="00DC52F5"/>
    <w:rsid w:val="00DC5FD0"/>
    <w:rsid w:val="00DD0354"/>
    <w:rsid w:val="00DD27D7"/>
    <w:rsid w:val="00DD458C"/>
    <w:rsid w:val="00DD72E9"/>
    <w:rsid w:val="00DD7605"/>
    <w:rsid w:val="00DE2020"/>
    <w:rsid w:val="00DE3476"/>
    <w:rsid w:val="00DE7521"/>
    <w:rsid w:val="00DE7BEA"/>
    <w:rsid w:val="00DF5B84"/>
    <w:rsid w:val="00DF6D5B"/>
    <w:rsid w:val="00DF771B"/>
    <w:rsid w:val="00DF7EE2"/>
    <w:rsid w:val="00E01BAA"/>
    <w:rsid w:val="00E0282A"/>
    <w:rsid w:val="00E02F9B"/>
    <w:rsid w:val="00E07E14"/>
    <w:rsid w:val="00E11492"/>
    <w:rsid w:val="00E114CD"/>
    <w:rsid w:val="00E14F94"/>
    <w:rsid w:val="00E17336"/>
    <w:rsid w:val="00E17D15"/>
    <w:rsid w:val="00E22B95"/>
    <w:rsid w:val="00E24B87"/>
    <w:rsid w:val="00E30331"/>
    <w:rsid w:val="00E30BB8"/>
    <w:rsid w:val="00E31F9C"/>
    <w:rsid w:val="00E40488"/>
    <w:rsid w:val="00E50367"/>
    <w:rsid w:val="00E51ABA"/>
    <w:rsid w:val="00E524CB"/>
    <w:rsid w:val="00E52CCE"/>
    <w:rsid w:val="00E53A56"/>
    <w:rsid w:val="00E56FDD"/>
    <w:rsid w:val="00E65456"/>
    <w:rsid w:val="00E65A91"/>
    <w:rsid w:val="00E66188"/>
    <w:rsid w:val="00E664FB"/>
    <w:rsid w:val="00E672F0"/>
    <w:rsid w:val="00E70373"/>
    <w:rsid w:val="00E72E40"/>
    <w:rsid w:val="00E73665"/>
    <w:rsid w:val="00E73999"/>
    <w:rsid w:val="00E73BDC"/>
    <w:rsid w:val="00E73E9E"/>
    <w:rsid w:val="00E762A7"/>
    <w:rsid w:val="00E81660"/>
    <w:rsid w:val="00E854FE"/>
    <w:rsid w:val="00E906CC"/>
    <w:rsid w:val="00E93983"/>
    <w:rsid w:val="00E939A0"/>
    <w:rsid w:val="00E97E4E"/>
    <w:rsid w:val="00EA1CC2"/>
    <w:rsid w:val="00EA2D76"/>
    <w:rsid w:val="00EA3775"/>
    <w:rsid w:val="00EA4644"/>
    <w:rsid w:val="00EA758A"/>
    <w:rsid w:val="00EB096F"/>
    <w:rsid w:val="00EB199F"/>
    <w:rsid w:val="00EB21A4"/>
    <w:rsid w:val="00EB27C4"/>
    <w:rsid w:val="00EB5387"/>
    <w:rsid w:val="00EB5C10"/>
    <w:rsid w:val="00EB7322"/>
    <w:rsid w:val="00EC0FE9"/>
    <w:rsid w:val="00EC198B"/>
    <w:rsid w:val="00EC1CA7"/>
    <w:rsid w:val="00EC426D"/>
    <w:rsid w:val="00EC571B"/>
    <w:rsid w:val="00EC57D7"/>
    <w:rsid w:val="00EC6385"/>
    <w:rsid w:val="00ED1DE9"/>
    <w:rsid w:val="00ED23D4"/>
    <w:rsid w:val="00ED5E0B"/>
    <w:rsid w:val="00ED64E6"/>
    <w:rsid w:val="00ED6CF5"/>
    <w:rsid w:val="00EE24EE"/>
    <w:rsid w:val="00EE37B6"/>
    <w:rsid w:val="00EF0F45"/>
    <w:rsid w:val="00EF37A7"/>
    <w:rsid w:val="00EF4BD0"/>
    <w:rsid w:val="00EF579D"/>
    <w:rsid w:val="00EF5DDD"/>
    <w:rsid w:val="00EF71C4"/>
    <w:rsid w:val="00EF7463"/>
    <w:rsid w:val="00EF7971"/>
    <w:rsid w:val="00F002EF"/>
    <w:rsid w:val="00F01EE9"/>
    <w:rsid w:val="00F04212"/>
    <w:rsid w:val="00F0440E"/>
    <w:rsid w:val="00F04900"/>
    <w:rsid w:val="00F065A4"/>
    <w:rsid w:val="00F126B9"/>
    <w:rsid w:val="00F12715"/>
    <w:rsid w:val="00F144D5"/>
    <w:rsid w:val="00F146F0"/>
    <w:rsid w:val="00F15039"/>
    <w:rsid w:val="00F159ED"/>
    <w:rsid w:val="00F20FF3"/>
    <w:rsid w:val="00F2190B"/>
    <w:rsid w:val="00F228B5"/>
    <w:rsid w:val="00F2389C"/>
    <w:rsid w:val="00F24EED"/>
    <w:rsid w:val="00F25C67"/>
    <w:rsid w:val="00F30DFF"/>
    <w:rsid w:val="00F32B80"/>
    <w:rsid w:val="00F340EB"/>
    <w:rsid w:val="00F35285"/>
    <w:rsid w:val="00F35F2C"/>
    <w:rsid w:val="00F40CDC"/>
    <w:rsid w:val="00F43B9D"/>
    <w:rsid w:val="00F44D5E"/>
    <w:rsid w:val="00F53A35"/>
    <w:rsid w:val="00F55A3D"/>
    <w:rsid w:val="00F56DD9"/>
    <w:rsid w:val="00F5744B"/>
    <w:rsid w:val="00F57683"/>
    <w:rsid w:val="00F61209"/>
    <w:rsid w:val="00F6259E"/>
    <w:rsid w:val="00F65DD4"/>
    <w:rsid w:val="00F672B2"/>
    <w:rsid w:val="00F67DD3"/>
    <w:rsid w:val="00F758F6"/>
    <w:rsid w:val="00F83973"/>
    <w:rsid w:val="00F87FA3"/>
    <w:rsid w:val="00F93D8C"/>
    <w:rsid w:val="00FA3102"/>
    <w:rsid w:val="00FA430D"/>
    <w:rsid w:val="00FA48D4"/>
    <w:rsid w:val="00FA54FA"/>
    <w:rsid w:val="00FA570C"/>
    <w:rsid w:val="00FA6D39"/>
    <w:rsid w:val="00FB2245"/>
    <w:rsid w:val="00FB227E"/>
    <w:rsid w:val="00FB3D61"/>
    <w:rsid w:val="00FB44CE"/>
    <w:rsid w:val="00FB4758"/>
    <w:rsid w:val="00FB5009"/>
    <w:rsid w:val="00FB76AB"/>
    <w:rsid w:val="00FC24B4"/>
    <w:rsid w:val="00FC421C"/>
    <w:rsid w:val="00FD03FE"/>
    <w:rsid w:val="00FD126E"/>
    <w:rsid w:val="00FD3C36"/>
    <w:rsid w:val="00FD4D81"/>
    <w:rsid w:val="00FD7498"/>
    <w:rsid w:val="00FD7FB3"/>
    <w:rsid w:val="00FE2458"/>
    <w:rsid w:val="00FE4713"/>
    <w:rsid w:val="00FF003D"/>
    <w:rsid w:val="00FF09CE"/>
    <w:rsid w:val="00FF1F44"/>
    <w:rsid w:val="00FF225E"/>
    <w:rsid w:val="00FF672C"/>
    <w:rsid w:val="00FF699E"/>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E2471D"/>
  <w14:defaultImageDpi w14:val="330"/>
  <w15:docId w15:val="{CDCD427B-604D-47FC-BEF1-3ECEF087A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4074B0"/>
    <w:pPr>
      <w:keepNext/>
      <w:spacing w:after="60" w:line="360" w:lineRule="auto"/>
      <w:ind w:right="567"/>
      <w:contextualSpacing/>
      <w:outlineLvl w:val="0"/>
    </w:pPr>
    <w:rPr>
      <w:rFonts w:cs="Arial"/>
      <w:b/>
      <w:bCs/>
      <w:kern w:val="32"/>
      <w:szCs w:val="32"/>
      <w:lang w:val="en-US"/>
    </w:rPr>
  </w:style>
  <w:style w:type="paragraph" w:styleId="Heading2">
    <w:name w:val="heading 2"/>
    <w:basedOn w:val="Normal"/>
    <w:next w:val="Paragraph"/>
    <w:link w:val="Heading2Char"/>
    <w:qFormat/>
    <w:rsid w:val="004074B0"/>
    <w:pPr>
      <w:keepNext/>
      <w:spacing w:line="360" w:lineRule="auto"/>
      <w:ind w:right="567"/>
      <w:contextualSpacing/>
      <w:outlineLvl w:val="1"/>
    </w:pPr>
    <w:rPr>
      <w:rFonts w:cs="Arial"/>
      <w:b/>
      <w:bCs/>
      <w:i/>
      <w:iCs/>
      <w:szCs w:val="28"/>
      <w:lang w:val="en-US"/>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paragraph" w:styleId="Heading5">
    <w:name w:val="heading 5"/>
    <w:basedOn w:val="Normal"/>
    <w:next w:val="Normal"/>
    <w:link w:val="Heading5Char"/>
    <w:rsid w:val="00D2321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F56DD9"/>
    <w:pPr>
      <w:spacing w:before="360" w:after="300" w:line="360" w:lineRule="auto"/>
      <w:ind w:left="720" w:right="567"/>
      <w:jc w:val="both"/>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4074B0"/>
    <w:pPr>
      <w:widowControl w:val="0"/>
      <w:jc w:val="both"/>
    </w:pPr>
    <w:rPr>
      <w:rFonts w:asciiTheme="majorBidi" w:hAnsiTheme="majorBidi" w:cstheme="majorBidi"/>
      <w:shd w:val="clear" w:color="auto" w:fill="FFFFFF"/>
    </w:rPr>
  </w:style>
  <w:style w:type="paragraph" w:customStyle="1" w:styleId="Newparagraph">
    <w:name w:val="New paragraph"/>
    <w:basedOn w:val="Normal"/>
    <w:qFormat/>
    <w:rsid w:val="000D4280"/>
    <w:pPr>
      <w:ind w:firstLine="720"/>
      <w:jc w:val="both"/>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4074B0"/>
    <w:rPr>
      <w:rFonts w:cs="Arial"/>
      <w:b/>
      <w:bCs/>
      <w:i/>
      <w:iCs/>
      <w:sz w:val="24"/>
      <w:szCs w:val="28"/>
      <w:lang w:val="en-US"/>
    </w:rPr>
  </w:style>
  <w:style w:type="character" w:customStyle="1" w:styleId="Heading1Char">
    <w:name w:val="Heading 1 Char"/>
    <w:basedOn w:val="DefaultParagraphFont"/>
    <w:link w:val="Heading1"/>
    <w:rsid w:val="004074B0"/>
    <w:rPr>
      <w:rFonts w:cs="Arial"/>
      <w:b/>
      <w:bCs/>
      <w:kern w:val="32"/>
      <w:sz w:val="24"/>
      <w:szCs w:val="32"/>
      <w:lang w:val="en-US"/>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4043DC"/>
    <w:pPr>
      <w:spacing w:line="240" w:lineRule="auto"/>
      <w:ind w:left="284" w:hanging="284"/>
    </w:pPr>
    <w:rPr>
      <w:sz w:val="22"/>
      <w:szCs w:val="20"/>
    </w:rPr>
  </w:style>
  <w:style w:type="character" w:customStyle="1" w:styleId="FootnoteTextChar">
    <w:name w:val="Footnote Text Char"/>
    <w:basedOn w:val="DefaultParagraphFont"/>
    <w:link w:val="FootnoteText"/>
    <w:uiPriority w:val="99"/>
    <w:rsid w:val="004043DC"/>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styleId="Hyperlink">
    <w:name w:val="Hyperlink"/>
    <w:basedOn w:val="DefaultParagraphFont"/>
    <w:uiPriority w:val="99"/>
    <w:unhideWhenUsed/>
    <w:rsid w:val="005E3F15"/>
    <w:rPr>
      <w:color w:val="0000FF"/>
      <w:u w:val="single"/>
    </w:rPr>
  </w:style>
  <w:style w:type="character" w:styleId="CommentReference">
    <w:name w:val="annotation reference"/>
    <w:basedOn w:val="DefaultParagraphFont"/>
    <w:semiHidden/>
    <w:unhideWhenUsed/>
    <w:rsid w:val="00061050"/>
    <w:rPr>
      <w:sz w:val="16"/>
      <w:szCs w:val="16"/>
    </w:rPr>
  </w:style>
  <w:style w:type="paragraph" w:styleId="CommentText">
    <w:name w:val="annotation text"/>
    <w:basedOn w:val="Normal"/>
    <w:link w:val="CommentTextChar"/>
    <w:unhideWhenUsed/>
    <w:rsid w:val="00061050"/>
    <w:pPr>
      <w:spacing w:line="240" w:lineRule="auto"/>
    </w:pPr>
    <w:rPr>
      <w:sz w:val="20"/>
      <w:szCs w:val="20"/>
    </w:rPr>
  </w:style>
  <w:style w:type="character" w:customStyle="1" w:styleId="CommentTextChar">
    <w:name w:val="Comment Text Char"/>
    <w:basedOn w:val="DefaultParagraphFont"/>
    <w:link w:val="CommentText"/>
    <w:rsid w:val="00061050"/>
  </w:style>
  <w:style w:type="paragraph" w:styleId="CommentSubject">
    <w:name w:val="annotation subject"/>
    <w:basedOn w:val="CommentText"/>
    <w:next w:val="CommentText"/>
    <w:link w:val="CommentSubjectChar"/>
    <w:semiHidden/>
    <w:unhideWhenUsed/>
    <w:rsid w:val="00061050"/>
    <w:rPr>
      <w:b/>
      <w:bCs/>
    </w:rPr>
  </w:style>
  <w:style w:type="character" w:customStyle="1" w:styleId="CommentSubjectChar">
    <w:name w:val="Comment Subject Char"/>
    <w:basedOn w:val="CommentTextChar"/>
    <w:link w:val="CommentSubject"/>
    <w:semiHidden/>
    <w:rsid w:val="00061050"/>
    <w:rPr>
      <w:b/>
      <w:bCs/>
    </w:rPr>
  </w:style>
  <w:style w:type="character" w:customStyle="1" w:styleId="Heading5Char">
    <w:name w:val="Heading 5 Char"/>
    <w:basedOn w:val="DefaultParagraphFont"/>
    <w:link w:val="Heading5"/>
    <w:rsid w:val="00D2321C"/>
    <w:rPr>
      <w:rFonts w:asciiTheme="majorHAnsi" w:eastAsiaTheme="majorEastAsia" w:hAnsiTheme="majorHAnsi" w:cstheme="majorBidi"/>
      <w:color w:val="365F91" w:themeColor="accent1" w:themeShade="BF"/>
      <w:sz w:val="24"/>
      <w:szCs w:val="24"/>
    </w:rPr>
  </w:style>
  <w:style w:type="character" w:styleId="Emphasis">
    <w:name w:val="Emphasis"/>
    <w:basedOn w:val="DefaultParagraphFont"/>
    <w:uiPriority w:val="20"/>
    <w:qFormat/>
    <w:rsid w:val="00D2321C"/>
    <w:rPr>
      <w:i/>
      <w:iCs/>
    </w:rPr>
  </w:style>
  <w:style w:type="character" w:styleId="Strong">
    <w:name w:val="Strong"/>
    <w:basedOn w:val="DefaultParagraphFont"/>
    <w:uiPriority w:val="22"/>
    <w:qFormat/>
    <w:rsid w:val="00D2321C"/>
    <w:rPr>
      <w:b/>
      <w:bCs/>
    </w:rPr>
  </w:style>
  <w:style w:type="paragraph" w:styleId="Caption">
    <w:name w:val="caption"/>
    <w:basedOn w:val="Normal"/>
    <w:next w:val="Normal"/>
    <w:unhideWhenUsed/>
    <w:rsid w:val="00615FC8"/>
    <w:pPr>
      <w:spacing w:after="200" w:line="240" w:lineRule="auto"/>
    </w:pPr>
    <w:rPr>
      <w:i/>
      <w:iCs/>
      <w:color w:val="1F497D" w:themeColor="text2"/>
      <w:sz w:val="18"/>
      <w:szCs w:val="18"/>
    </w:rPr>
  </w:style>
  <w:style w:type="paragraph" w:styleId="NormalWeb">
    <w:name w:val="Normal (Web)"/>
    <w:basedOn w:val="Normal"/>
    <w:uiPriority w:val="99"/>
    <w:semiHidden/>
    <w:unhideWhenUsed/>
    <w:rsid w:val="00705703"/>
    <w:pPr>
      <w:spacing w:before="100" w:beforeAutospacing="1" w:after="100" w:afterAutospacing="1" w:line="240" w:lineRule="auto"/>
    </w:pPr>
    <w:rPr>
      <w:lang w:val="en-US" w:eastAsia="en-US" w:bidi="he-IL"/>
    </w:rPr>
  </w:style>
  <w:style w:type="character" w:customStyle="1" w:styleId="inline-flex">
    <w:name w:val="inline-flex"/>
    <w:basedOn w:val="DefaultParagraphFont"/>
    <w:rsid w:val="00192036"/>
  </w:style>
  <w:style w:type="character" w:customStyle="1" w:styleId="text-nowrap">
    <w:name w:val="text-nowrap"/>
    <w:basedOn w:val="DefaultParagraphFont"/>
    <w:rsid w:val="00192036"/>
  </w:style>
  <w:style w:type="paragraph" w:styleId="ListParagraph">
    <w:name w:val="List Paragraph"/>
    <w:basedOn w:val="Normal"/>
    <w:uiPriority w:val="34"/>
    <w:qFormat/>
    <w:rsid w:val="00ED6CF5"/>
    <w:pPr>
      <w:spacing w:line="240" w:lineRule="auto"/>
      <w:ind w:left="720"/>
      <w:contextualSpacing/>
    </w:pPr>
    <w:rPr>
      <w:lang w:val="en-US" w:eastAsia="en-US" w:bidi="he-IL"/>
    </w:rPr>
  </w:style>
  <w:style w:type="paragraph" w:styleId="Revision">
    <w:name w:val="Revision"/>
    <w:hidden/>
    <w:semiHidden/>
    <w:rsid w:val="0050762A"/>
    <w:rPr>
      <w:sz w:val="24"/>
      <w:szCs w:val="24"/>
    </w:rPr>
  </w:style>
  <w:style w:type="character" w:customStyle="1" w:styleId="gtcolumnspanner">
    <w:name w:val="gt_column_spanner"/>
    <w:basedOn w:val="DefaultParagraphFont"/>
    <w:rsid w:val="00DB0781"/>
  </w:style>
  <w:style w:type="character" w:customStyle="1" w:styleId="gtfootnotemarks">
    <w:name w:val="gt_footnote_marks"/>
    <w:basedOn w:val="DefaultParagraphFont"/>
    <w:rsid w:val="00DB0781"/>
  </w:style>
  <w:style w:type="paragraph" w:customStyle="1" w:styleId="whitespace-normal">
    <w:name w:val="whitespace-normal"/>
    <w:basedOn w:val="Normal"/>
    <w:rsid w:val="008220A1"/>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F56DD9"/>
    <w:rPr>
      <w:color w:val="605E5C"/>
      <w:shd w:val="clear" w:color="auto" w:fill="E1DFDD"/>
    </w:rPr>
  </w:style>
  <w:style w:type="paragraph" w:styleId="Bibliography">
    <w:name w:val="Bibliography"/>
    <w:basedOn w:val="Normal"/>
    <w:next w:val="Normal"/>
    <w:unhideWhenUsed/>
    <w:rsid w:val="000569EB"/>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1931">
      <w:bodyDiv w:val="1"/>
      <w:marLeft w:val="0"/>
      <w:marRight w:val="0"/>
      <w:marTop w:val="0"/>
      <w:marBottom w:val="0"/>
      <w:divBdr>
        <w:top w:val="none" w:sz="0" w:space="0" w:color="auto"/>
        <w:left w:val="none" w:sz="0" w:space="0" w:color="auto"/>
        <w:bottom w:val="none" w:sz="0" w:space="0" w:color="auto"/>
        <w:right w:val="none" w:sz="0" w:space="0" w:color="auto"/>
      </w:divBdr>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 w:id="1825734589">
      <w:bodyDiv w:val="1"/>
      <w:marLeft w:val="0"/>
      <w:marRight w:val="0"/>
      <w:marTop w:val="0"/>
      <w:marBottom w:val="0"/>
      <w:divBdr>
        <w:top w:val="none" w:sz="0" w:space="0" w:color="auto"/>
        <w:left w:val="none" w:sz="0" w:space="0" w:color="auto"/>
        <w:bottom w:val="none" w:sz="0" w:space="0" w:color="auto"/>
        <w:right w:val="none" w:sz="0" w:space="0" w:color="auto"/>
      </w:divBdr>
      <w:divsChild>
        <w:div w:id="270480801">
          <w:marLeft w:val="1080"/>
          <w:marRight w:val="0"/>
          <w:marTop w:val="100"/>
          <w:marBottom w:val="0"/>
          <w:divBdr>
            <w:top w:val="none" w:sz="0" w:space="0" w:color="auto"/>
            <w:left w:val="none" w:sz="0" w:space="0" w:color="auto"/>
            <w:bottom w:val="none" w:sz="0" w:space="0" w:color="auto"/>
            <w:right w:val="none" w:sz="0" w:space="0" w:color="auto"/>
          </w:divBdr>
        </w:div>
        <w:div w:id="415323466">
          <w:marLeft w:val="1080"/>
          <w:marRight w:val="0"/>
          <w:marTop w:val="100"/>
          <w:marBottom w:val="0"/>
          <w:divBdr>
            <w:top w:val="none" w:sz="0" w:space="0" w:color="auto"/>
            <w:left w:val="none" w:sz="0" w:space="0" w:color="auto"/>
            <w:bottom w:val="none" w:sz="0" w:space="0" w:color="auto"/>
            <w:right w:val="none" w:sz="0" w:space="0" w:color="auto"/>
          </w:divBdr>
        </w:div>
        <w:div w:id="815873048">
          <w:marLeft w:val="1080"/>
          <w:marRight w:val="0"/>
          <w:marTop w:val="100"/>
          <w:marBottom w:val="0"/>
          <w:divBdr>
            <w:top w:val="none" w:sz="0" w:space="0" w:color="auto"/>
            <w:left w:val="none" w:sz="0" w:space="0" w:color="auto"/>
            <w:bottom w:val="none" w:sz="0" w:space="0" w:color="auto"/>
            <w:right w:val="none" w:sz="0" w:space="0" w:color="auto"/>
          </w:divBdr>
        </w:div>
        <w:div w:id="2010713277">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7/pan.2018.48" TargetMode="External"/><Relationship Id="rId21" Type="http://schemas.openxmlformats.org/officeDocument/2006/relationships/hyperlink" Target="https://doi.org/10.1111/pops.12384" TargetMode="External"/><Relationship Id="rId42" Type="http://schemas.openxmlformats.org/officeDocument/2006/relationships/hyperlink" Target="https://www.jstor.org/stable/resrep31258.24" TargetMode="External"/><Relationship Id="rId47" Type="http://schemas.openxmlformats.org/officeDocument/2006/relationships/hyperlink" Target="https://doi.org/10.1111/j.1475-6765.1995.tb00636.x" TargetMode="External"/><Relationship Id="rId63" Type="http://schemas.openxmlformats.org/officeDocument/2006/relationships/hyperlink" Target="https://doi.org/10.2307/1955404" TargetMode="External"/><Relationship Id="rId68" Type="http://schemas.openxmlformats.org/officeDocument/2006/relationships/hyperlink" Target="https://doi.org/10.1177/0963721418817755" TargetMode="External"/><Relationship Id="rId2" Type="http://schemas.openxmlformats.org/officeDocument/2006/relationships/numbering" Target="numbering.xml"/><Relationship Id="rId16" Type="http://schemas.openxmlformats.org/officeDocument/2006/relationships/hyperlink" Target="https://doi.org/10.1007/s11109-016-9368-2" TargetMode="External"/><Relationship Id="rId29" Type="http://schemas.openxmlformats.org/officeDocument/2006/relationships/hyperlink" Target="https://doi.org/10.1016/j.copsyc.2016.06.008" TargetMode="External"/><Relationship Id="rId11" Type="http://schemas.openxmlformats.org/officeDocument/2006/relationships/image" Target="media/image3.png"/><Relationship Id="rId24" Type="http://schemas.openxmlformats.org/officeDocument/2006/relationships/hyperlink" Target="https://doi.org/10.1037/pspp0000341" TargetMode="External"/><Relationship Id="rId32" Type="http://schemas.openxmlformats.org/officeDocument/2006/relationships/hyperlink" Target="https://doi.org/10.2307/1963734" TargetMode="External"/><Relationship Id="rId37" Type="http://schemas.openxmlformats.org/officeDocument/2006/relationships/hyperlink" Target="https://doi.org/10.1111/josi.12633" TargetMode="External"/><Relationship Id="rId40" Type="http://schemas.openxmlformats.org/officeDocument/2006/relationships/hyperlink" Target="https://doi.org/10.1007/978-3-030-83336-7" TargetMode="External"/><Relationship Id="rId45" Type="http://schemas.openxmlformats.org/officeDocument/2006/relationships/hyperlink" Target="https://doi.org/10.1057/s41284-020-00274-y" TargetMode="External"/><Relationship Id="rId53" Type="http://schemas.openxmlformats.org/officeDocument/2006/relationships/hyperlink" Target="https://doi.org/10.2307/1960545" TargetMode="External"/><Relationship Id="rId58" Type="http://schemas.openxmlformats.org/officeDocument/2006/relationships/hyperlink" Target="https://doi.org/10.2991/icsdcbr-19.2019.118" TargetMode="External"/><Relationship Id="rId66" Type="http://schemas.openxmlformats.org/officeDocument/2006/relationships/hyperlink" Target="https://hansard.parliament.uk/Lords/2024-03-19/debates/0641C02D-BD26-47DB-900A-2916104490CB/ExtremismDefinitionAndCommunityEngagement" TargetMode="External"/><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doi.org/10.1007/s11133-008-9111-3" TargetMode="External"/><Relationship Id="rId19" Type="http://schemas.openxmlformats.org/officeDocument/2006/relationships/hyperlink" Target="https://doi.org/10.1027/1016-9040/a000158" TargetMode="External"/><Relationship Id="rId14" Type="http://schemas.openxmlformats.org/officeDocument/2006/relationships/hyperlink" Target="https://doi.org/10.4324/9781003032793" TargetMode="External"/><Relationship Id="rId22" Type="http://schemas.openxmlformats.org/officeDocument/2006/relationships/hyperlink" Target="https://doi.org/10.1007/978-3-319-71066-2_60-1" TargetMode="External"/><Relationship Id="rId27" Type="http://schemas.openxmlformats.org/officeDocument/2006/relationships/hyperlink" Target="https://doi.org/10.1080/01402381003654569" TargetMode="External"/><Relationship Id="rId30" Type="http://schemas.openxmlformats.org/officeDocument/2006/relationships/hyperlink" Target="https://doi.org/10.1017/psrm.2020.27" TargetMode="External"/><Relationship Id="rId35" Type="http://schemas.openxmlformats.org/officeDocument/2006/relationships/hyperlink" Target="https://doi.org/10.1080/09546553.2016.1212599" TargetMode="External"/><Relationship Id="rId43" Type="http://schemas.openxmlformats.org/officeDocument/2006/relationships/hyperlink" Target="https://doi.org/10.1037/tra0000866" TargetMode="External"/><Relationship Id="rId48" Type="http://schemas.openxmlformats.org/officeDocument/2006/relationships/hyperlink" Target="https://doi.org/10.1080/09546553.2019.1598391" TargetMode="External"/><Relationship Id="rId56" Type="http://schemas.openxmlformats.org/officeDocument/2006/relationships/hyperlink" Target="https://doi.org/10.19165/2014.1.05" TargetMode="External"/><Relationship Id="rId64" Type="http://schemas.openxmlformats.org/officeDocument/2006/relationships/hyperlink" Target="https://il.boell.org/en/2019/04/03/center-parties-and-power-change-israeli-politics" TargetMode="External"/><Relationship Id="rId69" Type="http://schemas.openxmlformats.org/officeDocument/2006/relationships/hyperlink" Target="https://doi.org/10.1017/9781108779104.029" TargetMode="External"/><Relationship Id="rId8" Type="http://schemas.openxmlformats.org/officeDocument/2006/relationships/hyperlink" Target="mailto:amir61@gmail.com" TargetMode="External"/><Relationship Id="rId51" Type="http://schemas.openxmlformats.org/officeDocument/2006/relationships/hyperlink" Target="https://doi.org/10.1177/0886260517713711" TargetMode="External"/><Relationship Id="rId72" Type="http://schemas.openxmlformats.org/officeDocument/2006/relationships/hyperlink" Target="https://serval.unil.ch/resource/serval:BIB_99F83F0E52A3.P001/REF.pdf"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i.org/10.1111/1475-6765.12442" TargetMode="External"/><Relationship Id="rId25" Type="http://schemas.openxmlformats.org/officeDocument/2006/relationships/hyperlink" Target="https://doi.org/10.1080/1057610X.2021.1923188" TargetMode="External"/><Relationship Id="rId33" Type="http://schemas.openxmlformats.org/officeDocument/2006/relationships/hyperlink" Target="https://www.isdglobal.org/explainers/left-wing-extremism/" TargetMode="External"/><Relationship Id="rId38" Type="http://schemas.openxmlformats.org/officeDocument/2006/relationships/hyperlink" Target="https://doi.org/10.1146/annurev.psych.60.110707.163600" TargetMode="External"/><Relationship Id="rId46" Type="http://schemas.openxmlformats.org/officeDocument/2006/relationships/hyperlink" Target="https://doi.org/10.1086/695775" TargetMode="External"/><Relationship Id="rId59" Type="http://schemas.openxmlformats.org/officeDocument/2006/relationships/hyperlink" Target="https://doi.org/10.1037/pspi0000333" TargetMode="External"/><Relationship Id="rId67" Type="http://schemas.openxmlformats.org/officeDocument/2006/relationships/hyperlink" Target="https://doi.org/10.1080/10463283.2020.1778324" TargetMode="External"/><Relationship Id="rId20" Type="http://schemas.openxmlformats.org/officeDocument/2006/relationships/hyperlink" Target="https://doi.org/10.1016/j.ijintrel.2008.12.007" TargetMode="External"/><Relationship Id="rId41" Type="http://schemas.openxmlformats.org/officeDocument/2006/relationships/hyperlink" Target="https://doi.org/10.1371/journal.pone.0300661" TargetMode="External"/><Relationship Id="rId54" Type="http://schemas.openxmlformats.org/officeDocument/2006/relationships/hyperlink" Target="https://doi.org/10.24073/jga/4/01/03" TargetMode="External"/><Relationship Id="rId62" Type="http://schemas.openxmlformats.org/officeDocument/2006/relationships/hyperlink" Target="https://doi.org/10.1177/002200277501900301" TargetMode="External"/><Relationship Id="rId70" Type="http://schemas.openxmlformats.org/officeDocument/2006/relationships/hyperlink" Target="https://doi.org/10.1177/1948550614567356"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4324/9780203867259" TargetMode="External"/><Relationship Id="rId23" Type="http://schemas.openxmlformats.org/officeDocument/2006/relationships/hyperlink" Target="https://resolvenet.org/research/publications/addressing-extremism" TargetMode="External"/><Relationship Id="rId28" Type="http://schemas.openxmlformats.org/officeDocument/2006/relationships/hyperlink" Target="https://doi.org/10.7334/psicothema2017.423" TargetMode="External"/><Relationship Id="rId36" Type="http://schemas.openxmlformats.org/officeDocument/2006/relationships/hyperlink" Target="https://doi.org/10.1073/pnas.2122593119" TargetMode="External"/><Relationship Id="rId49" Type="http://schemas.openxmlformats.org/officeDocument/2006/relationships/hyperlink" Target="https://doi.org/10.1111/sjop.12484" TargetMode="External"/><Relationship Id="rId57" Type="http://schemas.openxmlformats.org/officeDocument/2006/relationships/hyperlink" Target="https://doi.org/10.1080/09546553.2010.491009" TargetMode="External"/><Relationship Id="rId10" Type="http://schemas.openxmlformats.org/officeDocument/2006/relationships/image" Target="media/image2.png"/><Relationship Id="rId31" Type="http://schemas.openxmlformats.org/officeDocument/2006/relationships/hyperlink" Target="https://doi.org/10.1126/sciadv.adm9198" TargetMode="External"/><Relationship Id="rId44" Type="http://schemas.openxmlformats.org/officeDocument/2006/relationships/hyperlink" Target="https://doi.org/10.1007/978-3-031-30897-0_3" TargetMode="External"/><Relationship Id="rId52" Type="http://schemas.openxmlformats.org/officeDocument/2006/relationships/hyperlink" Target="https://doi.org/10.5964/jspp.11255" TargetMode="External"/><Relationship Id="rId60" Type="http://schemas.openxmlformats.org/officeDocument/2006/relationships/hyperlink" Target="https://www.ojp.gov/pdffiles1/nij/Mesko/208033.pdf" TargetMode="External"/><Relationship Id="rId65" Type="http://schemas.openxmlformats.org/officeDocument/2006/relationships/hyperlink" Target="https://doi.org/10.1177/0263395721990539" TargetMode="External"/><Relationship Id="rId73" Type="http://schemas.openxmlformats.org/officeDocument/2006/relationships/hyperlink" Target="https://doi.org/10.1080/00207659.2018.1560982"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bostonreview.net/articles/israels-complicit-center/" TargetMode="External"/><Relationship Id="rId18" Type="http://schemas.openxmlformats.org/officeDocument/2006/relationships/hyperlink" Target="https://sgp.fas.org/crs/terror/R44921.pdf" TargetMode="External"/><Relationship Id="rId39" Type="http://schemas.openxmlformats.org/officeDocument/2006/relationships/hyperlink" Target="https://doi.org/10.1080/09644008.2018.1484906" TargetMode="External"/><Relationship Id="rId34" Type="http://schemas.openxmlformats.org/officeDocument/2006/relationships/hyperlink" Target="https://doi.org/10.1017/S0007123414000374" TargetMode="External"/><Relationship Id="rId50" Type="http://schemas.openxmlformats.org/officeDocument/2006/relationships/hyperlink" Target="https://doi.org/10.1016/j.ijintrel.2025.102184" TargetMode="External"/><Relationship Id="rId55" Type="http://schemas.openxmlformats.org/officeDocument/2006/relationships/hyperlink" Target="https://doi.org/10.19165/2013.1.02" TargetMode="Externa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016/j.paid.2020.1098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5837</TotalTime>
  <Pages>33</Pages>
  <Words>28245</Words>
  <Characters>160999</Characters>
  <Application>Microsoft Office Word</Application>
  <DocSecurity>0</DocSecurity>
  <Lines>1341</Lines>
  <Paragraphs>377</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188867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subject/>
  <dc:creator>USER</dc:creator>
  <cp:keywords/>
  <dc:description/>
  <cp:lastModifiedBy>amir Freund</cp:lastModifiedBy>
  <cp:revision>35</cp:revision>
  <cp:lastPrinted>2025-12-28T20:03:00Z</cp:lastPrinted>
  <dcterms:created xsi:type="dcterms:W3CDTF">2025-11-16T08:22:00Z</dcterms:created>
  <dcterms:modified xsi:type="dcterms:W3CDTF">2025-12-28T20:29:00Z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938dee6c-d8f9-4802-9e69-d81c90309f4c</vt:lpwstr>
  </property>
  <property fmtid="{D5CDD505-2E9C-101B-9397-08002B2CF9AE}" pid="3" name="ZOTERO_PREF_1">
    <vt:lpwstr>&lt;data data-version="3" zotero-version="7.0.30"&gt;&lt;session id="DwYlNdcl"/&gt;&lt;style id="http://www.zotero.org/styles/apa" locale="en-US" hasBibliography="1" bibliographyStyleHasBeenSet="1"/&gt;&lt;prefs&gt;&lt;pref name="fieldType" value="Field"/&gt;&lt;/prefs&gt;&lt;/data&gt;</vt:lpwstr>
  </property>
</Properties>
</file>