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78A93" w14:textId="7AD6FF6B" w:rsidR="001B52E3" w:rsidRDefault="00D029B6" w:rsidP="00D029B6">
      <w:pPr>
        <w:pStyle w:val="Heading1"/>
      </w:pPr>
      <w:r>
        <w:t>MANOVA</w:t>
      </w:r>
    </w:p>
    <w:p w14:paraId="674DACEF" w14:textId="7F8BA250" w:rsidR="00303EA4" w:rsidRPr="00321A90" w:rsidRDefault="00303EA4" w:rsidP="00321A90">
      <w:pPr>
        <w:pStyle w:val="Heading2"/>
      </w:pPr>
      <w:r w:rsidRPr="00321A90">
        <w:t>MANOVA Results Interpretation</w:t>
      </w:r>
      <w:r w:rsidR="00321A90" w:rsidRPr="00321A90">
        <w:t xml:space="preserve"> – Entire Population</w:t>
      </w:r>
    </w:p>
    <w:p w14:paraId="46B602EB" w14:textId="3F0BA1C3" w:rsidR="00303EA4" w:rsidRDefault="00303EA4" w:rsidP="00303EA4">
      <w:r>
        <w:t>The initial stage of the analysis utilizes a Multivariate Analysis of Variance (MANOVA) to examine the impact of five distinct destabilizing events on a three-dimensional vector of political extremism. Using Pillai’s Trace as the test statistic, the model assesses changes in the cognitive, behavioral, and social dimensions across six survey waves (</w:t>
      </w:r>
      <w:r>
        <w:rPr>
          <w:rStyle w:val="math-inline"/>
          <w:rFonts w:ascii="Arial" w:hAnsi="Arial" w:cs="Arial"/>
        </w:rPr>
        <w:t>N &gt; 1,000</w:t>
      </w:r>
      <w:r>
        <w:t xml:space="preserve"> per wave). The results demonstrate a significant main effect for the event variable (</w:t>
      </w:r>
      <w:r>
        <w:rPr>
          <w:rStyle w:val="math-inline"/>
          <w:rFonts w:ascii="Arial" w:hAnsi="Arial" w:cs="Arial"/>
        </w:rPr>
        <w:t>p &lt; .001</w:t>
      </w:r>
      <w:r>
        <w:t xml:space="preserve">) during the Inland Terror period (Pillai's Trace = 0.018), alongside consistently significant effects for political orientation, gender, and age across all observed intervals. Furthermore, the model reveals </w:t>
      </w:r>
      <w:r>
        <w:t>considerable</w:t>
      </w:r>
      <w:r>
        <w:t xml:space="preserve"> interaction effects between the events and political orientation, particularly during the Inland Terror (</w:t>
      </w:r>
      <w:r>
        <w:rPr>
          <w:rStyle w:val="math-inline"/>
          <w:rFonts w:ascii="Arial" w:hAnsi="Arial" w:cs="Arial"/>
        </w:rPr>
        <w:t>p &lt; .001</w:t>
      </w:r>
      <w:r>
        <w:t>) and the October 7th War (</w:t>
      </w:r>
      <w:r>
        <w:rPr>
          <w:rStyle w:val="math-inline"/>
          <w:rFonts w:ascii="Arial" w:hAnsi="Arial" w:cs="Arial"/>
        </w:rPr>
        <w:t>p &lt; .05</w:t>
      </w:r>
      <w:r>
        <w:t>).</w:t>
      </w:r>
    </w:p>
    <w:p w14:paraId="4F9ABCD3" w14:textId="6A965CED" w:rsidR="00303EA4" w:rsidRDefault="00303EA4" w:rsidP="00303EA4">
      <w:r>
        <w:t xml:space="preserve">The summary of per-dimension ANOVA results identifies the specific locations of these shifts within the three conceptual dimensions of extremism. The data show that different dimensions respond with varying sensitivity to external shocks, as evidenced by the high </w:t>
      </w:r>
      <w:r>
        <w:rPr>
          <w:rStyle w:val="math-inline"/>
          <w:rFonts w:ascii="Arial" w:hAnsi="Arial" w:cs="Arial"/>
        </w:rPr>
        <w:t>F</w:t>
      </w:r>
      <w:r>
        <w:t>-statistic for the Ideology dimension during Inland Terror (</w:t>
      </w:r>
      <w:r>
        <w:rPr>
          <w:rStyle w:val="math-inline"/>
          <w:rFonts w:ascii="Arial" w:hAnsi="Arial" w:cs="Arial"/>
        </w:rPr>
        <w:t>F = 17.211</w:t>
      </w:r>
      <w:r>
        <w:t>) and a more moderate but significant shift during the October 7th War (</w:t>
      </w:r>
      <w:r>
        <w:rPr>
          <w:rStyle w:val="math-inline"/>
          <w:rFonts w:ascii="Arial" w:hAnsi="Arial" w:cs="Arial"/>
        </w:rPr>
        <w:t>F = 4.575</w:t>
      </w:r>
      <w:r>
        <w:t xml:space="preserve">). Conversely, the Social dimension exhibits remarkable stability, yielding an </w:t>
      </w:r>
      <w:r>
        <w:rPr>
          <w:rStyle w:val="math-inline"/>
          <w:rFonts w:ascii="Arial" w:hAnsi="Arial" w:cs="Arial"/>
        </w:rPr>
        <w:t>F</w:t>
      </w:r>
      <w:r>
        <w:t xml:space="preserve">-statistic of </w:t>
      </w:r>
      <w:r>
        <w:rPr>
          <w:rStyle w:val="math-inline"/>
          <w:rFonts w:ascii="Arial" w:hAnsi="Arial" w:cs="Arial"/>
        </w:rPr>
        <w:t>0.000</w:t>
      </w:r>
      <w:r>
        <w:t xml:space="preserve"> across all event waves, </w:t>
      </w:r>
      <w:r>
        <w:t xml:space="preserve">whereas the Violence dimension shows only a </w:t>
      </w:r>
      <w:r>
        <w:t>significant main effect during the Inland Terror period (</w:t>
      </w:r>
      <w:r>
        <w:rPr>
          <w:rStyle w:val="math-inline"/>
          <w:rFonts w:ascii="Arial" w:hAnsi="Arial" w:cs="Arial"/>
        </w:rPr>
        <w:t>F = 5.009</w:t>
      </w:r>
      <w:r>
        <w:t>).</w:t>
      </w:r>
    </w:p>
    <w:p w14:paraId="0C0E56EF" w14:textId="66EAB42C" w:rsidR="00303EA4" w:rsidRPr="00303EA4" w:rsidRDefault="00303EA4" w:rsidP="00321A90">
      <w:r>
        <w:t>These combined multivariate and univariate findings provide empirical support for the first two primary hypotheses. The variation in significance levels across the ANOVA dimensions confirms that political extremism dimensions respond heterogeneously to socio-political shocks, as the cognitive and behavioral dimensions fluctuate while social intolerance remains static in the aggregate population. Moreover, the significant interaction terms in the MANOVA validate the second hypothesis, demonstrating that an individual’s position on the left-right spectrum actively moderates the impact of these events. This suggests that the general public does not react to national crises as a monolithic entity but rather through the conditioning lens of existing ideological commitments.</w:t>
      </w:r>
    </w:p>
    <w:p w14:paraId="2112FF9C" w14:textId="57655E97" w:rsidR="00321A90" w:rsidRDefault="00321A90" w:rsidP="00321A90">
      <w:pPr>
        <w:pStyle w:val="Heading2"/>
      </w:pPr>
      <w:r>
        <w:t xml:space="preserve">MANOVA Results Interpretation – </w:t>
      </w:r>
      <w:r>
        <w:t>Extreme</w:t>
      </w:r>
      <w:r>
        <w:t xml:space="preserve"> Population</w:t>
      </w:r>
    </w:p>
    <w:p w14:paraId="7B08CF81" w14:textId="2C32C5DA" w:rsidR="00321A90" w:rsidRDefault="00321A90" w:rsidP="00321A90">
      <w:r>
        <w:t xml:space="preserve">The second stage of the analysis applies the MANOVA framework specifically to the extremist subset, defined as </w:t>
      </w:r>
      <w:r>
        <w:t>individuals who score</w:t>
      </w:r>
      <w:r>
        <w:t xml:space="preserve"> above the threshold in at least </w:t>
      </w:r>
      <w:r>
        <w:lastRenderedPageBreak/>
        <w:t>two dimensions (</w:t>
      </w:r>
      <w:r>
        <w:rPr>
          <w:rStyle w:val="math-inline"/>
          <w:rFonts w:ascii="Arial" w:hAnsi="Arial" w:cs="Arial"/>
        </w:rPr>
        <w:t xml:space="preserve">ER </w:t>
      </w:r>
      <w:r>
        <w:rPr>
          <w:rStyle w:val="math-inline"/>
          <w:rFonts w:ascii="Arial" w:hAnsi="Arial" w:cs="Arial"/>
        </w:rPr>
        <w:t>&gt;=</w:t>
      </w:r>
      <w:r>
        <w:rPr>
          <w:rStyle w:val="math-inline"/>
          <w:rFonts w:ascii="Arial" w:hAnsi="Arial" w:cs="Arial"/>
        </w:rPr>
        <w:t xml:space="preserve"> 2</w:t>
      </w:r>
      <w:r>
        <w:t xml:space="preserve">). This transition to the tail of the distribution involves a smaller, more focused sample size of approximately 100 to 200 respondents per wave, which inherently limits statistical power but offers higher substantive resolution. The multivariate tests reveal a robust main effect for the Inland Terror event (Pillai’s Trace = 0.065, </w:t>
      </w:r>
      <w:r>
        <w:rPr>
          <w:rStyle w:val="math-inline"/>
          <w:rFonts w:ascii="Arial" w:hAnsi="Arial" w:cs="Arial"/>
        </w:rPr>
        <w:t>p &lt; .001</w:t>
      </w:r>
      <w:r>
        <w:t xml:space="preserve">), a result that remains significant despite the reduced </w:t>
      </w:r>
      <w:r>
        <w:rPr>
          <w:rStyle w:val="math-inline"/>
          <w:rFonts w:ascii="Arial" w:hAnsi="Arial" w:cs="Arial"/>
        </w:rPr>
        <w:t>N</w:t>
      </w:r>
      <w:r>
        <w:t xml:space="preserve">. Notably, while political orientation and demographic variables </w:t>
      </w:r>
      <w:r>
        <w:t>remain substantial</w:t>
      </w:r>
      <w:r>
        <w:t xml:space="preserve">, the interaction terms between events and political orientation do not reach conventional significance levels in this subset, likely due to the increased standard errors associated with </w:t>
      </w:r>
      <w:r>
        <w:t>smaller</w:t>
      </w:r>
      <w:r>
        <w:t xml:space="preserve"> group counts.</w:t>
      </w:r>
    </w:p>
    <w:p w14:paraId="1C0D9448" w14:textId="5276BAF0" w:rsidR="00321A90" w:rsidRDefault="00321A90" w:rsidP="00321A90">
      <w:r>
        <w:t xml:space="preserve">The ANOVA summary for this extremist cohort </w:t>
      </w:r>
      <w:r>
        <w:t>shows a greater intensification of event-driven shifts than in</w:t>
      </w:r>
      <w:r>
        <w:t xml:space="preserve"> the general population. The Cognitive dimension </w:t>
      </w:r>
      <w:r>
        <w:t xml:space="preserve">shows a high degree of volatility during the Inland Terror event, yielding an F-statistic of 31.317 (p &lt; .001), </w:t>
      </w:r>
      <w:r>
        <w:t xml:space="preserve">nearly double the magnitude observed in the aggregate sample. Furthermore, the Social dimension, which remained entirely static in the general population, </w:t>
      </w:r>
      <w:r>
        <w:t xml:space="preserve">shows a highly reactive pattern </w:t>
      </w:r>
      <w:r>
        <w:t>within the extremist subset during the same period (</w:t>
      </w:r>
      <w:r>
        <w:rPr>
          <w:rStyle w:val="math-inline"/>
          <w:rFonts w:ascii="Arial" w:hAnsi="Arial" w:cs="Arial"/>
        </w:rPr>
        <w:t>F = 18.158</w:t>
      </w:r>
      <w:r>
        <w:t xml:space="preserve">, </w:t>
      </w:r>
      <w:r>
        <w:rPr>
          <w:rStyle w:val="math-inline"/>
          <w:rFonts w:ascii="Arial" w:hAnsi="Arial" w:cs="Arial"/>
        </w:rPr>
        <w:t>p &lt; .001</w:t>
      </w:r>
      <w:r>
        <w:t>). The Behavioral dimension also shows a heightened response to security threats (</w:t>
      </w:r>
      <w:r>
        <w:rPr>
          <w:rStyle w:val="math-inline"/>
          <w:rFonts w:ascii="Arial" w:hAnsi="Arial" w:cs="Arial"/>
        </w:rPr>
        <w:t>F = 8.505</w:t>
      </w:r>
      <w:r>
        <w:t xml:space="preserve">, </w:t>
      </w:r>
      <w:r>
        <w:rPr>
          <w:rStyle w:val="math-inline"/>
          <w:rFonts w:ascii="Arial" w:hAnsi="Arial" w:cs="Arial"/>
        </w:rPr>
        <w:t>p &lt; .01</w:t>
      </w:r>
      <w:r>
        <w:t>)</w:t>
      </w:r>
      <w:r>
        <w:t>. In contrast, shifts during subsequent events, such as the Fall of the Bennett Government,</w:t>
      </w:r>
      <w:r>
        <w:t xml:space="preserve"> show only marginal significance (</w:t>
      </w:r>
      <w:r>
        <w:rPr>
          <w:rStyle w:val="math-inline"/>
          <w:rFonts w:ascii="Arial" w:hAnsi="Arial" w:cs="Arial"/>
        </w:rPr>
        <w:t>p &lt; .10</w:t>
      </w:r>
      <w:r>
        <w:t>).</w:t>
      </w:r>
    </w:p>
    <w:p w14:paraId="4FFE50EB" w14:textId="53527599" w:rsidR="00321A90" w:rsidRDefault="00321A90" w:rsidP="00321A90">
      <w:r>
        <w:t xml:space="preserve">These findings provide compelling evidence for all three primary hypotheses, particularly the third. The emergence of significant volatility in the Social dimension among extremists—contrasted with the absolute stability of the general public—proves that analyzing the more extreme part of the population reveals radicalization processes that the aggregate mean obscures. This supports the contention that security threats act as a primary catalyst for multidimensional extremism, moving beyond ideology to trigger social intolerance and behavioral support for violence. The amplified </w:t>
      </w:r>
      <w:r>
        <w:rPr>
          <w:rStyle w:val="math-inline"/>
          <w:rFonts w:ascii="Arial" w:hAnsi="Arial" w:cs="Arial"/>
        </w:rPr>
        <w:t>F</w:t>
      </w:r>
      <w:r>
        <w:t xml:space="preserve">-statistics in the extremist model, despite the smaller sample size, underscore that socio-political events </w:t>
      </w:r>
      <w:r>
        <w:t>disproportionately affect</w:t>
      </w:r>
      <w:r>
        <w:t xml:space="preserve"> those already situated at the population's edge, validating the necessity of a threshold-based framework for a nuanced understanding of political radicalization.</w:t>
      </w:r>
    </w:p>
    <w:p w14:paraId="1B2D2BA1" w14:textId="2ADED851" w:rsidR="00D029B6" w:rsidRDefault="00D029B6" w:rsidP="00321A90">
      <w:pPr>
        <w:pStyle w:val="Heading2"/>
      </w:pPr>
      <w:r w:rsidRPr="00D029B6">
        <w:t>Why did we lose significance in the MANOVA interaction of the extremist population?</w:t>
      </w:r>
    </w:p>
    <w:p w14:paraId="75D7B79E" w14:textId="27C50491" w:rsidR="00D029B6" w:rsidRPr="00D029B6" w:rsidRDefault="00D029B6" w:rsidP="00D029B6">
      <w:pPr>
        <w:rPr>
          <w:lang w:bidi="ar-SA"/>
        </w:rPr>
      </w:pPr>
      <w:r w:rsidRPr="00D029B6">
        <w:rPr>
          <w:lang w:bidi="ar-SA"/>
        </w:rPr>
        <w:t xml:space="preserve">The observed divergence in the statistical significance of the interaction between destabilizing events and political orientation across the two samples warrants a cautious methodological interpretation. While the aggregate population models demonstrate significant moderation by political camp, </w:t>
      </w:r>
      <w:r>
        <w:rPr>
          <w:lang w:bidi="ar-SA"/>
        </w:rPr>
        <w:t xml:space="preserve">the interaction effects within </w:t>
      </w:r>
      <w:r>
        <w:rPr>
          <w:lang w:bidi="ar-SA"/>
        </w:rPr>
        <w:lastRenderedPageBreak/>
        <w:t>the extremist subset often do not meet the p &lt; .05 threshold</w:t>
      </w:r>
      <w:r w:rsidRPr="00D029B6">
        <w:rPr>
          <w:lang w:bidi="ar-SA"/>
        </w:rPr>
        <w:t xml:space="preserve">. This loss of significance should not be interpreted as evidence of a "homogenized" extremist response that transcends partisan identity. </w:t>
      </w:r>
      <w:r>
        <w:rPr>
          <w:lang w:bidi="ar-SA"/>
        </w:rPr>
        <w:t>Instead</w:t>
      </w:r>
      <w:r w:rsidRPr="00D029B6">
        <w:rPr>
          <w:lang w:bidi="ar-SA"/>
        </w:rPr>
        <w:t xml:space="preserve">, it is a direct consequence of the substantially smaller sample size </w:t>
      </w:r>
      <w:r>
        <w:rPr>
          <w:lang w:bidi="ar-SA"/>
        </w:rPr>
        <w:t xml:space="preserve">(~100-200) </w:t>
      </w:r>
      <w:r w:rsidRPr="00D029B6">
        <w:rPr>
          <w:lang w:bidi="ar-SA"/>
        </w:rPr>
        <w:t xml:space="preserve">of the more extreme population. The reduced degrees of freedom and the resulting inflation of standard errors within the extremist models limit the power to detect interaction effects, even when the substantive magnitude of those effects remains high. Consequently, the findings suggest that the conditioning role of political orientation </w:t>
      </w:r>
      <w:r w:rsidRPr="00D029B6">
        <w:rPr>
          <w:lang w:bidi="ar-SA"/>
        </w:rPr>
        <w:t>is likely to persist</w:t>
      </w:r>
      <w:r w:rsidRPr="00D029B6">
        <w:rPr>
          <w:lang w:bidi="ar-SA"/>
        </w:rPr>
        <w:t xml:space="preserve"> among extremists</w:t>
      </w:r>
      <w:r>
        <w:rPr>
          <w:lang w:bidi="ar-SA"/>
        </w:rPr>
        <w:t>. Still, the</w:t>
      </w:r>
      <w:r w:rsidRPr="00D029B6">
        <w:rPr>
          <w:lang w:bidi="ar-SA"/>
        </w:rPr>
        <w:t xml:space="preserve"> current subset size precludes a statistically significant estimation of these nuances compared to the high-powered aggregate sample.</w:t>
      </w:r>
    </w:p>
    <w:p w14:paraId="1C68C417" w14:textId="77777777" w:rsidR="00D029B6" w:rsidRPr="00D029B6" w:rsidRDefault="00D029B6" w:rsidP="00D029B6"/>
    <w:sectPr w:rsidR="00D029B6" w:rsidRPr="00D029B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9B6"/>
    <w:rsid w:val="00117E47"/>
    <w:rsid w:val="001921FF"/>
    <w:rsid w:val="001B52E3"/>
    <w:rsid w:val="001B7E56"/>
    <w:rsid w:val="00303EA4"/>
    <w:rsid w:val="00321A90"/>
    <w:rsid w:val="00D029B6"/>
    <w:rsid w:val="00F639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C733"/>
  <w15:chartTrackingRefBased/>
  <w15:docId w15:val="{3FF5D831-AD16-4631-9C01-BC57A691F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9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1A90"/>
    <w:pPr>
      <w:keepNext/>
      <w:keepLines/>
      <w:spacing w:before="160" w:after="80"/>
      <w:outlineLvl w:val="1"/>
    </w:pPr>
    <w:rPr>
      <w:rFonts w:asciiTheme="majorHAnsi" w:eastAsiaTheme="majorEastAsia" w:hAnsiTheme="majorHAnsi" w:cstheme="majorBidi"/>
      <w:color w:val="0070C0"/>
      <w:sz w:val="28"/>
      <w:szCs w:val="28"/>
    </w:rPr>
  </w:style>
  <w:style w:type="paragraph" w:styleId="Heading3">
    <w:name w:val="heading 3"/>
    <w:basedOn w:val="Normal"/>
    <w:next w:val="Normal"/>
    <w:link w:val="Heading3Char"/>
    <w:uiPriority w:val="9"/>
    <w:semiHidden/>
    <w:unhideWhenUsed/>
    <w:qFormat/>
    <w:rsid w:val="00D029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9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9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1A90"/>
    <w:rPr>
      <w:rFonts w:asciiTheme="majorHAnsi" w:eastAsiaTheme="majorEastAsia" w:hAnsiTheme="majorHAnsi" w:cstheme="majorBidi"/>
      <w:color w:val="0070C0"/>
      <w:sz w:val="28"/>
      <w:szCs w:val="28"/>
    </w:rPr>
  </w:style>
  <w:style w:type="character" w:customStyle="1" w:styleId="Heading3Char">
    <w:name w:val="Heading 3 Char"/>
    <w:basedOn w:val="DefaultParagraphFont"/>
    <w:link w:val="Heading3"/>
    <w:uiPriority w:val="9"/>
    <w:semiHidden/>
    <w:rsid w:val="00D029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9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9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9B6"/>
    <w:rPr>
      <w:rFonts w:eastAsiaTheme="majorEastAsia" w:cstheme="majorBidi"/>
      <w:color w:val="272727" w:themeColor="text1" w:themeTint="D8"/>
    </w:rPr>
  </w:style>
  <w:style w:type="paragraph" w:styleId="Title">
    <w:name w:val="Title"/>
    <w:basedOn w:val="Normal"/>
    <w:next w:val="Normal"/>
    <w:link w:val="TitleChar"/>
    <w:uiPriority w:val="10"/>
    <w:qFormat/>
    <w:rsid w:val="00D02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9B6"/>
    <w:pPr>
      <w:spacing w:before="160"/>
      <w:jc w:val="center"/>
    </w:pPr>
    <w:rPr>
      <w:i/>
      <w:iCs/>
      <w:color w:val="404040" w:themeColor="text1" w:themeTint="BF"/>
    </w:rPr>
  </w:style>
  <w:style w:type="character" w:customStyle="1" w:styleId="QuoteChar">
    <w:name w:val="Quote Char"/>
    <w:basedOn w:val="DefaultParagraphFont"/>
    <w:link w:val="Quote"/>
    <w:uiPriority w:val="29"/>
    <w:rsid w:val="00D029B6"/>
    <w:rPr>
      <w:i/>
      <w:iCs/>
      <w:color w:val="404040" w:themeColor="text1" w:themeTint="BF"/>
    </w:rPr>
  </w:style>
  <w:style w:type="paragraph" w:styleId="ListParagraph">
    <w:name w:val="List Paragraph"/>
    <w:basedOn w:val="Normal"/>
    <w:uiPriority w:val="34"/>
    <w:qFormat/>
    <w:rsid w:val="00D029B6"/>
    <w:pPr>
      <w:ind w:left="720"/>
      <w:contextualSpacing/>
    </w:pPr>
  </w:style>
  <w:style w:type="character" w:styleId="IntenseEmphasis">
    <w:name w:val="Intense Emphasis"/>
    <w:basedOn w:val="DefaultParagraphFont"/>
    <w:uiPriority w:val="21"/>
    <w:qFormat/>
    <w:rsid w:val="00D029B6"/>
    <w:rPr>
      <w:i/>
      <w:iCs/>
      <w:color w:val="0F4761" w:themeColor="accent1" w:themeShade="BF"/>
    </w:rPr>
  </w:style>
  <w:style w:type="paragraph" w:styleId="IntenseQuote">
    <w:name w:val="Intense Quote"/>
    <w:basedOn w:val="Normal"/>
    <w:next w:val="Normal"/>
    <w:link w:val="IntenseQuoteChar"/>
    <w:uiPriority w:val="30"/>
    <w:qFormat/>
    <w:rsid w:val="00D02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9B6"/>
    <w:rPr>
      <w:i/>
      <w:iCs/>
      <w:color w:val="0F4761" w:themeColor="accent1" w:themeShade="BF"/>
    </w:rPr>
  </w:style>
  <w:style w:type="character" w:styleId="IntenseReference">
    <w:name w:val="Intense Reference"/>
    <w:basedOn w:val="DefaultParagraphFont"/>
    <w:uiPriority w:val="32"/>
    <w:qFormat/>
    <w:rsid w:val="00D029B6"/>
    <w:rPr>
      <w:b/>
      <w:bCs/>
      <w:smallCaps/>
      <w:color w:val="0F4761" w:themeColor="accent1" w:themeShade="BF"/>
      <w:spacing w:val="5"/>
    </w:rPr>
  </w:style>
  <w:style w:type="character" w:customStyle="1" w:styleId="math-inline">
    <w:name w:val="math-inline"/>
    <w:basedOn w:val="DefaultParagraphFont"/>
    <w:rsid w:val="00D029B6"/>
  </w:style>
  <w:style w:type="paragraph" w:styleId="NormalWeb">
    <w:name w:val="Normal (Web)"/>
    <w:basedOn w:val="Normal"/>
    <w:uiPriority w:val="99"/>
    <w:semiHidden/>
    <w:unhideWhenUsed/>
    <w:rsid w:val="00303EA4"/>
    <w:pPr>
      <w:spacing w:before="100" w:beforeAutospacing="1" w:after="100" w:afterAutospacing="1" w:line="240" w:lineRule="auto"/>
    </w:pPr>
    <w:rPr>
      <w:rFonts w:ascii="Times New Roman" w:eastAsia="Times New Roman" w:hAnsi="Times New Roman" w:cs="Times New Roman"/>
      <w:kern w:val="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911</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Freund</dc:creator>
  <cp:keywords/>
  <dc:description/>
  <cp:lastModifiedBy>amir Freund</cp:lastModifiedBy>
  <cp:revision>2</cp:revision>
  <dcterms:created xsi:type="dcterms:W3CDTF">2025-12-24T14:21:00Z</dcterms:created>
  <dcterms:modified xsi:type="dcterms:W3CDTF">2025-12-24T15:02:00Z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208601f6-6c32-46bf-813a-dcdf779daf5f</vt:lpwstr>
  </property>
</Properties>
</file>