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7D6DC" w14:textId="04739633" w:rsidR="00661045" w:rsidRDefault="00B1627F" w:rsidP="00564176">
      <w:pPr>
        <w:pStyle w:val="Articletitle"/>
      </w:pPr>
      <w:r w:rsidRPr="00B1627F">
        <w:t xml:space="preserve">Dynamics of Disruption: </w:t>
      </w:r>
      <w:r w:rsidR="00564176" w:rsidRPr="00564176">
        <w:t>How Security and Constitutional Events Shape Multidimensional Political Extremism</w:t>
      </w:r>
    </w:p>
    <w:p w14:paraId="5F4AB6A6" w14:textId="06E5387E" w:rsidR="00442B9C" w:rsidRPr="009065BE" w:rsidRDefault="0059100A" w:rsidP="009914A5">
      <w:pPr>
        <w:pStyle w:val="Authornames"/>
      </w:pPr>
      <w:r>
        <w:t>Amir Freund</w:t>
      </w:r>
    </w:p>
    <w:p w14:paraId="55C5D0F9" w14:textId="4DD92582" w:rsidR="000A4428" w:rsidRDefault="0059100A" w:rsidP="00FB4758">
      <w:pPr>
        <w:pStyle w:val="Affiliation"/>
        <w:spacing w:before="0"/>
        <w:rPr>
          <w:lang w:val="en-US" w:bidi="he-IL"/>
        </w:rPr>
      </w:pPr>
      <w:r w:rsidRPr="00355C70">
        <w:rPr>
          <w:lang w:val="en-US"/>
        </w:rPr>
        <w:t xml:space="preserve">Contact: Amir Freund, </w:t>
      </w:r>
      <w:hyperlink r:id="rId8" w:history="1">
        <w:r w:rsidR="00FB4758" w:rsidRPr="00E64B05">
          <w:rPr>
            <w:rStyle w:val="Hyperlink"/>
            <w:lang w:val="en-US" w:bidi="he-IL"/>
          </w:rPr>
          <w:t>amir61@gmail.com</w:t>
        </w:r>
      </w:hyperlink>
      <w:r w:rsidR="00FB4758">
        <w:rPr>
          <w:lang w:val="en-US" w:bidi="he-IL"/>
        </w:rPr>
        <w:t xml:space="preserve"> </w:t>
      </w:r>
    </w:p>
    <w:p w14:paraId="2C801BD2" w14:textId="394C6C8C" w:rsidR="00F56DD9" w:rsidRDefault="00F56DD9" w:rsidP="00FB4758">
      <w:pPr>
        <w:pStyle w:val="Heading1"/>
        <w:spacing w:before="240"/>
        <w:rPr>
          <w:lang w:bidi="he-IL"/>
        </w:rPr>
      </w:pPr>
      <w:r>
        <w:rPr>
          <w:lang w:bidi="he-IL"/>
        </w:rPr>
        <w:t>Abstract</w:t>
      </w:r>
    </w:p>
    <w:p w14:paraId="296BD92C" w14:textId="781FD48C" w:rsidR="00B1627F" w:rsidRPr="00FA5438" w:rsidRDefault="00642229" w:rsidP="00FA5438">
      <w:pPr>
        <w:pStyle w:val="Abstract"/>
        <w:rPr>
          <w:sz w:val="24"/>
        </w:rPr>
      </w:pPr>
      <w:r w:rsidRPr="00FA5438">
        <w:rPr>
          <w:sz w:val="24"/>
          <w:lang w:val="en-US"/>
        </w:rPr>
        <w:t xml:space="preserve">This study investigates how </w:t>
      </w:r>
      <w:r w:rsidR="00FA5438" w:rsidRPr="00FA5438">
        <w:rPr>
          <w:sz w:val="24"/>
        </w:rPr>
        <w:t xml:space="preserve">political crises and security threats </w:t>
      </w:r>
      <w:r w:rsidRPr="00FA5438">
        <w:rPr>
          <w:sz w:val="24"/>
          <w:lang w:val="en-US"/>
        </w:rPr>
        <w:t xml:space="preserve">correlate with shifts in political extremism across different political orientations. Current </w:t>
      </w:r>
      <w:r w:rsidR="003D0636" w:rsidRPr="00FA5438">
        <w:rPr>
          <w:sz w:val="24"/>
          <w:lang w:val="en-US"/>
        </w:rPr>
        <w:t>academic discourse</w:t>
      </w:r>
      <w:r w:rsidRPr="00FA5438">
        <w:rPr>
          <w:sz w:val="24"/>
          <w:lang w:val="en-US"/>
        </w:rPr>
        <w:t xml:space="preserve"> on extremism often relies on fragmented frameworks and one-dimensional methodologies. To address these gaps, this study develops a multidimensional </w:t>
      </w:r>
      <w:r w:rsidR="003D0636" w:rsidRPr="00FA5438">
        <w:rPr>
          <w:sz w:val="24"/>
          <w:lang w:val="en-US"/>
        </w:rPr>
        <w:t>conceptualization</w:t>
      </w:r>
      <w:r w:rsidRPr="00FA5438">
        <w:rPr>
          <w:sz w:val="24"/>
          <w:lang w:val="en-US"/>
        </w:rPr>
        <w:t xml:space="preserve"> of political extremism that integrates cognitive, behavioral, and social dimensions. This framework </w:t>
      </w:r>
      <w:r w:rsidR="00FA5438" w:rsidRPr="00FA5438">
        <w:rPr>
          <w:sz w:val="24"/>
          <w:lang w:val="en-US"/>
        </w:rPr>
        <w:t>employs</w:t>
      </w:r>
      <w:r w:rsidRPr="00FA5438">
        <w:rPr>
          <w:sz w:val="24"/>
          <w:lang w:val="en-US"/>
        </w:rPr>
        <w:t xml:space="preserve"> </w:t>
      </w:r>
      <w:r w:rsidR="003D0636" w:rsidRPr="00FA5438">
        <w:rPr>
          <w:sz w:val="24"/>
          <w:lang w:val="en-US"/>
        </w:rPr>
        <w:t>a</w:t>
      </w:r>
      <w:r w:rsidRPr="00FA5438">
        <w:rPr>
          <w:sz w:val="24"/>
          <w:lang w:val="en-US"/>
        </w:rPr>
        <w:t xml:space="preserve"> </w:t>
      </w:r>
      <w:r w:rsidR="003D0636" w:rsidRPr="00FA5438">
        <w:rPr>
          <w:sz w:val="24"/>
          <w:lang w:val="en-US"/>
        </w:rPr>
        <w:t>p</w:t>
      </w:r>
      <w:r w:rsidRPr="00FA5438">
        <w:rPr>
          <w:sz w:val="24"/>
          <w:lang w:val="en-US"/>
        </w:rPr>
        <w:t xml:space="preserve">olitical </w:t>
      </w:r>
      <w:r w:rsidR="003D0636" w:rsidRPr="00FA5438">
        <w:rPr>
          <w:sz w:val="24"/>
          <w:lang w:val="en-US"/>
        </w:rPr>
        <w:t>e</w:t>
      </w:r>
      <w:r w:rsidRPr="00FA5438">
        <w:rPr>
          <w:sz w:val="24"/>
          <w:lang w:val="en-US"/>
        </w:rPr>
        <w:t>xtremism Gauge</w:t>
      </w:r>
      <w:r w:rsidR="00210099" w:rsidRPr="00FA5438">
        <w:rPr>
          <w:sz w:val="24"/>
          <w:lang w:val="en-US"/>
        </w:rPr>
        <w:t xml:space="preserve"> </w:t>
      </w:r>
      <w:r w:rsidRPr="00FA5438">
        <w:rPr>
          <w:sz w:val="24"/>
          <w:lang w:val="en-US"/>
        </w:rPr>
        <w:t xml:space="preserve">instrument designed for </w:t>
      </w:r>
      <w:r w:rsidR="00210099" w:rsidRPr="00FA5438">
        <w:rPr>
          <w:sz w:val="24"/>
          <w:lang w:val="en-US"/>
        </w:rPr>
        <w:t xml:space="preserve">context-independent </w:t>
      </w:r>
      <w:r w:rsidRPr="00FA5438">
        <w:rPr>
          <w:sz w:val="24"/>
          <w:lang w:val="en-US"/>
        </w:rPr>
        <w:t xml:space="preserve">cross-population comparative analysis. </w:t>
      </w:r>
      <w:r w:rsidR="00FA5438" w:rsidRPr="00FA5438">
        <w:rPr>
          <w:sz w:val="24"/>
        </w:rPr>
        <w:t xml:space="preserve">Using longitudinal data from six survey waves conducted in Israel between 2021 and 2024, </w:t>
      </w:r>
      <w:r w:rsidR="00FA5438" w:rsidRPr="00FA5438">
        <w:rPr>
          <w:sz w:val="24"/>
          <w:lang w:val="en-US"/>
        </w:rPr>
        <w:t>the</w:t>
      </w:r>
      <w:r w:rsidRPr="00FA5438">
        <w:rPr>
          <w:sz w:val="24"/>
          <w:lang w:val="en-US"/>
        </w:rPr>
        <w:t xml:space="preserve"> </w:t>
      </w:r>
      <w:r w:rsidR="00FA5438" w:rsidRPr="00FA5438">
        <w:rPr>
          <w:sz w:val="24"/>
          <w:lang w:val="en-US"/>
        </w:rPr>
        <w:t>study</w:t>
      </w:r>
      <w:r w:rsidRPr="00FA5438">
        <w:rPr>
          <w:sz w:val="24"/>
          <w:lang w:val="en-US"/>
        </w:rPr>
        <w:t xml:space="preserve"> challenge</w:t>
      </w:r>
      <w:r w:rsidR="00FA5438" w:rsidRPr="00FA5438">
        <w:rPr>
          <w:sz w:val="24"/>
          <w:lang w:val="en-US"/>
        </w:rPr>
        <w:t>s</w:t>
      </w:r>
      <w:r w:rsidRPr="00FA5438">
        <w:rPr>
          <w:sz w:val="24"/>
          <w:lang w:val="en-US"/>
        </w:rPr>
        <w:t xml:space="preserve"> the assumption of uniform radicalization. Identical destabilizing events simultaneously mobilize and demobilize different political groups. </w:t>
      </w:r>
      <w:r w:rsidR="00FA5438" w:rsidRPr="00FA5438">
        <w:rPr>
          <w:sz w:val="24"/>
        </w:rPr>
        <w:t xml:space="preserve">The three dimensions of political extremism respond independently rather than uniformly during periods of instability, with </w:t>
      </w:r>
      <w:r w:rsidR="005A61E4">
        <w:rPr>
          <w:sz w:val="24"/>
        </w:rPr>
        <w:t>various</w:t>
      </w:r>
      <w:r w:rsidR="00FA5438" w:rsidRPr="00FA5438">
        <w:rPr>
          <w:sz w:val="24"/>
        </w:rPr>
        <w:t xml:space="preserve"> events associated with distinct radicalization patterns: some primarily drive recruitment or disengagement, while others push already radicalized individuals toward more extreme positions. The results suggest that extremism is a reactive phenomenon moderated by political orientation and the specific nature of the perceived threat. The methodology can be applied universally to monitor democratic resilience and analyze how societies respond to disruption.</w:t>
      </w:r>
    </w:p>
    <w:p w14:paraId="77375F7A" w14:textId="52768F7F" w:rsidR="009A5B51" w:rsidRPr="00FB4758" w:rsidRDefault="009A5B51" w:rsidP="00B1627F">
      <w:pPr>
        <w:pStyle w:val="Subjectcodes"/>
        <w:ind w:left="0"/>
        <w:rPr>
          <w:sz w:val="24"/>
        </w:rPr>
      </w:pPr>
      <w:r w:rsidRPr="00FB4758">
        <w:rPr>
          <w:b/>
          <w:bCs/>
          <w:sz w:val="24"/>
        </w:rPr>
        <w:t>Keywords</w:t>
      </w:r>
      <w:r w:rsidRPr="00FB4758">
        <w:rPr>
          <w:sz w:val="24"/>
        </w:rPr>
        <w:t xml:space="preserve">: </w:t>
      </w:r>
      <w:r w:rsidRPr="00FB4758">
        <w:rPr>
          <w:sz w:val="24"/>
          <w:lang w:val="en-US" w:eastAsia="en-US" w:bidi="he-IL"/>
        </w:rPr>
        <w:t>Political extremism; Destabilizing events; Political orientation; Multidimensional measurement; Democratic resilience</w:t>
      </w:r>
    </w:p>
    <w:p w14:paraId="049862D1" w14:textId="55AAA89F" w:rsidR="00C246C5" w:rsidRDefault="00C14585" w:rsidP="009B24B5">
      <w:pPr>
        <w:pStyle w:val="Articletitle"/>
      </w:pPr>
      <w:r w:rsidRPr="00355C70">
        <w:rPr>
          <w:lang w:val="en-US"/>
        </w:rPr>
        <w:br w:type="page"/>
      </w:r>
    </w:p>
    <w:p w14:paraId="6ECF2F5B" w14:textId="308D6E8A" w:rsidR="0084316D" w:rsidRDefault="001E2DA9" w:rsidP="004074B0">
      <w:pPr>
        <w:pStyle w:val="Heading1"/>
      </w:pPr>
      <w:r w:rsidRPr="00AA0AFD">
        <w:lastRenderedPageBreak/>
        <w:t>Introduction</w:t>
      </w:r>
    </w:p>
    <w:p w14:paraId="6F7A39F6" w14:textId="77777777" w:rsidR="00895904" w:rsidRDefault="00A63C71" w:rsidP="002E6597">
      <w:pPr>
        <w:pStyle w:val="Paragraph"/>
      </w:pPr>
      <w:r w:rsidRPr="00A00B33">
        <w:t xml:space="preserve">Political extremism poses a </w:t>
      </w:r>
      <w:r>
        <w:t>critical</w:t>
      </w:r>
      <w:r w:rsidRPr="00A00B33">
        <w:t xml:space="preserve"> threat to democratic </w:t>
      </w:r>
      <w:r>
        <w:t xml:space="preserve">countries </w:t>
      </w:r>
      <w:r>
        <w:fldChar w:fldCharType="begin"/>
      </w:r>
      <w:r w:rsidR="003F717B">
        <w:instrText xml:space="preserve"> ADDIN ZOTERO_ITEM CSL_CITATION {"citationID":"mZhy1cVm","properties":{"formattedCitation":"(Bennett &amp; Livingston, 2025; Ferrer &amp; Palmisano, 2025)","plainCitation":"(Bennett &amp; Livingston, 2025; Ferrer &amp; Palmisano, 2025)","noteIndex":0},"citationItems":[{"id":2333,"uris":["http://zotero.org/users/11665025/items/MB9KKZ4X"],"itemData":{"id":2333,"type":"article-journal","abstract":"Democratic backsliding, the slow erosion of institutions, processes, and norms, has become more pronounced in many nations. Most scholars point to the role of parties, leaders, and institutional changes, along with the pursuit of voters through what Daniel Ziblatt has characterized as alliances with more extremist party surrogate organizations. Although insightful, the institutionalist literature offers little reflection about the growing role of social technologies in organizing and mobilizing extremist networks in ways that present many challenges to traditional party gatekeeping, institutional integrity, and other democratic principles. We present a more integrated framework that explains how digitally networked publics interact with more traditional party surrogates and electoral processes to bring once-scattered extremist factions into conservative parties. When increasingly reactionary parties gain power, they may push both institutions and communication processes in illiberal directions. We develop a model of communication as networked organization to explain how Donald Trump and the Make America Great Again (MAGA) movement rapidly transformed the Republican Party in the United States, and we point to parallel developments in other nations.","container-title":"Perspectives on Politics","DOI":"10.1017/S1537592724002123","ISSN":"1537-5927, 1541-0986","issue":"4","language":"en","page":"1362-1381","source":"Cambridge University Press","title":"Platforms, politics, and the crisis of democracy: Connective action and the rise of illiberalism","title-short":"Platforms, Politics, and the Crisis of Democracy","volume":"23","author":[{"family":"Bennett","given":"W. Lance"},{"family":"Livingston","given":"Steven"}],"issued":{"date-parts":[["2025",12]]}}},{"id":2335,"uris":["http://zotero.org/users/11665025/items/2Y37E6WK"],"itemData":{"id":2335,"type":"article-journal","abstract":"How closely related are modern anti-democratic beliefs among white Americans, and to what extent are these beliefs shaped by exclusionary racial attitudes? Using data from the Political Unrest Study, the Collaborative Multiracial Post-Election Survey (CMPS), Democracy Fund + UCLA Nationscape, and the Survey of the Performance of American Elections (SPAE), we find that support for voting restrictions, opposition to voting expansions, belief in widespread voter fraud, and support for overturning democratic election results load onto a single underlying dimension. While the prevalence of anti-democratic beliefs among white Americans has remained stable over the past decade, these beliefs have become increasingly interconnected. Furthermore, racial attitudes towards out-groups—including racial resentment, anti-immigrant sentiment, and white racial grievance—strongly correlate with anti-democratic beliefs, whereas in-group racial attitudes do not. Analysis of multiple waves of the American National Election Studies (ANES) reveals that racial resentment and white grievance now explain twice as much variation in anti-democratic beliefs as they did in 2012. Experimental evidence also demonstrates that white Americans react negatively to voting expansions when the racial implications of these reforms are made explicit. These findings underscore the growing alignment between anti-democratic beliefs and racial attitudes in contemporary U.S. politics.","container-title":"Journal of Race, Ethnicity, and Politics","DOI":"10.1017/rep.2025.1","ISSN":"2056-6085","issue":"1","language":"en","page":"60-85","source":"Cambridge University Press","title":"Beyond the Trump presidency: The racial underpinnings of White Americans’ anti-democratic beliefs","title-short":"Beyond the Trump Presidency","volume":"10","author":[{"family":"Ferrer","given":"Joshua"},{"family":"Palmisano","given":"Christopher"}],"issued":{"date-parts":[["2025",3]]}}}],"schema":"https://github.com/citation-style-language/schema/raw/master/csl-citation.json"} </w:instrText>
      </w:r>
      <w:r>
        <w:fldChar w:fldCharType="separate"/>
      </w:r>
      <w:r w:rsidR="002E6597" w:rsidRPr="002E6597">
        <w:rPr>
          <w:rFonts w:ascii="Times New Roman" w:hAnsi="Times New Roman" w:cs="Times New Roman"/>
        </w:rPr>
        <w:t>(Bennett &amp; Livingston, 2025; Ferrer &amp; Palmisano, 2025)</w:t>
      </w:r>
      <w:r>
        <w:fldChar w:fldCharType="end"/>
      </w:r>
      <w:r w:rsidRPr="00A00B33">
        <w:t>.</w:t>
      </w:r>
      <w:r>
        <w:t xml:space="preserve"> T</w:t>
      </w:r>
      <w:r w:rsidR="009B1836">
        <w:t>he study of political extremism faces three cr</w:t>
      </w:r>
      <w:r w:rsidR="009D201A">
        <w:t>uci</w:t>
      </w:r>
      <w:r w:rsidR="009B1836">
        <w:t>al barriers that limit our understanding</w:t>
      </w:r>
      <w:r w:rsidR="009B1836" w:rsidRPr="009B1836">
        <w:t xml:space="preserve"> of this phenomenon. </w:t>
      </w:r>
    </w:p>
    <w:p w14:paraId="6C89E32F" w14:textId="5F5B45B6" w:rsidR="00D2321C" w:rsidRPr="000D4280" w:rsidRDefault="009B1836" w:rsidP="00895904">
      <w:pPr>
        <w:pStyle w:val="Newparagraph"/>
      </w:pPr>
      <w:r w:rsidRPr="009B1836">
        <w:t>First, political extremism remains undefined in any universally accepted way, creating conceptual ambiguity</w:t>
      </w:r>
      <w:r>
        <w:t xml:space="preserve"> </w:t>
      </w:r>
      <w:r w:rsidR="005E3F15" w:rsidRPr="000D4280">
        <w:fldChar w:fldCharType="begin"/>
      </w:r>
      <w:r w:rsidR="003F717B">
        <w:instrText xml:space="preserve"> ADDIN ZOTERO_ITEM CSL_CITATION {"citationID":"yvI63H5t","properties":{"formattedCitation":"(B\\uc0\\u246{}tticher, 2017; Eatwell &amp; Goodwin, 2010; Sotlar, 2004; Svetlichny &amp; Khorev, 2022)","plainCitation":"(Bötticher, 2017; Eatwell &amp; Goodwin, 2010; Sotlar, 2004; Svetlichny &amp; Khorev, 2022)","noteIndex":0},"citationItems":[{"id":177,"uris":["http://zotero.org/users/11665025/items/X5LS6UIH"],"itemData":{"id":177,"type":"report","language":"en","number":"208033","publisher":"U.S. Department of Justice.","source":"Zotero","title":"Some problems with definition and perception of extremism within society","URL":"https://www.ojp.gov/pdffiles1/nij/Mesko/208033.pdf","author":[{"family":"Sotlar","given":"Andrej"}],"issued":{"date-parts":[["2004",12]]}}},{"id":135,"uris":["http://zotero.org/users/11665025/items/2HPAFYPU"],"itemData":{"id":135,"type":"book","event-place":"London, UK","language":"en","publisher":"Routledge","publisher-place":"London, UK","source":"Zotero","title":"The new extremism in 21st century Britain","author":[{"family":"Eatwell","given":"Roger"},{"family":"Goodwin","given":"Matthew"}],"issued":{"date-parts":[["2010"]]}}},{"id":176,"uris":["http://zotero.org/users/11665025/items/P7U5LEP4"],"itemData":{"id":176,"type":"article-journal","container-title":"Perspectives on Terrorism","issue":"4","language":"en","source":"Zotero","title":"Towards academic consensus definitions of radicalism and extremism","volume":"11","author":[{"family":"Bötticher","given":"Astrid"}],"issued":{"date-parts":[["2017"]]}}},{"id":175,"uris":["http://zotero.org/users/11665025/items/QEWGNNJT"],"itemData":{"id":175,"type":"article-journal","abstract":"The article deals with the issues of understanding the term ‘extremism’. The research results showing that in society (among both ordinary citizens and representatives of law enforcement agencies), despite the existing bias against extremism, there is no clear understanding of the meaning of this term are presented. Consideration of extremism without taking into account the meaning and context of the term itself leads to a narrow understanding of the phenomenon and its consequences. This has led to extremism being described in such terms as ‘terrorism’ and ‘radicalisation’ or ‘polarisation’, which require responses (such as counter-terrorism measures and military action) from governments to combat this form of extremism. In our opinion, this approach is not entirely correct and, in some cases, can lead to negative consequences, since the problem of extremism has rather deep roots and an understanding of the social and psychological origins of this phenomenon is required for its effective solution. An analysis of its context provides additional insight into possible solutions to combat extremism. This may prompt governments to take action to ensure a more sustainable approach to countering extremism.","container-title":"Dela Press Conference Series: Humanities and Social Sciences","issue":"01","language":"en","license":"Copyright (c) 2022","note":"number: 01","page":"6-6","source":"dpcshss.delapress.com","title":"On the need to develop a unified terminological approach to the concept of ‘extremism’: 004","title-short":"On the need to develop a unified terminological approach to the concept of ‘extremism’","author":[{"family":"Svetlichny","given":"Aleksander"},{"family":"Khorev","given":"Mikhail"}],"issued":{"date-parts":[["2022",7,24]]}}}],"schema":"https://github.com/citation-style-language/schema/raw/master/csl-citation.json"} </w:instrText>
      </w:r>
      <w:r w:rsidR="005E3F15" w:rsidRPr="000D4280">
        <w:fldChar w:fldCharType="separate"/>
      </w:r>
      <w:r w:rsidR="002E6597" w:rsidRPr="002E6597">
        <w:t>(Bötticher, 2017; Eatwell &amp; Goodwin, 2010; Sotlar, 2004; Svetlichny &amp; Khorev, 2022)</w:t>
      </w:r>
      <w:r w:rsidR="005E3F15" w:rsidRPr="000D4280">
        <w:fldChar w:fldCharType="end"/>
      </w:r>
      <w:r w:rsidR="005E3F15" w:rsidRPr="000D4280">
        <w:t xml:space="preserve">. </w:t>
      </w:r>
      <w:r w:rsidR="00CB334B" w:rsidRPr="000D4280">
        <w:t>T</w:t>
      </w:r>
      <w:r w:rsidR="005E3F15" w:rsidRPr="000D4280">
        <w:t>he term</w:t>
      </w:r>
      <w:r w:rsidR="005A61E4">
        <w:t>'</w:t>
      </w:r>
      <w:r w:rsidR="009D201A">
        <w:t xml:space="preserve"> </w:t>
      </w:r>
      <w:r w:rsidR="005E3F15" w:rsidRPr="000D4280">
        <w:t>extremism</w:t>
      </w:r>
      <w:r w:rsidR="005A61E4">
        <w:t>'</w:t>
      </w:r>
      <w:r w:rsidR="00CB334B" w:rsidRPr="000D4280">
        <w:t>,</w:t>
      </w:r>
      <w:r w:rsidR="005E3F15" w:rsidRPr="000D4280">
        <w:t xml:space="preserve"> rather than </w:t>
      </w:r>
      <w:r w:rsidR="005A61E4">
        <w:t>'</w:t>
      </w:r>
      <w:r w:rsidR="005E3F15" w:rsidRPr="000D4280">
        <w:t>political extremism</w:t>
      </w:r>
      <w:r w:rsidR="005A61E4">
        <w:t>'</w:t>
      </w:r>
      <w:r w:rsidR="00CB334B" w:rsidRPr="000D4280">
        <w:t>,</w:t>
      </w:r>
      <w:r w:rsidR="005E3F15" w:rsidRPr="000D4280">
        <w:t xml:space="preserve"> </w:t>
      </w:r>
      <w:r w:rsidR="00CB334B" w:rsidRPr="000D4280">
        <w:t xml:space="preserve">is used </w:t>
      </w:r>
      <w:r w:rsidR="005E3F15" w:rsidRPr="000D4280">
        <w:t xml:space="preserve">even in an apparent political context </w:t>
      </w:r>
      <w:r w:rsidR="00CB334B" w:rsidRPr="000D4280">
        <w:fldChar w:fldCharType="begin"/>
      </w:r>
      <w:r w:rsidR="002E6597">
        <w:instrText xml:space="preserve"> ADDIN ZOTERO_ITEM CSL_CITATION {"citationID":"MtIir3pj","properties":{"formattedCitation":"(Onursal &amp; Kirkpatrick, 2021; Scruton, 2007; UK Parliament, 2024)","plainCitation":"(Onursal &amp; Kirkpatrick, 2021; Scruton, 2007; UK Parliament, 2024)","noteIndex":0},"citationItems":[{"id":265,"uris":["http://zotero.org/users/11665025/items/F3P49JJS"],"itemData":{"id":265,"type":"article-journal","abstract":"That the distinctions between terrorism and extremism have become increasingly blurred is something of a truism, but there has been little systematic analysis of whether this is truly the case nor of its possible implications. This paper argues that there has been a recent convergence between these two concepts in British parliamentary discourse, reproducing the same signifiers and meanings for non-violent extremism as previously existed for terrorism. In doing so, the paper makes a threefold contribution: methodologically through utilising the underdeveloped approach of post-foundationalist discourse analysis (PFDA) and applying it to the field of terrorism studies; empirically through analysing all the discourse in 1,037 British parliamentary debates between 2010 and 2017; theoretically through drawing together post-foundationalism with Bourdieusian practice theory to show that this transformation of discourse has coincided with social practices of informal criminalization targeting non-violent extremism as if it were terrorism. This has important policy implications as it prescribes particular counter-terrorism practices associated with the hegemonic discourse of terrorism which, when extended to extremism, risk alienating, dehumanizing and motivating the very people deemed to be “at risk” of extremism. The paper illustrates these issues through a discussion of their application in the Prevent Strategy for Higher Education.","container-title":"Terrorism and Political Violence","DOI":"10.1080/09546553.2019.1598391","ISSN":"0954-6553","issue":"5","note":"_eprint: https://doi.org/10.1080/09546553.2019.1598391","page":"1094–1116","publisher":"Routledge","source":"Taylor and Francis+NEJM","title":"Is Extremism the ‘New’ Terrorism? The convergence of \"extremism\" and \"terrorism\" in British parliamentary discourse","title-short":"Is Extremism the ‘New’ Terrorism?","volume":"33","author":[{"family":"Onursal","given":"Recep"},{"family":"Kirkpatrick","given":"Daniel"}],"issued":{"date-parts":[["2021",7,4]]}}},{"id":156,"uris":["http://zotero.org/users/11665025/items/8623YYLU"],"itemData":{"id":156,"type":"book","abstract":"This dictionary includes some 1790 entries covering every aspect of political thought and the revolutionary changes since the dictionary was first published in 1982. It will be of use to students of political science, philosophy, and jurisprudence","edition":"3","event-place":"Basingstoke","ISBN":"978-1-4039-8951-2","language":"en","number-of-pages":"744","publisher":"Palgrave Macmillan","publisher-place":"Basingstoke","source":"K10plus ISBN","title":"The Palgrave Macmillan dictionary of political thought","author":[{"family":"Scruton","given":"Roger"}],"issued":{"date-parts":[["2007"]]}}},{"id":193,"uris":["http://zotero.org/users/11665025/items/9SAEX797"],"itemData":{"id":193,"type":"report","abstract":"Hansard record of the item : 'Extremism Definition and Community Engagement' on Tuesday 19 March 2024.","language":"en","publisher":"UK Parliament","title":"Extremism Definition and Community Engagement","URL":"https://hansard.parliament.uk/Lords/2024-03-19/debates/0641C02D-BD26-47DB-900A-2916104490CB/ExtremismDefinitionAndCommunityEngagement","author":[{"family":"UK Parliament","given":""}],"accessed":{"date-parts":[["2024",4,6]]},"issued":{"date-parts":[["2024",3,19]]}}}],"schema":"https://github.com/citation-style-language/schema/raw/master/csl-citation.json"} </w:instrText>
      </w:r>
      <w:r w:rsidR="00CB334B" w:rsidRPr="000D4280">
        <w:fldChar w:fldCharType="separate"/>
      </w:r>
      <w:r w:rsidR="002E6597" w:rsidRPr="002E6597">
        <w:t>(Onursal &amp; Kirkpatrick, 2021; Scruton, 2007; UK Parliament, 2024)</w:t>
      </w:r>
      <w:r w:rsidR="00CB334B" w:rsidRPr="000D4280">
        <w:fldChar w:fldCharType="end"/>
      </w:r>
      <w:r w:rsidR="00CB334B" w:rsidRPr="000D4280">
        <w:t xml:space="preserve">. </w:t>
      </w:r>
      <w:r w:rsidR="006F625E">
        <w:t>A</w:t>
      </w:r>
      <w:r w:rsidR="006F625E" w:rsidRPr="000D4280">
        <w:t xml:space="preserve">bsolute and relative approaches </w:t>
      </w:r>
      <w:r w:rsidR="006F625E">
        <w:t xml:space="preserve">coexist </w:t>
      </w:r>
      <w:r w:rsidR="006F625E" w:rsidRPr="000D4280">
        <w:t xml:space="preserve">within the current </w:t>
      </w:r>
      <w:r w:rsidR="006F625E">
        <w:t xml:space="preserve">academic </w:t>
      </w:r>
      <w:r w:rsidR="006F625E" w:rsidRPr="000D4280">
        <w:t>discourse</w:t>
      </w:r>
      <w:r w:rsidR="006F625E">
        <w:t>. R</w:t>
      </w:r>
      <w:r w:rsidR="006F625E" w:rsidRPr="000D4280">
        <w:t>elative definitions position extremists at the edges of the political spectrum, outside the mainstream</w:t>
      </w:r>
      <w:r w:rsidR="006F625E">
        <w:t>,</w:t>
      </w:r>
      <w:r w:rsidR="006F625E" w:rsidRPr="000D4280">
        <w:t xml:space="preserve"> </w:t>
      </w:r>
      <w:r w:rsidR="006F625E">
        <w:t>taking</w:t>
      </w:r>
      <w:r w:rsidR="006F625E" w:rsidRPr="000D4280">
        <w:t xml:space="preserve"> political ideas to their logical extremes </w:t>
      </w:r>
      <w:r w:rsidR="006F625E" w:rsidRPr="000D4280">
        <w:fldChar w:fldCharType="begin"/>
      </w:r>
      <w:r w:rsidR="003F717B">
        <w:instrText xml:space="preserve"> ADDIN ZOTERO_ITEM CSL_CITATION {"citationID":"IK5NAacv","properties":{"formattedCitation":"(Coleman &amp; Bartoli, 2015; Mandel, 2010; Scruton, 2007; Wintrobe, 2006)","plainCitation":"(Coleman &amp; Bartoli, 2015; Mandel, 2010; Scruton, 2007; Wintrobe, 2006)","noteIndex":0},"citationItems":[{"id":107,"uris":["http://zotero.org/users/11665025/items/32RLL97U"],"itemData":{"id":107,"type":"book","abstract":"Extremists are people whose ideas or tactics are viewed as outside the mainstream. This text explains why extremist leaders use the tactics they do, and why they are often insensitive to punishment and to loss of life","event-place":"Cambridge","ISBN":"978-0-511-25003-3","language":"en","note":"OCLC: 252531263","publisher":"Cambridge University Press","publisher-place":"Cambridge","source":"Open WorldCat","title":"Rational extremism: The political economy of radicalism","title-short":"Rational extremism","author":[{"family":"Wintrobe","given":"Ronald"}],"issued":{"date-parts":[["2006"]]}}},{"id":156,"uris":["http://zotero.org/users/11665025/items/8623YYLU"],"itemData":{"id":156,"type":"book","abstract":"This dictionary includes some 1790 entries covering every aspect of political thought and the revolutionary changes since the dictionary was first published in 1982. It will be of use to students of political science, philosophy, and jurisprudence","edition":"3","event-place":"Basingstoke","ISBN":"978-1-4039-8951-2","language":"en","number-of-pages":"744","publisher":"Palgrave Macmillan","publisher-place":"Basingstoke","source":"K10plus ISBN","title":"The Palgrave Macmillan dictionary of political thought","author":[{"family":"Scruton","given":"Roger"}],"issued":{"date-parts":[["2007"]]}}},{"id":262,"uris":["http://zotero.org/users/11665025/items/R7KKSGHB"],"itemData":{"id":262,"type":"chapter","container-title":"T. Pick &amp; A. Speckhard (Eds.), Indigenous terrorism: Understanding and addressing the root causes of radicalisation among groups with an immigrant heritage in Europe","event-place":"Amsterdam","page":"101-113","publisher":"IOS Press","publisher-place":"Amsterdam","source":"ResearchGate","title":"Radicalization: What does it mean?","title-short":"Radicalization","author":[{"family":"Mandel","given":"David"}],"issued":{"date-parts":[["2010",1,1]]}}},{"id":152,"uris":["http://zotero.org/users/11665025/items/FFXAQ2IH"],"itemData":{"id":152,"type":"report","language":"en","publisher":"The International Center for Cooperation and Conflict Resolution (ICCCR)","source":"resolvenet.org","title":"Addressing extremism","URL":"https://resolvenet.org/research/publications/addressing-extremism","author":[{"family":"Coleman","given":"Peter T."},{"family":"Bartoli","given":"Andrea"}],"accessed":{"date-parts":[["2024",5,12]]},"issued":{"date-parts":[["2015",1,1]]}}}],"schema":"https://github.com/citation-style-language/schema/raw/master/csl-citation.json"} </w:instrText>
      </w:r>
      <w:r w:rsidR="006F625E" w:rsidRPr="000D4280">
        <w:fldChar w:fldCharType="separate"/>
      </w:r>
      <w:r w:rsidR="002E6597" w:rsidRPr="002E6597">
        <w:t>(Coleman &amp; Bartoli, 2015; Mandel, 2010; Scruton, 2007; Wintrobe, 2006)</w:t>
      </w:r>
      <w:r w:rsidR="006F625E" w:rsidRPr="000D4280">
        <w:fldChar w:fldCharType="end"/>
      </w:r>
      <w:r w:rsidR="006F625E" w:rsidRPr="000D4280">
        <w:t xml:space="preserve">. Absolute definitions associate a specific ideological content with political extremism, such as opposing a democratic constitutional state </w:t>
      </w:r>
      <w:r w:rsidR="006F625E" w:rsidRPr="000D4280">
        <w:fldChar w:fldCharType="begin"/>
      </w:r>
      <w:r w:rsidR="002E6597">
        <w:instrText xml:space="preserve"> ADDIN ZOTERO_ITEM CSL_CITATION {"citationID":"L3JmhKhd","properties":{"formattedCitation":"(Jungkunz, 2022; Midlarsky, 2011)","plainCitation":"(Jungkunz, 2022; Midlarsky, 2011)","noteIndex":0},"citationItems":[{"id":261,"uris":["http://zotero.org/users/11665025/items/A7IA9GGS"],"itemData":{"id":261,"type":"article-journal","container-title":"Cambridge University Press","language":"en","source":"Zotero","title":"Origins of political extremism mass violence in the twentieth century and beyond","author":[{"family":"Midlarsky","given":"Manus I"}],"issued":{"date-parts":[["2011"]]}}},{"id":295,"uris":["http://zotero.org/users/11665025/items/3UE4UVGW"],"itemData":{"id":295,"type":"book","DOI":"10.1007/978-3-030-83336-7","event-place":"Cham","ISBN":"978-3-030-83335-0","language":"en","publisher":"Springer International Publishing","publisher-place":"Cham","source":"DOI.org (Crossref)","title":"The nature and origins of political extremism in Germany and beyond","URL":"https://link.springer.com/10.1007/978-3-030-83336-7","author":[{"family":"Jungkunz","given":"Sebastian"}],"accessed":{"date-parts":[["2024",2,25]]},"issued":{"date-parts":[["2022"]]}}}],"schema":"https://github.com/citation-style-language/schema/raw/master/csl-citation.json"} </w:instrText>
      </w:r>
      <w:r w:rsidR="006F625E" w:rsidRPr="000D4280">
        <w:fldChar w:fldCharType="separate"/>
      </w:r>
      <w:r w:rsidR="002E6597" w:rsidRPr="002E6597">
        <w:t>(Jungkunz, 2022; Midlarsky, 2011)</w:t>
      </w:r>
      <w:r w:rsidR="006F625E" w:rsidRPr="000D4280">
        <w:fldChar w:fldCharType="end"/>
      </w:r>
      <w:r w:rsidR="006F625E" w:rsidRPr="000D4280">
        <w:t xml:space="preserve">, monism </w:t>
      </w:r>
      <w:r w:rsidR="006F625E" w:rsidRPr="000D4280">
        <w:fldChar w:fldCharType="begin"/>
      </w:r>
      <w:r w:rsidR="00196E59">
        <w:instrText xml:space="preserve"> ADDIN ZOTERO_ITEM CSL_CITATION {"citationID":"449xbh7P","properties":{"formattedCitation":"(Eatwell &amp; Goodwin, 2010)","plainCitation":"(Eatwell &amp; Goodwin, 2010)","noteIndex":0},"citationItems":[{"id":135,"uris":["http://zotero.org/users/11665025/items/2HPAFYPU"],"itemData":{"id":135,"type":"book","event-place":"London, UK","language":"en","publisher":"Routledge","publisher-place":"London, UK","source":"Zotero","title":"The new extremism in 21st century Britain","author":[{"family":"Eatwell","given":"Roger"},{"family":"Goodwin","given":"Matthew"}],"issued":{"date-parts":[["2010"]]}}}],"schema":"https://github.com/citation-style-language/schema/raw/master/csl-citation.json"} </w:instrText>
      </w:r>
      <w:r w:rsidR="006F625E" w:rsidRPr="000D4280">
        <w:fldChar w:fldCharType="separate"/>
      </w:r>
      <w:r w:rsidR="002E6597" w:rsidRPr="002E6597">
        <w:t>(Eatwell &amp; Goodwin, 2010)</w:t>
      </w:r>
      <w:r w:rsidR="006F625E" w:rsidRPr="000D4280">
        <w:fldChar w:fldCharType="end"/>
      </w:r>
      <w:r w:rsidR="006F625E" w:rsidRPr="000D4280">
        <w:t xml:space="preserve">, and a disregard for the lives, liberties, and human rights of others </w:t>
      </w:r>
      <w:r w:rsidR="006F625E" w:rsidRPr="000D4280">
        <w:fldChar w:fldCharType="begin"/>
      </w:r>
      <w:r w:rsidR="00196E59">
        <w:instrText xml:space="preserve"> ADDIN ZOTERO_ITEM CSL_CITATION {"citationID":"fQvV281v","properties":{"formattedCitation":"(Scruton, 2007)","plainCitation":"(Scruton, 2007)","noteIndex":0},"citationItems":[{"id":156,"uris":["http://zotero.org/users/11665025/items/8623YYLU"],"itemData":{"id":156,"type":"book","abstract":"This dictionary includes some 1790 entries covering every aspect of political thought and the revolutionary changes since the dictionary was first published in 1982. It will be of use to students of political science, philosophy, and jurisprudence","edition":"3","event-place":"Basingstoke","ISBN":"978-1-4039-8951-2","language":"en","number-of-pages":"744","publisher":"Palgrave Macmillan","publisher-place":"Basingstoke","source":"K10plus ISBN","title":"The Palgrave Macmillan dictionary of political thought","author":[{"family":"Scruton","given":"Roger"}],"issued":{"date-parts":[["2007"]]}}}],"schema":"https://github.com/citation-style-language/schema/raw/master/csl-citation.json"} </w:instrText>
      </w:r>
      <w:r w:rsidR="006F625E" w:rsidRPr="000D4280">
        <w:fldChar w:fldCharType="separate"/>
      </w:r>
      <w:r w:rsidR="002E6597" w:rsidRPr="002E6597">
        <w:t>(Scruton, 2007)</w:t>
      </w:r>
      <w:r w:rsidR="006F625E" w:rsidRPr="000D4280">
        <w:fldChar w:fldCharType="end"/>
      </w:r>
      <w:r w:rsidR="006F625E" w:rsidRPr="000D4280">
        <w:t>.</w:t>
      </w:r>
      <w:r w:rsidR="004E3198">
        <w:t xml:space="preserve"> </w:t>
      </w:r>
      <w:r w:rsidR="00AB680B" w:rsidRPr="000D4280">
        <w:t xml:space="preserve">The fragmentation of the term </w:t>
      </w:r>
      <w:r w:rsidR="005B7099">
        <w:t>into</w:t>
      </w:r>
      <w:r w:rsidR="00AB680B" w:rsidRPr="000D4280">
        <w:t xml:space="preserve"> various subtypes </w:t>
      </w:r>
      <w:r w:rsidR="006F625E" w:rsidRPr="000D4280">
        <w:t>may lead to differing interpretations and conclusions</w:t>
      </w:r>
      <w:r w:rsidR="006F625E">
        <w:t xml:space="preserve">, </w:t>
      </w:r>
      <w:r w:rsidR="00AB680B" w:rsidRPr="000D4280">
        <w:t>creat</w:t>
      </w:r>
      <w:r w:rsidR="006F625E">
        <w:t>ing</w:t>
      </w:r>
      <w:r w:rsidR="00AB680B" w:rsidRPr="000D4280">
        <w:t xml:space="preserve"> ambiguity </w:t>
      </w:r>
      <w:r w:rsidR="00893134" w:rsidRPr="000D4280">
        <w:fldChar w:fldCharType="begin"/>
      </w:r>
      <w:r w:rsidR="00196E59">
        <w:instrText xml:space="preserve"> ADDIN ZOTERO_ITEM CSL_CITATION {"citationID":"2UyS7X5e","properties":{"formattedCitation":"(Bjelopera, 2017)","plainCitation":"(Bjelopera, 2017)","noteIndex":0},"citationItems":[{"id":236,"uris":["http://zotero.org/users/11665025/items/NCCVQSKE"],"itemData":{"id":236,"type":"report","abstract":"The emphasis of counterterrorism policy in the United States since Al Qaeda’s attacks of September 11, 2001 (9/11) has been on jihadist terrorism. However, in the last decade, domestic terrorists—people who commit crimes within the homeland and draw inspiration from U.S.-based extremist ideologies and movements—have killed American citizens and damaged property across the country. Not all of these criminals have been prosecuted under federal terrorism statutes, which does not imply that domestic terrorists are taken any less seriously than other terrorists.","language":"en","number":"R44921","publisher":"Congressional Research Service","source":"Zotero","title":"Domestic terrorism: An overview","URL":"https://sgp.fas.org/crs/terror/R44921.pdf","author":[{"family":"Bjelopera","given":"Jerome P"}],"issued":{"date-parts":[["2017",8,21]]}}}],"schema":"https://github.com/citation-style-language/schema/raw/master/csl-citation.json"} </w:instrText>
      </w:r>
      <w:r w:rsidR="00893134" w:rsidRPr="000D4280">
        <w:fldChar w:fldCharType="separate"/>
      </w:r>
      <w:r w:rsidR="002E6597" w:rsidRPr="002E6597">
        <w:t>(Bjelopera, 2017)</w:t>
      </w:r>
      <w:r w:rsidR="00893134" w:rsidRPr="000D4280">
        <w:fldChar w:fldCharType="end"/>
      </w:r>
      <w:r w:rsidR="00893134" w:rsidRPr="000D4280">
        <w:t xml:space="preserve"> </w:t>
      </w:r>
      <w:r w:rsidR="00AB680B" w:rsidRPr="000D4280">
        <w:t>and challeng</w:t>
      </w:r>
      <w:r w:rsidR="006F625E">
        <w:t>ing</w:t>
      </w:r>
      <w:r w:rsidR="00AB680B" w:rsidRPr="000D4280">
        <w:t xml:space="preserve"> our capability to frame </w:t>
      </w:r>
      <w:r w:rsidR="006F625E">
        <w:t>the phenomenon</w:t>
      </w:r>
      <w:r w:rsidR="00AB680B" w:rsidRPr="000D4280">
        <w:t xml:space="preserve">. </w:t>
      </w:r>
      <w:bookmarkStart w:id="0" w:name="_Hlk204114560"/>
      <w:r w:rsidR="00887242" w:rsidRPr="000D4280">
        <w:t xml:space="preserve">Further contributing to the lack of clarity is the use of other terms, such as </w:t>
      </w:r>
      <w:r w:rsidR="005A61E4">
        <w:t>'</w:t>
      </w:r>
      <w:r w:rsidR="00887242" w:rsidRPr="000D4280">
        <w:t>radicalism</w:t>
      </w:r>
      <w:r w:rsidR="005A61E4">
        <w:t>'</w:t>
      </w:r>
      <w:r w:rsidR="00887242" w:rsidRPr="000D4280">
        <w:t xml:space="preserve"> and </w:t>
      </w:r>
      <w:r w:rsidR="005A61E4">
        <w:t>'</w:t>
      </w:r>
      <w:r w:rsidR="00887242" w:rsidRPr="000D4280">
        <w:t>terrorism,</w:t>
      </w:r>
      <w:r w:rsidR="005A61E4">
        <w:t>'</w:t>
      </w:r>
      <w:r w:rsidR="00887242" w:rsidRPr="000D4280">
        <w:t xml:space="preserve"> which </w:t>
      </w:r>
      <w:r w:rsidR="006F625E">
        <w:t>overlap in definition</w:t>
      </w:r>
      <w:r w:rsidR="00887242" w:rsidRPr="000D4280">
        <w:t xml:space="preserve"> </w:t>
      </w:r>
      <w:r w:rsidR="00887242" w:rsidRPr="000D4280">
        <w:fldChar w:fldCharType="begin"/>
      </w:r>
      <w:r w:rsidR="003F717B">
        <w:instrText xml:space="preserve"> ADDIN ZOTERO_ITEM CSL_CITATION {"citationID":"JgKc70Zq","properties":{"formattedCitation":"(Allchorn &amp; Orofino, 2023)","plainCitation":"(Allchorn &amp; Orofino, 2023)","noteIndex":0},"citationItems":[{"id":307,"uris":["http://zotero.org/users/11665025/items/FPD7IVW8"],"itemData":{"id":307,"type":"book","DOI":"10.4324/9781003032793","edition":"1","event-place":"London","ISBN":"978-1-003-03279-3","language":"en","publisher":"Routledge","publisher-place":"London","source":"DOI.org (Crossref)","title":"Routledge handbook of non-violent extremism: Groups, perspectives and new debates","title-short":"Routledge Handbook of Non-Violent Extremism","URL":"https://www.taylorfrancis.com/books/9781003032793","author":[{"family":"Allchorn","given":"William"},{"family":"Orofino","given":"Elisa"}],"accessed":{"date-parts":[["2024",2,25]]},"issued":{"date-parts":[["2023",1,13]]}}}],"schema":"https://github.com/citation-style-language/schema/raw/master/csl-citation.json"} </w:instrText>
      </w:r>
      <w:r w:rsidR="00887242" w:rsidRPr="000D4280">
        <w:fldChar w:fldCharType="separate"/>
      </w:r>
      <w:r w:rsidR="002E6597" w:rsidRPr="002E6597">
        <w:t>(Allchorn &amp; Orofino, 2023)</w:t>
      </w:r>
      <w:r w:rsidR="00887242" w:rsidRPr="000D4280">
        <w:fldChar w:fldCharType="end"/>
      </w:r>
      <w:r w:rsidR="00887242" w:rsidRPr="000D4280">
        <w:t xml:space="preserve">. </w:t>
      </w:r>
      <w:r w:rsidR="005B644D">
        <w:t>Although much of the current literature emphasizes right-wing and Islamist extremism, the development of a truly universal definition necessitates an inclusive approach that captures additional extremist forms such as left-wing, environmental, and other ideologically motivated variants.</w:t>
      </w:r>
    </w:p>
    <w:p w14:paraId="4AD543EF" w14:textId="36363A23" w:rsidR="00887242" w:rsidRPr="00887242" w:rsidRDefault="004E3198" w:rsidP="002E6597">
      <w:pPr>
        <w:pStyle w:val="Newparagraph"/>
      </w:pPr>
      <w:r w:rsidRPr="004E3198">
        <w:rPr>
          <w:rFonts w:asciiTheme="majorBidi" w:hAnsiTheme="majorBidi" w:cstheme="majorBidi"/>
        </w:rPr>
        <w:t>Second, the field tends to fragment extremism into discrete dimensions rather than studying it as an integrated whole.</w:t>
      </w:r>
      <w:r>
        <w:rPr>
          <w:rFonts w:asciiTheme="majorBidi" w:hAnsiTheme="majorBidi" w:cstheme="majorBidi"/>
        </w:rPr>
        <w:t xml:space="preserve"> </w:t>
      </w:r>
      <w:r w:rsidR="003923BB">
        <w:rPr>
          <w:rFonts w:asciiTheme="majorBidi" w:hAnsiTheme="majorBidi" w:cstheme="majorBidi"/>
        </w:rPr>
        <w:t>T</w:t>
      </w:r>
      <w:r w:rsidR="003923BB">
        <w:t>his fragmentation impedes cumulative theory-</w:t>
      </w:r>
      <w:r w:rsidR="003923BB">
        <w:lastRenderedPageBreak/>
        <w:t xml:space="preserve">building and produces incompatible empirical findings. </w:t>
      </w:r>
      <w:r w:rsidR="00887242" w:rsidRPr="006E0C44">
        <w:t xml:space="preserve">Relying on a single feature or dimension when assessing political extremism can lead </w:t>
      </w:r>
      <w:r w:rsidR="00887242">
        <w:t xml:space="preserve">to overlooking various forms of it </w:t>
      </w:r>
      <w:r w:rsidR="00887242" w:rsidRPr="006E0C44">
        <w:fldChar w:fldCharType="begin"/>
      </w:r>
      <w:r w:rsidR="00196E59">
        <w:instrText xml:space="preserve"> ADDIN ZOTERO_ITEM CSL_CITATION {"citationID":"8iCIU1ND","properties":{"formattedCitation":"(Schmid, 2014)","plainCitation":"(Schmid, 2014)","noteIndex":0},"citationItems":[{"id":311,"uris":["http://zotero.org/users/11665025/items/3Q2A53I6"],"itemData":{"id":311,"type":"article-journal","container-title":"Terrorism and Counter-Terrorism Studies","DOI":"10.19165/2014.1.05","ISSN":"24680664","journalAbbreviation":"ICCT Research Papers","language":"en","source":"DOI.org (Crossref)","title":"Violent and non-violent extremism: Two sides of the same coin?","title-short":"Violent and Non-Violent Extremism","URL":"http://icct.nl/publication/violent-and-non-violent-extremism-two-sides-of-the-same-coin/","author":[{"family":"Schmid","given":"Alex"}],"accessed":{"date-parts":[["2024",2,25]]},"issued":{"date-parts":[["2014"]]}}}],"schema":"https://github.com/citation-style-language/schema/raw/master/csl-citation.json"} </w:instrText>
      </w:r>
      <w:r w:rsidR="00887242" w:rsidRPr="006E0C44">
        <w:fldChar w:fldCharType="separate"/>
      </w:r>
      <w:r w:rsidR="002E6597" w:rsidRPr="002E6597">
        <w:t>(Schmid, 2014)</w:t>
      </w:r>
      <w:r w:rsidR="00887242" w:rsidRPr="006E0C44">
        <w:fldChar w:fldCharType="end"/>
      </w:r>
      <w:r w:rsidR="00887242">
        <w:t xml:space="preserve"> or </w:t>
      </w:r>
      <w:r w:rsidR="00887242" w:rsidRPr="006E0C44">
        <w:t xml:space="preserve">to </w:t>
      </w:r>
      <w:r w:rsidR="00887242">
        <w:t xml:space="preserve">a </w:t>
      </w:r>
      <w:r w:rsidR="00887242" w:rsidRPr="006E0C44">
        <w:t>biased understanding of the phenomenon</w:t>
      </w:r>
      <w:r w:rsidR="00887242">
        <w:t xml:space="preserve">. The ideological position is evident in almost all definitions of political extremism; however, its conceptualization and measurement vary significantly. Many scholars limit the definition to a left-right political position </w:t>
      </w:r>
      <w:r w:rsidR="00887242">
        <w:fldChar w:fldCharType="begin"/>
      </w:r>
      <w:r w:rsidR="003F717B">
        <w:instrText xml:space="preserve"> ADDIN ZOTERO_ITEM CSL_CITATION {"citationID":"OVPl3fUs","properties":{"formattedCitation":"(van Prooijen &amp; Krouwel, 2019, 2022)","plainCitation":"(van Prooijen &amp; Krouwel, 2019, 2022)","noteIndex":0},"citationItems":[{"id":154,"uris":["http://zotero.org/users/11665025/items/5CS9KHJQ"],"itemData":{"id":154,"type":"article-journal","container-title":"Current Directions in Psychological Science","DOI":"10.1177/0963721418817755","issue":"2","language":"en","page":"159-163","title":"Psychological features of extreme political ideologies","volume":"28","author":[{"family":"Prooijen","given":"Jan-Willem","non-dropping-particle":"van"},{"family":"Krouwel","given":"André P. M."}],"issued":{"date-parts":[["2019",4]]}}},{"id":1008,"uris":["http://zotero.org/users/11665025/items/TNF3QHVZ"],"itemData":{"id":1008,"type":"chapter","abstract":"While the field of political psychology has overwhelmingly focused on political orientation (i.e., ideological content), this chapter proposes that political extremism (i.e., ideological strength) at the left and right also matters for a range of important variables. The main argument is that feelings of distress prompt a desire for epistemic clarity, which increases the appeal of the clear-cut answers that politically extreme movements provide for pressing societal problems. The chapter subsequently proposes that political extremism in most cases is a problem for societies. We review evidence that politically extreme beliefs are associated with overconfidence in the correctness of one’s beliefs and knowledge about the world, an increased susceptibility to beliefs that are not supported by science or reason, and intolerance of competing belief systems or groups perceived as ideologically different. We conclude by articulating a few limitations and research directions in this research domain.","collection-title":"Cambridge Handbooks in Psychology","container-title":"The Cambridge Handbook of Political Psychology","DOI":"10.1017/9781108779104.029","event-place":"Cambridge","ISBN":"978-1-108-48963-8","page":"414-428","publisher":"Cambridge University Press","publisher-place":"Cambridge","source":"Cambridge University Press","title":"Political Extremism","URL":"https://www.cambridge.org/core/books/cambridge-handbook-of-political-psychology/political-extremism/8A4DD283393A9EA13792DEBBEE6D4A09","editor":[{"family":"Sibley","given":"Chris G."},{"family":"Osborne","given":"Danny"}],"author":[{"family":"Prooijen","given":"Jan-Willem","non-dropping-particle":"van"},{"family":"Krouwel","given":"André P. M."}],"accessed":{"date-parts":[["2024",6,25]]},"issued":{"date-parts":[["2022"]]}}}],"schema":"https://github.com/citation-style-language/schema/raw/master/csl-citation.json"} </w:instrText>
      </w:r>
      <w:r w:rsidR="00887242">
        <w:fldChar w:fldCharType="separate"/>
      </w:r>
      <w:r w:rsidR="002E6597" w:rsidRPr="002E6597">
        <w:t>(van Prooijen &amp; Krouwel, 2019, 2022)</w:t>
      </w:r>
      <w:r w:rsidR="00887242">
        <w:fldChar w:fldCharType="end"/>
      </w:r>
      <w:r w:rsidR="00887242">
        <w:t xml:space="preserve"> using </w:t>
      </w:r>
      <w:r w:rsidR="00887242" w:rsidRPr="006E0C44">
        <w:t>an ideological self-positioning scale to identify political extremism</w:t>
      </w:r>
      <w:r w:rsidR="00887242">
        <w:t xml:space="preserve"> </w:t>
      </w:r>
      <w:r w:rsidR="00887242" w:rsidRPr="006E0C44">
        <w:fldChar w:fldCharType="begin"/>
      </w:r>
      <w:r w:rsidR="00A311F6">
        <w:instrText xml:space="preserve"> ADDIN ZOTERO_ITEM CSL_CITATION {"citationID":"kwCN03g0","properties":{"formattedCitation":"(Rigoli, 2023; Uba &amp; Bosi, 2022; van Prooijen et al., 2015; van Prooijen &amp; Kuijper, 2020)","plainCitation":"(Rigoli, 2023; Uba &amp; Bosi, 2022; van Prooijen et al., 2015; van Prooijen &amp; Kuijper, 2020)","noteIndex":0},"citationItems":[{"id":158,"uris":["http://zotero.org/users/11665025/items/SZXH35DP"],"itemData":{"id":158,"type":"article-journal","abstract":"Historical records suggest that the political extremes—at both the “left” and the “right”—substantially endorsed conspiracy beliefs about other-minded groups. The present contribution empirically tests whether extreme political ideologies, at either side of the political spectrum, are positively associated with an increased tendency to believe in conspiracy theories. Four studies conducted in the United States and the Netherlands revealed a quadratic relationship between strength of political ideology and conspiracy beliefs about various political issues. Moreover, participants’ belief in simple political solutions to societal problems mediated conspiracy beliefs among both left- and right-wing extremists. Finally, the effects described here were not attributable to general attitude extremity. Our conclusion is that political extremism and conspiracy beliefs are strongly associated due to a highly structured thinking style that is aimed at making sense of societal events.","container-title":"Social Psychological and Personality Science","DOI":"10.1177/1948550614567356","ISSN":"1948-5506","issue":"5","language":"en","page":"570-578","publisher":"SAGE Publications Inc","source":"SAGE Journals","title":"Political Extremism Predicts Belief in Conspiracy Theories","volume":"6","author":[{"family":"Prooijen","given":"Jan-Willem","non-dropping-particle":"van"},{"family":"Krouwel","given":"André P. M."},{"family":"Pollet","given":"Thomas V."}],"issued":{"date-parts":[["2015",7,1]]}}},{"id":157,"uris":["http://zotero.org/users/11665025/items/28PDJDBX"],"itemData":{"id":157,"type":"article-journal","abstract":"People can polarize into various ideologies, including tendencies towards political left- and right-wing extremism, and religious fundamentalism. Here we compare polarization in these different ideologies in a US online sample (N = 424). Building on significance quest theory, we specifically investigate how individual tendencies towards political extremism and religious fundamentalism are associated with grievance and worldview variables within the same study. As grievance variables we measured personal and fraternal deprivation, and socio-economic fear. As worldview variables we measured belief significance, dogmatic intolerance, and parochial altruism. Results revealed that political extremism and religious fundamentalism were similarly associated with the worldview variables but not with the grievance variables. We conclude that independent of content, ideological polarization is associated with a common worldview characterized by the feeling that one supports a meaningful cause, intolerance of alternative ideologies, and a willingness to make personal sacrifices for one's ideals.","container-title":"Personality and Individual Differences","DOI":"10.1016/j.paid.2020.109888","ISSN":"0191-8869","journalAbbreviation":"Personality and Individual Differences","page":"109888","source":"ScienceDirect","title":"A comparison of extreme religious and political ideologies: Similar worldviews but different grievances","title-short":"A comparison of extreme religious and political ideologies","volume":"159","author":[{"family":"Prooijen","given":"Jan-Willem","non-dropping-particle":"van"},{"family":"Kuijper","given":"Sophia M. H. C."}],"issued":{"date-parts":[["2020",6,1]]}}},{"id":192,"uris":["http://zotero.org/users/11665025/items/ZHMPGUG8"],"itemData":{"id":192,"type":"article-journal","abstract":"The concept of ‘young radicals’ is gaining ground in a context of generalized discontent – often, this is due to the fact that young people engage increasingly in unconventional forms of political activism. Much less is known about young people holding radical political attitudes. This article advances our understanding of those young people who place themselves on the extremes of the ideological scale and investigates how those with radical right attitudes differ from those with radical left ones. Drawing on a survey that gathers data from nine European countries, with a sample of young people aged 18–35, we test those factors that have been used to explain why people use violent repertoires of action: social background, gender, political values, and prior experience in protest activism. The results relate ‘radicalness’ to experienced economic difficulties and the more contentious political activism. The difference between the young ‘radicals’ in right and left are, however, defined by gender and adherence to authoritarian values.","container-title":"Politics","DOI":"10.1177/0263395721990539","ISSN":"0263-3957","issue":"1","language":"en","page":"128-145","publisher":"SAGE Publications Ltd","source":"SAGE Journals","title":"Explaining youth radicalism as a positioning of the self at opposite extremes","volume":"42","author":[{"family":"Uba","given":"Katrin"},{"family":"Bosi","given":"Lorenzo"}],"issued":{"date-parts":[["2022",2,1]]}}},{"id":1809,"uris":["http://zotero.org/users/11665025/items/Q5REZ285","http://zotero.org/users/11665025/items/5Q36N8GV"],"itemData":{"id":1809,"type":"article-journal","abstract":"Examining data from the World Value Survey about left-right political orientation, the paper explores political extremism among common people worldwide. Our analysis reveals (i) a positive correlation between left-wing and right-wing extremism across countries, (ii) an average rise in political extremism globally in the last decade, (iii) greater political extremism in less developed countries, (iv) and a surge, during the last decade, in political extremism for less developed countries and for countries where development has not met expectations. Besides offering a picture of how successful political extremism is globally, our investigation provides insight into the driving forces behind this phenomenon.","container-title":"Journal of Global Awareness","issue":"1","language":"en","license":"cc_by_nc_nd_4","publisher":"St. John's University, Tobin College of Business","source":"openaccess.city.ac.uk","title":"Political Extremism in a Global Perspective","URL":"https://openaccess.city.ac.uk/id/eprint/30561/","volume":"4","author":[{"family":"Rigoli","given":"F."}],"accessed":{"date-parts":[["2025",3,2]]},"issued":{"date-parts":[["2023",5,30]]}}}],"schema":"https://github.com/citation-style-language/schema/raw/master/csl-citation.json"} </w:instrText>
      </w:r>
      <w:r w:rsidR="00887242" w:rsidRPr="006E0C44">
        <w:fldChar w:fldCharType="separate"/>
      </w:r>
      <w:r w:rsidR="002E6597" w:rsidRPr="002E6597">
        <w:t>(Rigoli, 2023; Uba &amp; Bosi, 2022; van Prooijen et al., 2015; van Prooijen &amp; Kuijper, 2020)</w:t>
      </w:r>
      <w:r w:rsidR="00887242" w:rsidRPr="006E0C44">
        <w:fldChar w:fldCharType="end"/>
      </w:r>
      <w:r w:rsidR="00887242">
        <w:t xml:space="preserve">. Other scholars use additional dimensions, including authoritarianism </w:t>
      </w:r>
      <w:r w:rsidR="00887242">
        <w:fldChar w:fldCharType="begin"/>
      </w:r>
      <w:r w:rsidR="00887242">
        <w:instrText xml:space="preserve"> ADDIN ZOTERO_ITEM CSL_CITATION {"citationID":"hOxKtJ51","properties":{"formattedCitation":"(Mudde, 1995)","plainCitation":"(Mudde, 1995)","noteIndex":0},"citationItems":[{"id":254,"uris":["http://zotero.org/users/11665025/items/NSFAH4A9"],"itemData":{"id":254,"type":"article-journal","abstract":"Abstract. The so-called ‘third wave’ of right-wing extremism has taken both society and social science by storm. In contrast to the many studies that look for possible explanations for the success of this ‘wave’, this article focusses on right-wing extremism itself. In the first part, the concept is defined on the basis of the existing literature, as a political ideology that consists of a combination of several features. In the second part, these features are first conceptualized and second used in a comparative analysis of the ideologies of three alleged right-wing extremist parties (the Dutch CP'86, the German NPD and the Austrian NDP). This analysis shows a more differentiated picture of the ideology of this ‘party family’, and is a warning against too careless generalisations.","container-title":"European Journal of Political Research","DOI":"10.1111/j.1475-6765.1995.tb00636.x","ISSN":"1475-6765","issue":"2","language":"en","note":"_eprint: https://onlinelibrary.wiley.com/doi/pdf/10.1111/j.1475-6765.1995.tb00636.x","page":"203-224","source":"Wiley Online Library","title":"Right-wing extremism analyzed","volume":"27","author":[{"family":"Mudde","given":"Cas"}],"issued":{"date-parts":[["1995"]]}}}],"schema":"https://github.com/citation-style-language/schema/raw/master/csl-citation.json"} </w:instrText>
      </w:r>
      <w:r w:rsidR="00887242">
        <w:fldChar w:fldCharType="separate"/>
      </w:r>
      <w:r w:rsidR="002E6597" w:rsidRPr="002E6597">
        <w:t>(Mudde, 1995)</w:t>
      </w:r>
      <w:r w:rsidR="00887242">
        <w:fldChar w:fldCharType="end"/>
      </w:r>
      <w:r w:rsidR="00887242">
        <w:t xml:space="preserve">, beliefs in superiority and intolerance towards opposing groups </w:t>
      </w:r>
      <w:r w:rsidR="00887242">
        <w:fldChar w:fldCharType="begin"/>
      </w:r>
      <w:r w:rsidR="00887242">
        <w:instrText xml:space="preserve"> ADDIN ZOTERO_ITEM CSL_CITATION {"citationID":"BClihdi9","properties":{"formattedCitation":"(Doosje et al., 2016; Ozer &amp; Bertelsen, 2018)","plainCitation":"(Doosje et al., 2016; Ozer &amp; Bertelsen, 2018)","noteIndex":0},"citationItems":[{"id":1061,"uris":["http://zotero.org/users/11665025/items/M26C34FS"],"itemData":{"id":1061,"type":"article-journal","abstract":"In this article, we review the literature and present a model of radicalization and de-radicalization. In this model, we distinguish three phases in radicalization: (1) a sensitivity phase, (2) a group membership phase and (3) an action phase. We describe the micro-level, meso-level and macro-level factors that influence the radicalization process in these three phases. However, not all people become increasingly radical—they may also de-radicalize. We specify the micro-level, meso-level and macro-level factors in de-radicalization. We highlight the importance of the role of group membership and intergroup relations in the radicalization process.","collection-title":"Intergroup relations","container-title":"Current Opinion in Psychology","DOI":"10.1016/j.copsyc.2016.06.008","ISSN":"2352-250X","journalAbbreviation":"Current Opinion in Psychology","page":"79-84","source":"ScienceDirect","title":"Terrorism, radicalization and de-radicalization","volume":"11","author":[{"family":"Doosje","given":"Bertjan"},{"family":"Moghaddam","given":"Fathali M"},{"family":"Kruglanski","given":"Arie W"},{"family":"Wolf","given":"Arjan","non-dropping-particle":"de"},{"family":"Mann","given":"Liesbeth"},{"family":"Feddes","given":"Allard R"}],"issued":{"date-parts":[["2016",10,1]]}}},{"id":103,"uris":["http://zotero.org/users/11665025/items/5N2HVI6G"],"itemData":{"id":103,"type":"article-journal","abstract":"Violent radicalization has emerged as an important topic of theoretical and empirical investigation motivated by the devastating face of terrorism and by the aim of preventing such expressions of extremism. One central aspect of such research inquiries is the foundation of solid measurement. In this article, we develop and validate two generic scales pertaining to (1) endorsement of extremism and (2) acceptance of violent and/or illegal means. In conclusion, the scales yielded sound psychometric properties and cross-cultural equivalence, providing a solid measure of the important aspects of extremism which can be empirically employed in elucidating generic mechanisms of violent radicalization processes.","container-title":"Scandinavian Journal of Psychology","DOI":"10.1111/sjop.12484","ISSN":"0036-5564, 1467-9450","issue":"6","journalAbbreviation":"Scandinavian J Psychology","language":"en","page":"653-660","source":"DOI.org (Crossref)","title":"Capturing violent radicalization: Developing and validating scales measuring central aspects of radicalization","title-short":"Capturing violent radicalization","volume":"59","author":[{"family":"Ozer","given":"Simon"},{"family":"Bertelsen","given":"Preben"}],"issued":{"date-parts":[["2018",12]]}}}],"schema":"https://github.com/citation-style-language/schema/raw/master/csl-citation.json"} </w:instrText>
      </w:r>
      <w:r w:rsidR="00887242">
        <w:fldChar w:fldCharType="separate"/>
      </w:r>
      <w:r w:rsidR="002E6597" w:rsidRPr="002E6597">
        <w:t>(Doosje et al., 2016; Ozer &amp; Bertelsen, 2018)</w:t>
      </w:r>
      <w:r w:rsidR="00887242">
        <w:fldChar w:fldCharType="end"/>
      </w:r>
      <w:r w:rsidR="00887242">
        <w:t xml:space="preserve">, endorsement of violence </w:t>
      </w:r>
      <w:r w:rsidR="00887242">
        <w:fldChar w:fldCharType="begin"/>
      </w:r>
      <w:r w:rsidR="00196E59">
        <w:instrText xml:space="preserve"> ADDIN ZOTERO_ITEM CSL_CITATION {"citationID":"8MEwPwGI","properties":{"formattedCitation":"(Schmid, 2013; Wintrobe, 2006)","plainCitation":"(Schmid, 2013; Wintrobe, 2006)","noteIndex":0},"citationItems":[{"id":107,"uris":["http://zotero.org/users/11665025/items/32RLL97U"],"itemData":{"id":107,"type":"book","abstract":"Extremists are people whose ideas or tactics are viewed as outside the mainstream. This text explains why extremist leaders use the tactics they do, and why they are often insensitive to punishment and to loss of life","event-place":"Cambridge","ISBN":"978-0-511-25003-3","language":"en","note":"OCLC: 252531263","publisher":"Cambridge University Press","publisher-place":"Cambridge","source":"Open WorldCat","title":"Rational extremism: The political economy of radicalism","title-short":"Rational extremism","author":[{"family":"Wintrobe","given":"Ronald"}],"issued":{"date-parts":[["2006"]]}}},{"id":312,"uris":["http://zotero.org/users/11665025/items/9D2M682Q"],"itemData":{"id":312,"type":"article-journal","container-title":"Terrorism and Counter-Terrorism Studies","DOI":"10.19165/2013.1.02","ISSN":"24680664","journalAbbreviation":"ICCT Research Papers","language":"en","source":"DOI.org (Crossref)","title":"Radicalisation, de-radicalisation, counter-radicalisation: A conceptual discussion and literature review","title-short":"Radicalisation, De-Radicalisation, Counter-Radicalisation","URL":"http://icct.nl/publication/radicalisation-de-radicalisation-counter-radicalisation-a-conceptual-discussion-and-literature-review/","author":[{"family":"Schmid","given":"Alex"}],"accessed":{"date-parts":[["2024",2,25]]},"issued":{"date-parts":[["2013"]]}}}],"schema":"https://github.com/citation-style-language/schema/raw/master/csl-citation.json"} </w:instrText>
      </w:r>
      <w:r w:rsidR="00887242">
        <w:fldChar w:fldCharType="separate"/>
      </w:r>
      <w:r w:rsidR="002E6597" w:rsidRPr="002E6597">
        <w:t>(Schmid, 2013; Wintrobe, 2006)</w:t>
      </w:r>
      <w:r w:rsidR="00887242">
        <w:fldChar w:fldCharType="end"/>
      </w:r>
      <w:r w:rsidR="00887242">
        <w:t xml:space="preserve">, anti-democracy </w:t>
      </w:r>
      <w:r w:rsidR="00887242">
        <w:fldChar w:fldCharType="begin"/>
      </w:r>
      <w:r w:rsidR="002E6597">
        <w:instrText xml:space="preserve"> ADDIN ZOTERO_ITEM CSL_CITATION {"citationID":"J67CrG7v","properties":{"formattedCitation":"(Jungkunz, 2022; Mudde, 1995)","plainCitation":"(Jungkunz, 2022; Mudde, 1995)","noteIndex":0},"citationItems":[{"id":254,"uris":["http://zotero.org/users/11665025/items/NSFAH4A9"],"itemData":{"id":254,"type":"article-journal","abstract":"Abstract. The so-called ‘third wave’ of right-wing extremism has taken both society and social science by storm. In contrast to the many studies that look for possible explanations for the success of this ‘wave’, this article focusses on right-wing extremism itself. In the first part, the concept is defined on the basis of the existing literature, as a political ideology that consists of a combination of several features. In the second part, these features are first conceptualized and second used in a comparative analysis of the ideologies of three alleged right-wing extremist parties (the Dutch CP'86, the German NPD and the Austrian NDP). This analysis shows a more differentiated picture of the ideology of this ‘party family’, and is a warning against too careless generalisations.","container-title":"European Journal of Political Research","DOI":"10.1111/j.1475-6765.1995.tb00636.x","ISSN":"1475-6765","issue":"2","language":"en","note":"_eprint: https://onlinelibrary.wiley.com/doi/pdf/10.1111/j.1475-6765.1995.tb00636.x","page":"203-224","source":"Wiley Online Library","title":"Right-wing extremism analyzed","volume":"27","author":[{"family":"Mudde","given":"Cas"}],"issued":{"date-parts":[["1995"]]}}},{"id":295,"uris":["http://zotero.org/users/11665025/items/3UE4UVGW"],"itemData":{"id":295,"type":"book","DOI":"10.1007/978-3-030-83336-7","event-place":"Cham","ISBN":"978-3-030-83335-0","language":"en","publisher":"Springer International Publishing","publisher-place":"Cham","source":"DOI.org (Crossref)","title":"The nature and origins of political extremism in Germany and beyond","URL":"https://link.springer.com/10.1007/978-3-030-83336-7","author":[{"family":"Jungkunz","given":"Sebastian"}],"accessed":{"date-parts":[["2024",2,25]]},"issued":{"date-parts":[["2022"]]}}}],"schema":"https://github.com/citation-style-language/schema/raw/master/csl-citation.json"} </w:instrText>
      </w:r>
      <w:r w:rsidR="00887242">
        <w:fldChar w:fldCharType="separate"/>
      </w:r>
      <w:r w:rsidR="002E6597" w:rsidRPr="002E6597">
        <w:t>(Jungkunz, 2022; Mudde, 1995)</w:t>
      </w:r>
      <w:r w:rsidR="00887242">
        <w:fldChar w:fldCharType="end"/>
      </w:r>
      <w:r w:rsidR="00887242">
        <w:t xml:space="preserve">, actions toward replacing the dominant political system </w:t>
      </w:r>
      <w:r w:rsidR="00887242">
        <w:fldChar w:fldCharType="begin"/>
      </w:r>
      <w:r w:rsidR="00887242">
        <w:instrText xml:space="preserve"> ADDIN ZOTERO_ITEM CSL_CITATION {"citationID":"2wXfKMjK","properties":{"formattedCitation":"(Jackson, 2019)","plainCitation":"(Jackson, 2019)","noteIndex":0},"citationItems":[{"id":201,"uris":["http://zotero.org/users/11665025/items/R6BIWEUD"],"itemData":{"id":201,"type":"article-journal","container-title":"Terrorism and Political Violence","DOI":"10.1080/09546553.2016.1212599","ISSN":"0954-6553, 1556-1836","issue":"2","journalAbbreviation":"Terrorism and Political Violence","language":"en","page":"244-259","source":"DOI.org (Crossref)","title":"Non-normative political extremism: Reclaiming a concept’s analytical utility","title-short":"Non-normative political extremism","volume":"31","author":[{"family":"Jackson","given":"Sam"}],"issued":{"date-parts":[["2019",3,4]]}}}],"schema":"https://github.com/citation-style-language/schema/raw/master/csl-citation.json"} </w:instrText>
      </w:r>
      <w:r w:rsidR="00887242">
        <w:fldChar w:fldCharType="separate"/>
      </w:r>
      <w:r w:rsidR="002E6597" w:rsidRPr="002E6597">
        <w:t>(Jackson, 2019)</w:t>
      </w:r>
      <w:r w:rsidR="00887242">
        <w:fldChar w:fldCharType="end"/>
      </w:r>
      <w:r w:rsidR="00887242">
        <w:t xml:space="preserve">, and the belief in </w:t>
      </w:r>
      <w:r w:rsidR="00E11492">
        <w:t xml:space="preserve">a </w:t>
      </w:r>
      <w:r w:rsidR="00887242">
        <w:t xml:space="preserve">monopoly on truth </w:t>
      </w:r>
      <w:r w:rsidR="00887242">
        <w:fldChar w:fldCharType="begin"/>
      </w:r>
      <w:r w:rsidR="00A311F6">
        <w:instrText xml:space="preserve"> ADDIN ZOTERO_ITEM CSL_CITATION {"citationID":"8K9kJk5S","properties":{"formattedCitation":"(Dono et al., 2018)","plainCitation":"(Dono et al., 2018)","noteIndex":0},"citationItems":[{"id":327,"uris":["http://zotero.org/users/11665025/items/PBPUQ7AH"],"itemData":{"id":327,"type":"article-journal","abstract":"Background: Extreme political attitudes have been on the rise since the economic and political crisis of 2008. This surge of extremism constitutes a real threat, as attitudes like these are dangerous for the peaceful, democratic functioning of society. A new cognitive style, Monopoly on Truth has been proposed, based mainly on the concept of naïve realism. Method: The development and validation of a scale for this new construct is the main objective of this study. A pilot study (N=209) was performed in order to gather the items that make up the ﬁnal scale; and a main study (N=369) was conducted to test the validity and predictive power of the scale. Results: The validation is successful as the scale shows good reliability scores, while also proving to be linked to extremism-related constructs. Additionally, the scale shows signs of not being ideologically biased. Conclusion: Results show the scale to be a very useful tool for studying extremism and other political trends. Future directions and other implications of the Monopoly on Truth are also discussed.","container-title":"Psicothema","DOI":"10.7334/psicothema2017.423","issue":"3","language":"en","page":"330-336","source":"DOI.org (CSL JSON)","title":"Development and validation of the Monopoly on Truth Scale: A measure of political extremism","volume":"30","author":[{"family":"Dono","given":"Marcos"},{"family":"Alzate","given":"Mónica"},{"family":"Seoane","given":"Gloria"}],"issued":{"date-parts":[["2018",8]]}}}],"schema":"https://github.com/citation-style-language/schema/raw/master/csl-citation.json"} </w:instrText>
      </w:r>
      <w:r w:rsidR="00887242">
        <w:fldChar w:fldCharType="separate"/>
      </w:r>
      <w:r w:rsidR="002E6597" w:rsidRPr="002E6597">
        <w:t>(Dono et al., 2018)</w:t>
      </w:r>
      <w:r w:rsidR="00887242">
        <w:fldChar w:fldCharType="end"/>
      </w:r>
      <w:r w:rsidR="00887242">
        <w:t xml:space="preserve">. </w:t>
      </w:r>
    </w:p>
    <w:p w14:paraId="68FE6062" w14:textId="2EF0FC76" w:rsidR="005E3F15" w:rsidRPr="0084316D" w:rsidRDefault="004E3198" w:rsidP="002E6597">
      <w:pPr>
        <w:pStyle w:val="Newparagraph"/>
      </w:pPr>
      <w:bookmarkStart w:id="1" w:name="_Hlk184840855"/>
      <w:bookmarkEnd w:id="0"/>
      <w:r w:rsidRPr="004E3198">
        <w:t>Third, cross-national comparisons prove challenging because extremism thresholds vary significantly across different political contexts.</w:t>
      </w:r>
      <w:r>
        <w:t xml:space="preserve"> Cultural and political contexts shape definitions of extremism, leading to identical positions receiving different classifications across nations </w:t>
      </w:r>
      <w:r w:rsidRPr="006E0C44">
        <w:t xml:space="preserve"> </w:t>
      </w:r>
      <w:r w:rsidRPr="006E0C44">
        <w:fldChar w:fldCharType="begin"/>
      </w:r>
      <w:r w:rsidR="002E6597">
        <w:instrText xml:space="preserve"> ADDIN ZOTERO_ITEM CSL_CITATION {"citationID":"v8UTenaT","properties":{"formattedCitation":"(Zuell &amp; Scholz, 2019)","plainCitation":"(Zuell &amp; Scholz, 2019)","noteIndex":0},"citationItems":[{"id":1040,"uris":["http://zotero.org/users/11665025/items/5D8QZINS"],"itemData":{"id":1040,"type":"article-journal","abstract":"Equivalence in survey design and implementation is a core issue in cross-national research. Construct equivalence deals with the validity of concepts measured by survey questions and is a prerequisite for meaningful cross-national analyses. Since respondents are socialized in different cultures and political systems, their interpretation of concepts in the same way cannot be taken for granted. This study is about the construct equivalence of the left-right scale from a cross-national perspective. The left-right scale is a standard survey question used to measure ideological orientation in a minimalist way. However, ideological orientation may be measured in different dimensions from cross-national perspective, and thus, the conceptual understanding of the left-right scale as an indicator of the left-right dimension may differ across countries, which may challenge the comparability and the cross-national validity of the left-right scale. To test the understanding of left and right, we asked about individual associations by using probe questions in a cross-national survey. We checked for nonresponse and shared and country-specific explanations of left and right. Our results show that respondents from different countries or with different political orientations do not have the same ideas about left and right. For leftist respondents, shared explanations of left are more relevant, whereas for rightists, country-specific interpretations of right are more influential. These results challenge the cross-national usability of the left-right scale, and so conclusions based on this scale may not be comparable.","container-title":"International Journal of Sociology","DOI":"10.1080/00207659.2018.1560982","ISSN":"0020-7659","issue":"1","note":"_eprint: https://doi.org/10.1080/00207659.2018.1560982","page":"77–95","publisher":"Routledge","source":"Taylor and Francis+NEJM","title":"Construct Equivalence of Left-Right Scale Placement in a Cross-National Perspective","volume":"49","author":[{"family":"Zuell","given":"Cornelia"},{"family":"Scholz","given":"Evi"}],"issued":{"date-parts":[["2019",1,2]]}}}],"schema":"https://github.com/citation-style-language/schema/raw/master/csl-citation.json"} </w:instrText>
      </w:r>
      <w:r w:rsidRPr="006E0C44">
        <w:fldChar w:fldCharType="separate"/>
      </w:r>
      <w:r w:rsidR="002E6597" w:rsidRPr="002E6597">
        <w:rPr>
          <w:lang w:val="de-DE"/>
        </w:rPr>
        <w:t>(Zuell &amp; Scholz, 2019)</w:t>
      </w:r>
      <w:r w:rsidRPr="006E0C44">
        <w:fldChar w:fldCharType="end"/>
      </w:r>
      <w:r>
        <w:t xml:space="preserve">. </w:t>
      </w:r>
      <w:r w:rsidR="00D12E79">
        <w:t>Citizens of countries suffering from long-</w:t>
      </w:r>
      <w:r w:rsidR="00892F8D">
        <w:t xml:space="preserve">standing, deep-seated conflicts may perceive political violence as less extreme than </w:t>
      </w:r>
      <w:r w:rsidR="00E11492">
        <w:t xml:space="preserve">that </w:t>
      </w:r>
      <w:r w:rsidR="00892F8D">
        <w:t>in countries with established</w:t>
      </w:r>
      <w:r w:rsidR="00D12E79">
        <w:t xml:space="preserve"> peace and political stability </w:t>
      </w:r>
      <w:r w:rsidR="00D12E79" w:rsidRPr="00D916F3">
        <w:fldChar w:fldCharType="begin"/>
      </w:r>
      <w:r w:rsidR="003F717B">
        <w:instrText xml:space="preserve"> ADDIN ZOTERO_ITEM CSL_CITATION {"citationID":"OrNeGOXH","properties":{"formattedCitation":"(Canetti et al., 2009)","plainCitation":"(Canetti et al., 2009)","noteIndex":0},"citationItems":[{"id":1139,"uris":["http://zotero.org/users/11665025/items/YXQ2V49I"],"itemData":{"id":1139,"type":"article-journal","abstract":"Major political events such as terrorist attacks and forced relocation of citizens may have an immediate effect on attitudes towards ethnic minorities…","container-title":"International Journal of Intercultural Relations","DOI":"10.1016/j.ijintrel.2008.12.007","ISSN":"0147-1767","issue":"6","language":"en-US","page":"463-474","publisher":"Pergamon","source":"www.sciencedirect.com","title":"Authoritarianism, perceived threat and exclusionism on the eve of the disengagement: Evidence from Gaza","title-short":"Authoritarianism, perceived threat and exclusionism on the eve of the Disengagement","volume":"33","author":[{"family":"Canetti","given":"Daphna"},{"family":"Halperin","given":"Eran"},{"family":"Hobfoll","given":"Stevan E"},{"family":"Shapira","given":"Oren"},{"family":"Hirsch-Hoefler","given":"Sivan"}],"issued":{"date-parts":[["2009",11,1]]}},"label":"page"}],"schema":"https://github.com/citation-style-language/schema/raw/master/csl-citation.json"} </w:instrText>
      </w:r>
      <w:r w:rsidR="00D12E79" w:rsidRPr="00D916F3">
        <w:fldChar w:fldCharType="separate"/>
      </w:r>
      <w:r w:rsidR="002E6597" w:rsidRPr="002E6597">
        <w:t>(Canetti et al., 2009)</w:t>
      </w:r>
      <w:r w:rsidR="00D12E79" w:rsidRPr="00D916F3">
        <w:fldChar w:fldCharType="end"/>
      </w:r>
      <w:r w:rsidR="00D12E79">
        <w:t xml:space="preserve">. Female extremist politicians in parliament might soften the perception of political extremism </w:t>
      </w:r>
      <w:r w:rsidR="00D12E79">
        <w:fldChar w:fldCharType="begin"/>
      </w:r>
      <w:r w:rsidR="00D12E79">
        <w:instrText xml:space="preserve"> ADDIN ZOTERO_ITEM CSL_CITATION {"citationID":"Q6i0Ezhs","properties":{"formattedCitation":"(Ben-Shitrit et al., 2022)","plainCitation":"(Ben-Shitrit et al., 2022)","noteIndex":0},"citationItems":[{"id":1077,"uris":["http://zotero.org/users/11665025/items/AVVPYD4I"],"itemData":{"id":1077,"type":"article-journal","abstract":"Across the globe, women are increasingly more visible as leaders and activists in radical-right parties and movements. Does women's visibility in radical-right politics, both institutionalized and non-institutionalized, affect public acceptance of radical-right agendas? The present paper proposes a ‘radical-right gender mainstreaming model’, arguing that women in radical-right politics are perceived by the general public through a prism of feminine gender stereotypes, which counteract radical-right parties’ and movements’ masculine stereotypes, thus ‘softening’ their image and making them more acceptable to the general public. Across four experimental studies conducted in the Israeli context, we find strong evidence that women's visibility as radical-right parliamentary representatives (Studies 1a and 1b) and as radical-right political activists (Studies 2a and 2b) increases acceptance of and support for these parties’ and movements’ agenda, particularly among women. We further demonstrate that these effects are mediated by the attribution of feminine stereotypes (warmth) to women versus men political actors. Implications of these findings are discussed.","container-title":"European Journal of Political Research","DOI":"10.1111/1475-6765.12442","ISSN":"1475-6765","issue":"1","language":"en","note":"_eprint: https://onlinelibrary.wiley.com/doi/pdf/10.1111/1475-6765.12442","page":"86-110","source":"Wiley Online Library","title":"‘Pinkwashing’ the radical-right: Gender and the mainstreaming of radical-right policies and actions","title-short":"‘Pinkwashing’ the radical-right","volume":"61","author":[{"family":"Ben-Shitrit","given":"Lihi"},{"family":"Elad-Strenger","given":"Julia"},{"family":"Hirsch-Hoefler","given":"Sivan"}],"issued":{"date-parts":[["2022"]]}}}],"schema":"https://github.com/citation-style-language/schema/raw/master/csl-citation.json"} </w:instrText>
      </w:r>
      <w:r w:rsidR="00D12E79">
        <w:fldChar w:fldCharType="separate"/>
      </w:r>
      <w:r w:rsidR="002E6597" w:rsidRPr="002E6597">
        <w:t>(Ben-Shitrit et al., 2022)</w:t>
      </w:r>
      <w:r w:rsidR="00D12E79">
        <w:fldChar w:fldCharType="end"/>
      </w:r>
      <w:r w:rsidR="00D12E79">
        <w:t xml:space="preserve">. </w:t>
      </w:r>
      <w:r w:rsidR="00D12E79" w:rsidRPr="006E0C44">
        <w:t xml:space="preserve">People associate different political meanings with the terms </w:t>
      </w:r>
      <w:r w:rsidR="005A61E4">
        <w:t>'</w:t>
      </w:r>
      <w:r w:rsidR="00D12E79" w:rsidRPr="006E0C44">
        <w:t>left</w:t>
      </w:r>
      <w:r w:rsidR="005A61E4">
        <w:t>'</w:t>
      </w:r>
      <w:r w:rsidR="00D12E79" w:rsidRPr="006E0C44">
        <w:t xml:space="preserve"> and </w:t>
      </w:r>
      <w:r w:rsidR="005A61E4">
        <w:t>'</w:t>
      </w:r>
      <w:r w:rsidR="00D12E79" w:rsidRPr="006E0C44">
        <w:t>right</w:t>
      </w:r>
      <w:r w:rsidR="005A61E4">
        <w:t>'</w:t>
      </w:r>
      <w:r w:rsidR="00D12E79" w:rsidRPr="006E0C44">
        <w:t xml:space="preserve"> </w:t>
      </w:r>
      <w:r w:rsidR="00D12E79" w:rsidRPr="006E0C44">
        <w:fldChar w:fldCharType="begin"/>
      </w:r>
      <w:r w:rsidR="003F717B">
        <w:instrText xml:space="preserve"> ADDIN ZOTERO_ITEM CSL_CITATION {"citationID":"jfeAYz8f","properties":{"formattedCitation":"(Bauer et al., 2017; Jungkunz, 2022)","plainCitation":"(Bauer et al., 2017; Jungkunz, 2022)","noteIndex":0},"citationItems":[{"id":1037,"uris":["http://zotero.org/users/11665025/items/6E6GS43F"],"itemData":{"id":1037,"type":"article-journal","abstract":"In order to measure ideology, political scientists heavily rely on the so-called left-right scale. Left and right are, however, abstract political concepts and may trigger different associations among respondents. If these associations vary systematically with other variables this may induce bias in the empirical study of ideology. We illustrate this problem using a unique survey that asked respondents open-ended questions regarding the meanings they attribute to the concepts “left” and “right”. We assess and categorize this textual data using topic modeling techniques. Our analysis shows that variation in respondents’ associations is systematically related to their self-placement on the left-right scale and also to variables such as education and respondents’ cultural background (East vs. West Germany). Our findings indicate that the interpersonal comparability of the left-right scale across individuals is impaired. More generally, our study suggests that we need more research on how respondents interpret various abstract concepts that we regularly use in survey questions.","container-title":"Political Behavior","DOI":"10.1007/s11109-016-9368-2","ISSN":"1573-6687","issue":"3","journalAbbreviation":"Polit Behav","language":"en","page":"553-583","source":"Springer Link","title":"Is the left-right scale a valid measure of ideology?","volume":"39","author":[{"family":"Bauer","given":"Paul C."},{"family":"Barberá","given":"Pablo"},{"family":"Ackermann","given":"Kathrin"},{"family":"Venetz","given":"Aaron"}],"issued":{"date-parts":[["2017",9,1]]}}},{"id":295,"uris":["http://zotero.org/users/11665025/items/3UE4UVGW"],"itemData":{"id":295,"type":"book","DOI":"10.1007/978-3-030-83336-7","event-place":"Cham","ISBN":"978-3-030-83335-0","language":"en","publisher":"Springer International Publishing","publisher-place":"Cham","source":"DOI.org (Crossref)","title":"The nature and origins of political extremism in Germany and beyond","URL":"https://link.springer.com/10.1007/978-3-030-83336-7","author":[{"family":"Jungkunz","given":"Sebastian"}],"accessed":{"date-parts":[["2024",2,25]]},"issued":{"date-parts":[["2022"]]}}}],"schema":"https://github.com/citation-style-language/schema/raw/master/csl-citation.json"} </w:instrText>
      </w:r>
      <w:r w:rsidR="00D12E79" w:rsidRPr="006E0C44">
        <w:fldChar w:fldCharType="separate"/>
      </w:r>
      <w:r w:rsidR="002E6597" w:rsidRPr="002E6597">
        <w:t>(Bauer et al., 2017; Jungkunz, 2022)</w:t>
      </w:r>
      <w:r w:rsidR="00D12E79" w:rsidRPr="006E0C44">
        <w:fldChar w:fldCharType="end"/>
      </w:r>
      <w:r w:rsidR="00D12E79" w:rsidRPr="006E0C44">
        <w:t xml:space="preserve">. </w:t>
      </w:r>
      <w:bookmarkEnd w:id="1"/>
      <w:r w:rsidR="00D12E79" w:rsidRPr="00AB737E">
        <w:rPr>
          <w:lang w:val="de-DE"/>
        </w:rPr>
        <w:t xml:space="preserve">Dolezal </w:t>
      </w:r>
      <w:r w:rsidR="00D12E79" w:rsidRPr="006E0C44">
        <w:fldChar w:fldCharType="begin"/>
      </w:r>
      <w:r w:rsidR="003F717B">
        <w:rPr>
          <w:lang w:val="de-DE"/>
        </w:rPr>
        <w:instrText xml:space="preserve"> ADDIN ZOTERO_ITEM CSL_CITATION {"citationID":"2HZ5ddT2","properties":{"formattedCitation":"(2010)","plainCitation":"(2010)","noteIndex":0},"citationItems":[{"id":1034,"uris":["http://zotero.org/users/11665025/items/IELWKC2R"],"itemData":{"id":1034,"type":"article-journal","abstract":"About 30 years after gradually gaining parliamentary representation, Green parties have become established political actors throughout Western Europe. Based on a comparative analysis of 12 countries, this study argues that the stability this party family has achieved is the result of an enduring coalition with groups of voters who not only share a particular set of attitudes but also several specific social characteristics. Such a structural perspective clearly contradicts earlier approaches in the literature that primarily explained the Green vote as being issue- or value-based and sometimes simply as representing political protest. Green voters, by contrast, are young, highly educated, work as social-cultural specialists or are students, are predominantly urban, and less attached to Christian churches. These structural components are connected with environmental, libertarian, and pro-immigration attitudes. With respect to new divides caused by globalization processes, especially the latter issue explicitly distinguishes them from other voter groups.","container-title":"West European Politics","DOI":"10.1080/01402381003654569","ISSN":"0140-2382","issue":"3","note":"_eprint: https://doi.org/10.1080/01402381003654569","page":"534–552","publisher":"Routledge","source":"Taylor and Francis+NEJM","title":"Exploring the stabilization of a political force: The social and attitudinal basis of Green parties in the age of globalization","title-short":"Exploring the Stabilization of a Political Force","volume":"33","author":[{"family":"Dolezal","given":"Martin"}],"issued":{"date-parts":[["2010",5,1]]}},"label":"page","suppress-author":true}],"schema":"https://github.com/citation-style-language/schema/raw/master/csl-citation.json"} </w:instrText>
      </w:r>
      <w:r w:rsidR="00D12E79" w:rsidRPr="006E0C44">
        <w:fldChar w:fldCharType="separate"/>
      </w:r>
      <w:r w:rsidR="002E6597" w:rsidRPr="002E6597">
        <w:rPr>
          <w:lang w:val="de-DE"/>
        </w:rPr>
        <w:t>(2010)</w:t>
      </w:r>
      <w:r w:rsidR="00D12E79" w:rsidRPr="006E0C44">
        <w:fldChar w:fldCharType="end"/>
      </w:r>
      <w:r w:rsidR="00D12E79" w:rsidRPr="00AB737E">
        <w:rPr>
          <w:lang w:val="de-DE"/>
        </w:rPr>
        <w:t xml:space="preserve"> demonstrates that European Green voters can be difficult to categorize on a left-right economic or social scale. </w:t>
      </w:r>
      <w:r w:rsidR="00D12E79" w:rsidRPr="006E0C44">
        <w:t xml:space="preserve">However, their environmental positions might be considered </w:t>
      </w:r>
      <w:r w:rsidR="005A61E4">
        <w:t>"</w:t>
      </w:r>
      <w:r w:rsidR="00D12E79" w:rsidRPr="006E0C44">
        <w:t>extreme</w:t>
      </w:r>
      <w:r w:rsidR="005A61E4">
        <w:t>"</w:t>
      </w:r>
      <w:r w:rsidR="00D12E79" w:rsidRPr="006E0C44">
        <w:t xml:space="preserve"> in mainstream politics.</w:t>
      </w:r>
      <w:r w:rsidR="00D12E79">
        <w:t xml:space="preserve"> </w:t>
      </w:r>
      <w:r w:rsidR="005C59D1">
        <w:t xml:space="preserve">This </w:t>
      </w:r>
      <w:r w:rsidR="00D12E79">
        <w:t>context</w:t>
      </w:r>
      <w:r w:rsidR="00892F8D">
        <w:t xml:space="preserve">-dependent challenge is further </w:t>
      </w:r>
      <w:r w:rsidR="00892F8D">
        <w:lastRenderedPageBreak/>
        <w:t xml:space="preserve">exacerbated by the </w:t>
      </w:r>
      <w:r w:rsidR="006F625E">
        <w:t>lack of standardized,</w:t>
      </w:r>
      <w:r w:rsidR="005C59D1">
        <w:t xml:space="preserve"> </w:t>
      </w:r>
      <w:r w:rsidR="005E3F15">
        <w:t xml:space="preserve">consistent </w:t>
      </w:r>
      <w:r w:rsidR="005C59D1">
        <w:t xml:space="preserve">survey </w:t>
      </w:r>
      <w:r w:rsidR="0084316D">
        <w:t>measures or scales</w:t>
      </w:r>
      <w:r w:rsidR="005E3F15">
        <w:t xml:space="preserve"> </w:t>
      </w:r>
      <w:r w:rsidR="005C59D1">
        <w:t xml:space="preserve">to </w:t>
      </w:r>
      <w:r w:rsidR="005E3F15">
        <w:t>assess political extremism</w:t>
      </w:r>
      <w:r>
        <w:t xml:space="preserve"> over time and</w:t>
      </w:r>
      <w:r w:rsidR="005E3F15">
        <w:t xml:space="preserve"> across </w:t>
      </w:r>
      <w:r w:rsidR="0084316D">
        <w:t xml:space="preserve">population groups </w:t>
      </w:r>
      <w:r w:rsidR="005E3F15" w:rsidRPr="0084316D">
        <w:fldChar w:fldCharType="begin"/>
      </w:r>
      <w:r w:rsidR="002E6597">
        <w:instrText xml:space="preserve"> ADDIN ZOTERO_ITEM CSL_CITATION {"citationID":"OrPzhzhd","properties":{"formattedCitation":"(Jungkunz, 2022)","plainCitation":"(Jungkunz, 2022)","noteIndex":0},"citationItems":[{"id":295,"uris":["http://zotero.org/users/11665025/items/3UE4UVGW"],"itemData":{"id":295,"type":"book","DOI":"10.1007/978-3-030-83336-7","event-place":"Cham","ISBN":"978-3-030-83335-0","language":"en","publisher":"Springer International Publishing","publisher-place":"Cham","source":"DOI.org (Crossref)","title":"The nature and origins of political extremism in Germany and beyond","URL":"https://link.springer.com/10.1007/978-3-030-83336-7","author":[{"family":"Jungkunz","given":"Sebastian"}],"accessed":{"date-parts":[["2024",2,25]]},"issued":{"date-parts":[["2022"]]}},"label":"page"}],"schema":"https://github.com/citation-style-language/schema/raw/master/csl-citation.json"} </w:instrText>
      </w:r>
      <w:r w:rsidR="005E3F15" w:rsidRPr="0084316D">
        <w:fldChar w:fldCharType="separate"/>
      </w:r>
      <w:r w:rsidR="002E6597" w:rsidRPr="002E6597">
        <w:t>(Jungkunz, 2022)</w:t>
      </w:r>
      <w:r w:rsidR="005E3F15" w:rsidRPr="0084316D">
        <w:fldChar w:fldCharType="end"/>
      </w:r>
      <w:r w:rsidR="0084316D">
        <w:t>.</w:t>
      </w:r>
    </w:p>
    <w:p w14:paraId="5DEDBF88" w14:textId="30F66FC6" w:rsidR="00D2321C" w:rsidRDefault="00D2321C" w:rsidP="004074B0">
      <w:pPr>
        <w:pStyle w:val="Heading2"/>
      </w:pPr>
      <w:r>
        <w:t xml:space="preserve">New Conceptualization </w:t>
      </w:r>
    </w:p>
    <w:p w14:paraId="1D0E7294" w14:textId="0D38A03C" w:rsidR="00A63C71" w:rsidRDefault="00F04212" w:rsidP="00A63C71">
      <w:pPr>
        <w:pStyle w:val="Paragraph"/>
      </w:pPr>
      <w:r w:rsidRPr="00F04212">
        <w:t xml:space="preserve">In response to these challenges, </w:t>
      </w:r>
      <w:r>
        <w:t>this paper</w:t>
      </w:r>
      <w:r w:rsidRPr="00F04212">
        <w:t xml:space="preserve"> advance</w:t>
      </w:r>
      <w:r>
        <w:t>s</w:t>
      </w:r>
      <w:r w:rsidRPr="00F04212">
        <w:t xml:space="preserve"> a new, multidimensional concept</w:t>
      </w:r>
      <w:r w:rsidR="00A63C71">
        <w:t>ualization</w:t>
      </w:r>
      <w:r w:rsidRPr="00F04212">
        <w:t xml:space="preserve"> of political extremism</w:t>
      </w:r>
      <w:r>
        <w:t xml:space="preserve"> </w:t>
      </w:r>
      <w:r w:rsidR="00A63C71">
        <w:t xml:space="preserve">(see </w:t>
      </w:r>
      <w:r w:rsidR="00A63C71">
        <w:fldChar w:fldCharType="begin"/>
      </w:r>
      <w:r w:rsidR="00A63C71">
        <w:instrText xml:space="preserve"> REF _Ref218103838 \h </w:instrText>
      </w:r>
      <w:r w:rsidR="00A63C71">
        <w:fldChar w:fldCharType="separate"/>
      </w:r>
      <w:r w:rsidR="00823ED9">
        <w:t xml:space="preserve">Figure </w:t>
      </w:r>
      <w:r w:rsidR="00823ED9">
        <w:rPr>
          <w:noProof/>
        </w:rPr>
        <w:t>1</w:t>
      </w:r>
      <w:r w:rsidR="00A63C71">
        <w:fldChar w:fldCharType="end"/>
      </w:r>
      <w:r w:rsidR="00A63C71">
        <w:t xml:space="preserve">) </w:t>
      </w:r>
      <w:r w:rsidR="00AC22B3">
        <w:t xml:space="preserve">grounded in three core dimensions: </w:t>
      </w:r>
      <w:r w:rsidR="00E97633">
        <w:t>c</w:t>
      </w:r>
      <w:r w:rsidR="00AC22B3">
        <w:t>ognitive (</w:t>
      </w:r>
      <w:r w:rsidR="00E97633">
        <w:t>i</w:t>
      </w:r>
      <w:r w:rsidR="00AC22B3">
        <w:t xml:space="preserve">deological positions), </w:t>
      </w:r>
      <w:r w:rsidR="00E97633">
        <w:t>b</w:t>
      </w:r>
      <w:r w:rsidR="00AC22B3">
        <w:t>ehavioral (</w:t>
      </w:r>
      <w:r w:rsidR="00E97633">
        <w:t>s</w:t>
      </w:r>
      <w:r w:rsidR="00AC22B3">
        <w:t xml:space="preserve">upport of violence), and </w:t>
      </w:r>
      <w:r w:rsidR="00E97633">
        <w:t>s</w:t>
      </w:r>
      <w:r w:rsidR="00AC22B3">
        <w:t>ocial (</w:t>
      </w:r>
      <w:r w:rsidR="00E97633">
        <w:t>i</w:t>
      </w:r>
      <w:r w:rsidR="00AC22B3">
        <w:t>ntolerance toward</w:t>
      </w:r>
      <w:r>
        <w:t xml:space="preserve"> outgroups)</w:t>
      </w:r>
      <w:bookmarkStart w:id="2" w:name="_Ref204116017"/>
      <w:r w:rsidR="00A63C71">
        <w:t>.</w:t>
      </w:r>
    </w:p>
    <w:p w14:paraId="63A168DB" w14:textId="1DF4385D" w:rsidR="002F5171" w:rsidRDefault="002F5171" w:rsidP="00A63C71">
      <w:pPr>
        <w:pStyle w:val="Paragraph"/>
      </w:pPr>
      <w:bookmarkStart w:id="3" w:name="_Ref218103838"/>
      <w:r>
        <w:t xml:space="preserve">Figure </w:t>
      </w:r>
      <w:fldSimple w:instr=" SEQ Figure \* ARABIC ">
        <w:r w:rsidR="00823ED9">
          <w:rPr>
            <w:noProof/>
          </w:rPr>
          <w:t>1</w:t>
        </w:r>
      </w:fldSimple>
      <w:bookmarkEnd w:id="2"/>
      <w:bookmarkEnd w:id="3"/>
      <w:r>
        <w:rPr>
          <w:lang w:val="en-US"/>
        </w:rPr>
        <w:t>: Conceptualization of Political Extremism</w:t>
      </w:r>
    </w:p>
    <w:p w14:paraId="0D837D61" w14:textId="6E768D64" w:rsidR="002F5171" w:rsidRDefault="00AC7038" w:rsidP="00F40CDC">
      <w:pPr>
        <w:jc w:val="center"/>
      </w:pPr>
      <w:r w:rsidRPr="00AC7038">
        <w:rPr>
          <w:noProof/>
        </w:rPr>
        <w:drawing>
          <wp:inline distT="0" distB="0" distL="0" distR="0" wp14:anchorId="551B3348" wp14:editId="6115916B">
            <wp:extent cx="4091940" cy="1968214"/>
            <wp:effectExtent l="0" t="0" r="3810" b="0"/>
            <wp:docPr id="1042488024" name="Picture 1" descr="A diagram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88024" name="Picture 1" descr="A diagram of a person's face&#10;&#10;AI-generated content may be incorrect."/>
                    <pic:cNvPicPr/>
                  </pic:nvPicPr>
                  <pic:blipFill>
                    <a:blip r:embed="rId9"/>
                    <a:stretch>
                      <a:fillRect/>
                    </a:stretch>
                  </pic:blipFill>
                  <pic:spPr>
                    <a:xfrm>
                      <a:off x="0" y="0"/>
                      <a:ext cx="4100056" cy="1972118"/>
                    </a:xfrm>
                    <a:prstGeom prst="rect">
                      <a:avLst/>
                    </a:prstGeom>
                  </pic:spPr>
                </pic:pic>
              </a:graphicData>
            </a:graphic>
          </wp:inline>
        </w:drawing>
      </w:r>
    </w:p>
    <w:p w14:paraId="0DFF9F28" w14:textId="4B971D31" w:rsidR="002F5171" w:rsidRDefault="00253304" w:rsidP="002A021C">
      <w:pPr>
        <w:pStyle w:val="Newparagraph"/>
      </w:pPr>
      <w:bookmarkStart w:id="4" w:name="_Hlk187059822"/>
      <w:r w:rsidRPr="00253304">
        <w:t xml:space="preserve">The </w:t>
      </w:r>
      <w:r w:rsidR="00E97633">
        <w:t>c</w:t>
      </w:r>
      <w:r w:rsidRPr="00253304">
        <w:t xml:space="preserve">ognitive dimension examines how </w:t>
      </w:r>
      <w:r w:rsidR="00FA1F99">
        <w:t>extreme</w:t>
      </w:r>
      <w:r w:rsidRPr="00253304">
        <w:t xml:space="preserve"> individuals hold their sociopolitical beliefs and the degree of rigidity characterizing their ideological commitments</w:t>
      </w:r>
      <w:r>
        <w:t xml:space="preserve"> </w:t>
      </w:r>
      <w:r w:rsidR="002F5171">
        <w:fldChar w:fldCharType="begin"/>
      </w:r>
      <w:r w:rsidR="002F5171">
        <w:instrText xml:space="preserve"> ADDIN ZOTERO_ITEM CSL_CITATION {"citationID":"sbdwVDkh","properties":{"formattedCitation":"(Jost et al., 2009)","plainCitation":"(Jost et al., 2009)","noteIndex":0},"citationItems":[{"id":184,"uris":["http://zotero.org/users/11665025/items/PGW669XB"],"itemData":{"id":184,"type":"article-journal","abstract":"Ideology has re-emerged as an important topic of inquiry among social, personality, and political psychologists. In this review, we examine recent theory and research concerning the structure, contents, and functions of ideological belief systems. We begin by deﬁning the construct and placing it in historical and philosophical context. We then examine different perspectives on how many (and what types of) dimensions individuals use to organize their political opinions. We investigate (a) how and to what extent individuals acquire the discursive contents associated with various ideologies, and (b) the social-psychological functions that these ideologies serve for those who adopt them. Our review highlights “elective afﬁnities” between situational and dispositional needs of individuals and groups and the structure and contents of speciﬁc ideologies. Finally, we consider the consequences of ideology, especially with respect to attitudes, evaluations, and processes of system justiﬁcation.","container-title":"Annual Review of Psychology","DOI":"10.1146/annurev.psych.60.110707.163600","ISSN":"0066-4308, 1545-2085","issue":"1","journalAbbreviation":"Annu. Rev. Psychol.","language":"en","page":"307-337","source":"DOI.org (Crossref)","title":"Political Ideology: Its Structure, Functions, and Elective Affinities","title-short":"Political Ideology","volume":"60","author":[{"family":"Jost","given":"John T."},{"family":"Federico","given":"Christopher M."},{"family":"Napier","given":"Jaime L."}],"issued":{"date-parts":[["2009",1,1]]}}}],"schema":"https://github.com/citation-style-language/schema/raw/master/csl-citation.json"} </w:instrText>
      </w:r>
      <w:r w:rsidR="002F5171">
        <w:fldChar w:fldCharType="separate"/>
      </w:r>
      <w:r w:rsidR="002E6597" w:rsidRPr="002E6597">
        <w:t>(Jost et al., 2009)</w:t>
      </w:r>
      <w:r w:rsidR="002F5171">
        <w:fldChar w:fldCharType="end"/>
      </w:r>
      <w:bookmarkEnd w:id="4"/>
      <w:r w:rsidR="002F5171">
        <w:t xml:space="preserve">. </w:t>
      </w:r>
      <w:r w:rsidRPr="00253304">
        <w:t xml:space="preserve">This perspective </w:t>
      </w:r>
      <w:r w:rsidR="00FA1F99">
        <w:rPr>
          <w:lang w:val="en-US" w:bidi="he-IL"/>
        </w:rPr>
        <w:t>combines</w:t>
      </w:r>
      <w:r w:rsidRPr="00253304">
        <w:t xml:space="preserve"> categorizing extremism along </w:t>
      </w:r>
      <w:r w:rsidR="00FA1F99">
        <w:t xml:space="preserve">the ideological </w:t>
      </w:r>
      <w:r w:rsidRPr="00253304">
        <w:t>spectrum</w:t>
      </w:r>
      <w:r w:rsidR="002F5171" w:rsidRPr="00FD7DB6">
        <w:t xml:space="preserve"> </w:t>
      </w:r>
      <w:bookmarkStart w:id="5" w:name="_Hlk187059891"/>
      <w:r w:rsidR="002F5171">
        <w:fldChar w:fldCharType="begin"/>
      </w:r>
      <w:r w:rsidR="002E6597">
        <w:instrText xml:space="preserve"> ADDIN ZOTERO_ITEM CSL_CITATION {"citationID":"ml758mHS","properties":{"formattedCitation":"(Schmid, 2013; Sedgwick, 2010)","plainCitation":"(Schmid, 2013; Sedgwick, 2010)","noteIndex":0},"citationItems":[{"id":312,"uris":["http://zotero.org/users/11665025/items/9D2M682Q"],"itemData":{"id":312,"type":"article-journal","container-title":"Terrorism and Counter-Terrorism Studies","DOI":"10.19165/2013.1.02","ISSN":"24680664","journalAbbreviation":"ICCT Research Papers","language":"en","source":"DOI.org (Crossref)","title":"Radicalisation, de-radicalisation, counter-radicalisation: A conceptual discussion and literature review","title-short":"Radicalisation, De-Radicalisation, Counter-Radicalisation","URL":"http://icct.nl/publication/radicalisation-de-radicalisation-counter-radicalisation-a-conceptual-discussion-and-literature-review/","author":[{"family":"Schmid","given":"Alex"}],"accessed":{"date-parts":[["2024",2,25]]},"issued":{"date-parts":[["2013"]]}}},{"id":1055,"uris":["http://zotero.org/users/11665025/items/74P5Z82R"],"itemData":{"id":1055,"type":"article-journal","abstract":"The ubiquity of use of the term “radicalization” suggests a consensus about its meaning, but this article shows through a review of a variety of definitions that no such consensus exists. The article then argues that use of the term is problematic not just for these reasons, but because it is used in three different contexts: the security context, the integration context, and the foreign-policy context. It is argued that each of these contexts has a different agenda, impacted in the case of the integration agenda by the rise of European “neo-nationalism,” and so each uses the term “radical” to mean something different. The use of one term to denote at least three different concepts risks serious confusion. The proposed solution is to abandon the attempt to use “radicalization” as an absolute concept.","container-title":"Terrorism and Political Violence","DOI":"10.1080/09546553.2010.491009","ISSN":"0954-6553","issue":"4","note":"_eprint: https://doi.org/10.1080/09546553.2010.491009","page":"479-494","publisher":"Routledge","source":"Taylor and Francis+NEJM","title":"The Concept of Radicalization as a Source of Confusion","volume":"22","author":[{"family":"Sedgwick","given":"Mark"}],"issued":{"date-parts":[["2010",9,14]]}}}],"schema":"https://github.com/citation-style-language/schema/raw/master/csl-citation.json"} </w:instrText>
      </w:r>
      <w:r w:rsidR="002F5171">
        <w:fldChar w:fldCharType="separate"/>
      </w:r>
      <w:r w:rsidR="002E6597" w:rsidRPr="002E6597">
        <w:t>(Schmid, 2013; Sedgwick, 2010)</w:t>
      </w:r>
      <w:r w:rsidR="002F5171">
        <w:fldChar w:fldCharType="end"/>
      </w:r>
      <w:bookmarkEnd w:id="5"/>
      <w:r w:rsidR="00FA1F99">
        <w:t>,</w:t>
      </w:r>
      <w:r>
        <w:t xml:space="preserve"> </w:t>
      </w:r>
      <w:r w:rsidR="00FA1F99">
        <w:t>adding</w:t>
      </w:r>
      <w:r>
        <w:t xml:space="preserve"> the inflexibility and intensity with which people maintain their views</w:t>
      </w:r>
      <w:r w:rsidR="002F5171">
        <w:t xml:space="preserve"> (Zmigrod et al., 2019). </w:t>
      </w:r>
      <w:r w:rsidRPr="00253304">
        <w:t xml:space="preserve">The </w:t>
      </w:r>
      <w:r w:rsidR="00E97633">
        <w:t>b</w:t>
      </w:r>
      <w:r w:rsidRPr="00253304">
        <w:t xml:space="preserve">ehavioral dimension </w:t>
      </w:r>
      <w:proofErr w:type="spellStart"/>
      <w:r w:rsidRPr="00253304">
        <w:t>analyzes</w:t>
      </w:r>
      <w:proofErr w:type="spellEnd"/>
      <w:r w:rsidRPr="00253304">
        <w:t xml:space="preserve"> the extent to which individuals endorse and justify unconventional political tactics</w:t>
      </w:r>
      <w:r>
        <w:t xml:space="preserve"> </w:t>
      </w:r>
      <w:r w:rsidR="002F5171" w:rsidRPr="00CF6D16">
        <w:t>(</w:t>
      </w:r>
      <w:bookmarkStart w:id="6" w:name="_Hlk187060448"/>
      <w:r w:rsidR="002F5171" w:rsidRPr="00CF6D16">
        <w:t>Backer &amp; Tausch</w:t>
      </w:r>
      <w:bookmarkEnd w:id="6"/>
      <w:r w:rsidR="002F5171">
        <w:t xml:space="preserve">, 2017; Shuman et al., 2016; Schumpe et al., 2020), </w:t>
      </w:r>
      <w:r>
        <w:t>spanning from unlawful demonstrations to armed confrontation. This aspect concerns the acceptance of forceful means to achieve political goals</w:t>
      </w:r>
      <w:r w:rsidR="002F5171" w:rsidRPr="00FD7DB6">
        <w:t xml:space="preserve"> </w:t>
      </w:r>
      <w:bookmarkStart w:id="7" w:name="_Hlk187060433"/>
      <w:r w:rsidR="002F5171">
        <w:fldChar w:fldCharType="begin"/>
      </w:r>
      <w:r w:rsidR="00196E59">
        <w:instrText xml:space="preserve"> ADDIN ZOTERO_ITEM CSL_CITATION {"citationID":"6d8XDHpr","properties":{"formattedCitation":"(Steinhoff &amp; Zwerman, 2008)","plainCitation":"(Steinhoff &amp; Zwerman, 2008)","noteIndex":0},"citationItems":[{"id":170,"uris":["http://zotero.org/users/11665025/items/53UI7C23"],"itemData":{"id":170,"type":"article-journal","container-title":"Qualitative Sociology","DOI":"10.1007/s11133-008-9111-3","ISSN":"1573-7837","issue":"3","journalAbbreviation":"Qual Sociol","language":"en","page":"213-220","source":"Springer Link","title":"Introduction to the special issue on political violence","volume":"31","author":[{"family":"Steinhoff","given":"Patricia"},{"family":"Zwerman","given":"Gilda"}],"issued":{"date-parts":[["2008",9,1]]}}}],"schema":"https://github.com/citation-style-language/schema/raw/master/csl-citation.json"} </w:instrText>
      </w:r>
      <w:r w:rsidR="002F5171">
        <w:fldChar w:fldCharType="separate"/>
      </w:r>
      <w:r w:rsidR="002E6597" w:rsidRPr="002E6597">
        <w:t>(Steinhoff &amp; Zwerman, 2008)</w:t>
      </w:r>
      <w:r w:rsidR="002F5171">
        <w:fldChar w:fldCharType="end"/>
      </w:r>
      <w:bookmarkEnd w:id="7"/>
      <w:r>
        <w:t>, including attacks on governmental structures intended to redistribute authority and resources</w:t>
      </w:r>
      <w:r w:rsidR="00A4797E">
        <w:t xml:space="preserve"> (Weber, 1978)</w:t>
      </w:r>
      <w:r w:rsidR="005B7099">
        <w:t xml:space="preserve">, </w:t>
      </w:r>
      <w:r>
        <w:t xml:space="preserve">as well as violence between social groups </w:t>
      </w:r>
      <w:r w:rsidR="00A4797E">
        <w:t xml:space="preserve">(Tilly, 2003). </w:t>
      </w:r>
      <w:bookmarkStart w:id="8" w:name="_Hlk187060640"/>
      <w:r w:rsidRPr="00253304">
        <w:t xml:space="preserve">The </w:t>
      </w:r>
      <w:r w:rsidRPr="00253304">
        <w:lastRenderedPageBreak/>
        <w:t>continuum extends from lawful</w:t>
      </w:r>
      <w:r>
        <w:t>, peaceful activities to acts of civil disobedience, and then</w:t>
      </w:r>
      <w:r w:rsidRPr="00253304">
        <w:t xml:space="preserve"> to </w:t>
      </w:r>
      <w:r w:rsidR="00895904">
        <w:t>violence</w:t>
      </w:r>
      <w:r w:rsidRPr="00253304">
        <w:t xml:space="preserve"> and terrorist operations</w:t>
      </w:r>
      <w:r>
        <w:t xml:space="preserve"> </w:t>
      </w:r>
      <w:bookmarkEnd w:id="8"/>
      <w:r w:rsidR="002A021C">
        <w:fldChar w:fldCharType="begin"/>
      </w:r>
      <w:r w:rsidR="002A021C">
        <w:instrText xml:space="preserve"> ADDIN ZOTERO_ITEM CSL_CITATION {"citationID":"NcuYCt7W","properties":{"formattedCitation":"(Shuman et al., 2021)","plainCitation":"(Shuman et al., 2021)","noteIndex":0},"citationItems":[{"id":266,"uris":["http://zotero.org/users/11665025/items/J4KBHZXI"],"itemData":{"id":266,"type":"article-journal","abstract":"Collective action research tends to focus on motivations of the disadvantaged group, rather than on which tactics are effective at driving the advantaged group to make concessions to the disadvantaged. We focused on the potential of nonnormative nonviolent action as a tactic to generate support for concessions among advantaged group members who are resistant to social change. We propose that this tactic, relative to normative nonviolent and to violent action, is particularly effective because it reflects constructive disruption: a delicate balance between disruption (which can put pressure on the advantaged group to respond) and perceived constructive intentions (which can help ensure that the response to action is a conciliatory one). We test these hypotheses across 4 contexts (total N ϭ 3650). Studies 1–3 demonstrate that nonnormative nonviolent action (compared with inaction, normative nonviolent action, and violent action) is uniquely effective at increasing support for concessions to the disadvantaged among resistant advantaged group members (compared with advantaged group members more open to social change). Study 3 shows that constructive disruption mediates this effect. Study 4 shows that perceiving a real-world ongoing protest as constructively disruptive predicts support for the disadvantaged, whereas Study 5 examines these processes longitudinally over 2 months in the context of an ongoing social movement. Taken together, we show that nonnormative nonviolent action can be an effective tactic for generating support for concessions to the disadvantaged among those who are most resistant because it generates constructive disruption.","container-title":"Journal of Personality and Social Psychology","DOI":"10.1037/pspi0000333","ISSN":"1939-1315, 0022-3514","issue":"4","journalAbbreviation":"Journal of Personality and Social Psychology","language":"en","page":"819-841","source":"DOI.org (Crossref)","title":"Disrupting the system constructively: Testing the effectiveness of nonnormative nonviolent collective action.","title-short":"Disrupting the system constructively","volume":"121","author":[{"family":"Shuman","given":"Eric"},{"family":"Saguy","given":"Tamar"},{"family":"Van Zomeren","given":"Martijn"},{"family":"Halperin","given":"Eran"}],"issued":{"date-parts":[["2021",10]]}}}],"schema":"https://github.com/citation-style-language/schema/raw/master/csl-citation.json"} </w:instrText>
      </w:r>
      <w:r w:rsidR="002A021C">
        <w:fldChar w:fldCharType="separate"/>
      </w:r>
      <w:r w:rsidR="002A021C" w:rsidRPr="002A021C">
        <w:t>(Shuman et al., 2021)</w:t>
      </w:r>
      <w:r w:rsidR="002A021C">
        <w:fldChar w:fldCharType="end"/>
      </w:r>
      <w:r w:rsidR="002F5171">
        <w:t>.</w:t>
      </w:r>
      <w:r w:rsidR="006F625E">
        <w:t xml:space="preserve"> </w:t>
      </w:r>
      <w:bookmarkStart w:id="9" w:name="_Hlk187060728"/>
      <w:r w:rsidRPr="00253304">
        <w:t xml:space="preserve">The </w:t>
      </w:r>
      <w:r w:rsidR="00E97633">
        <w:t>s</w:t>
      </w:r>
      <w:r w:rsidRPr="00253304">
        <w:t>ocial dimension addresses how individuals exclude others from political participation and personal association, irrespective of those individuals</w:t>
      </w:r>
      <w:r w:rsidR="005A61E4">
        <w:t>'</w:t>
      </w:r>
      <w:r w:rsidRPr="00253304">
        <w:t xml:space="preserve"> group memberships. This aspect embodies the denial of pluralistic values and the erosion of equal rights and freedoms for all members of society</w:t>
      </w:r>
      <w:r>
        <w:t xml:space="preserve"> </w:t>
      </w:r>
      <w:r w:rsidR="002F5171">
        <w:fldChar w:fldCharType="begin"/>
      </w:r>
      <w:r w:rsidR="003F717B">
        <w:instrText xml:space="preserve"> ADDIN ZOTERO_ITEM CSL_CITATION {"citationID":"vgdIIChm","properties":{"formattedCitation":"(Backes, 2010; Scruton, 2007)","plainCitation":"(Backes, 2010; Scruton, 2007)","noteIndex":0},"citationItems":[{"id":153,"uris":["http://zotero.org/users/11665025/items/JC8LJ3TU"],"itemData":{"id":153,"type":"book","DOI":"10.4324/9780203867259","edition":"1","ISBN":"978-0-203-86725-9","language":"en","publisher":"Routledge","source":"DOI.org (Crossref)","title":"Political extremes: A conceptual history from antiquity to the present","title-short":"Political Extremes","URL":"https://www.taylorfrancis.com/books/9780203867259","author":[{"family":"Backes","given":"Uwe"}],"accessed":{"date-parts":[["2024",2,25]]},"issued":{"date-parts":[["2010"]]}}},{"id":156,"uris":["http://zotero.org/users/11665025/items/8623YYLU"],"itemData":{"id":156,"type":"book","abstract":"This dictionary includes some 1790 entries covering every aspect of political thought and the revolutionary changes since the dictionary was first published in 1982. It will be of use to students of political science, philosophy, and jurisprudence","edition":"3","event-place":"Basingstoke","ISBN":"978-1-4039-8951-2","language":"en","number-of-pages":"744","publisher":"Palgrave Macmillan","publisher-place":"Basingstoke","source":"K10plus ISBN","title":"The Palgrave Macmillan dictionary of political thought","author":[{"family":"Scruton","given":"Roger"}],"issued":{"date-parts":[["2007"]]}}}],"schema":"https://github.com/citation-style-language/schema/raw/master/csl-citation.json"} </w:instrText>
      </w:r>
      <w:r w:rsidR="002F5171">
        <w:fldChar w:fldCharType="separate"/>
      </w:r>
      <w:r w:rsidR="002E6597" w:rsidRPr="002E6597">
        <w:t>(Backes, 2010; Scruton, 2007)</w:t>
      </w:r>
      <w:r w:rsidR="002F5171">
        <w:fldChar w:fldCharType="end"/>
      </w:r>
      <w:bookmarkEnd w:id="9"/>
      <w:r w:rsidR="002F5171" w:rsidRPr="00FD7DB6">
        <w:t xml:space="preserve">. </w:t>
      </w:r>
      <w:r w:rsidR="0074194D">
        <w:t>It includes unwillingness to extend full civic participation to others</w:t>
      </w:r>
      <w:r w:rsidR="002F5171" w:rsidRPr="00FD7DB6">
        <w:t xml:space="preserve"> </w:t>
      </w:r>
      <w:bookmarkStart w:id="10" w:name="_Hlk187060790"/>
      <w:r w:rsidR="002F5171">
        <w:fldChar w:fldCharType="begin"/>
      </w:r>
      <w:r w:rsidR="002E6597">
        <w:instrText xml:space="preserve"> ADDIN ZOTERO_ITEM CSL_CITATION {"citationID":"4ZHz0gAq","properties":{"formattedCitation":"(Gibson &amp; Bingham, 1982; Sullivan et al., 1979)","plainCitation":"(Gibson &amp; Bingham, 1982; Sullivan et al., 1979)","noteIndex":0},"citationItems":[{"id":217,"uris":["http://zotero.org/users/11665025/items/6B26CW3Y"],"itemData":{"id":217,"type":"article-journal","abstract":"Research on political tolerance has made substantial progress in recent years by improving the measures used to gauge public opinion. Much attention has been devoted to developing indicators that control for group affect. Controls for activity affect have not been pursued as vigorously. Indeed, much of the progress has been along the lines of specifying tolerance for unpopular political minorities rather than tolerance for unorthodox or threatening political activities. More generally, tolerance research has not been sensitive to the variety of contextual factors that determine citizen attitudes in civil-liberties disputes.\nA new approach to measuring political tolerance is presented in this article. The measures developed in this approach disaggregate the traditional measures of tolerance (such as Stouffer's (1955) support for “a communist making a speech in your community”). In particular, scales measuring support for freedom of speech, freedom of assembly, and freedom of political association are presented. As multiple-indicator measures posing conflicts among values, these scales are related to traditional tolerance measures. However, because they reflect the complexity and conflict associated with actual civil-liberties disputes, they will no doubt serve as better predictors of opinions and behaviors in actual disputes.","container-title":"The American Political Science Review","DOI":"10.2307/1963734","journalAbbreviation":"The American Political Science Review","page":"603–620","source":"ResearchGate","title":"On the Conceptualization and Measurement of Political Tolerance","volume":"76","author":[{"family":"Gibson","given":"James"},{"family":"Bingham","given":"Richard"}],"issued":{"date-parts":[["1982",9,1]]}}},{"id":215,"uris":["http://zotero.org/users/11665025/items/ETACLCIP"],"itemData":{"id":215,"type":"article-journal","abstract":"This article proposes an alternative conceptualization of political tolerance, a new measurement strategy consistent with that conceptualization, and some new findings based upon this measurement strategy. Briefly put, we argue that tolerance presumes a political objection to a group or to an idea, and if such an objection does not arise, neither does the problem of tolerance. Working from this understanding, we argue that previous efforts to measure tolerance have failed because they have asked respondents about groups preselected by the investigators. Those groups selected as points of reference in measuring tolerance have generally been of a leftist persuasion. Our measurement strategy allowed respondents themselves to select a political group to which they were strongly opposed. They were then asked a series of questions testing the extent to which they were prepared to extend procedural claims to these self-selected targets. Using this approach, we found little change between the 1950s and the 1970s in levels of tolerance in the United States, a result that contradicts much recent research on the problem.","container-title":"The American Political Science Review","DOI":"10.2307/1955404","ISSN":"0003-0554","issue":"3","page":"781-794","publisher":"[American Political Science Association, Cambridge University Press]","source":"JSTOR","title":"An alternative conceptualization of political tolerance: Illusory increases 1950s-1970s","title-short":"An Alternative Conceptualization of Political Tolerance","volume":"73","author":[{"family":"Sullivan","given":"John L."},{"family":"Piereson","given":"James"},{"family":"Marcus","given":"George E."}],"issued":{"date-parts":[["1979"]]}}}],"schema":"https://github.com/citation-style-language/schema/raw/master/csl-citation.json"} </w:instrText>
      </w:r>
      <w:r w:rsidR="002F5171">
        <w:fldChar w:fldCharType="separate"/>
      </w:r>
      <w:r w:rsidR="002E6597" w:rsidRPr="002E6597">
        <w:t>(Gibson &amp; Bingham, 1982; Sullivan et al., 1979)</w:t>
      </w:r>
      <w:r w:rsidR="002F5171">
        <w:fldChar w:fldCharType="end"/>
      </w:r>
      <w:r w:rsidR="002F5171">
        <w:t xml:space="preserve"> </w:t>
      </w:r>
      <w:bookmarkEnd w:id="10"/>
      <w:r w:rsidR="0074194D">
        <w:t>alongside interpersonal distancing driven by political or demographic differences</w:t>
      </w:r>
      <w:r w:rsidR="002F5171">
        <w:t xml:space="preserve"> </w:t>
      </w:r>
      <w:bookmarkStart w:id="11" w:name="_Hlk187060839"/>
      <w:r w:rsidR="002F5171">
        <w:fldChar w:fldCharType="begin"/>
      </w:r>
      <w:r w:rsidR="003F717B">
        <w:instrText xml:space="preserve"> ADDIN ZOTERO_ITEM CSL_CITATION {"citationID":"tK4Nyqlg","properties":{"formattedCitation":"(van Prooijen &amp; Krouwel, 2019)","plainCitation":"(van Prooijen &amp; Krouwel, 2019)","dontUpdate":true,"noteIndex":0},"citationItems":[{"id":154,"uris":["http://zotero.org/users/11665025/items/5CS9KHJQ"],"itemData":{"id":154,"type":"article-journal","container-title":"Current Directions in Psychological Science","DOI":"10.1177/0963721418817755","issue":"2","language":"en","page":"159-163","title":"Psychological features of extreme political ideologies","volume":"28","author":[{"family":"Prooijen","given":"Jan-Willem","non-dropping-particle":"van"},{"family":"Krouwel","given":"André P. M."}],"issued":{"date-parts":[["2019",4]]}}}],"schema":"https://github.com/citation-style-language/schema/raw/master/csl-citation.json"} </w:instrText>
      </w:r>
      <w:r w:rsidR="002F5171">
        <w:fldChar w:fldCharType="separate"/>
      </w:r>
      <w:r w:rsidR="002F5171" w:rsidRPr="00CF6D16">
        <w:t>(</w:t>
      </w:r>
      <w:r w:rsidR="002F5171">
        <w:t xml:space="preserve">Ben Shitrit et al., 2017; </w:t>
      </w:r>
      <w:r w:rsidR="002F5171" w:rsidRPr="00CF6D16">
        <w:t>van Prooijen &amp; Krouwel, 2019)</w:t>
      </w:r>
      <w:r w:rsidR="002F5171">
        <w:fldChar w:fldCharType="end"/>
      </w:r>
      <w:bookmarkEnd w:id="11"/>
      <w:r w:rsidR="002F5171" w:rsidRPr="00FD7DB6">
        <w:t xml:space="preserve">. </w:t>
      </w:r>
      <w:bookmarkStart w:id="12" w:name="_Hlk187060888"/>
      <w:r w:rsidR="0074194D">
        <w:t xml:space="preserve">This dimension investigates how people delegitimize rival perspectives and communities </w:t>
      </w:r>
      <w:r w:rsidR="002F5171">
        <w:fldChar w:fldCharType="begin"/>
      </w:r>
      <w:r w:rsidR="00A311F6">
        <w:instrText xml:space="preserve"> ADDIN ZOTERO_ITEM CSL_CITATION {"citationID":"xsIgfF4R","properties":{"formattedCitation":"(Dono et al., 2018; Schmid, 2014)","plainCitation":"(Dono et al., 2018; Schmid, 2014)","dontUpdate":true,"noteIndex":0},"citationItems":[{"id":327,"uris":["http://zotero.org/users/11665025/items/PBPUQ7AH"],"itemData":{"id":327,"type":"article-journal","abstract":"Background: Extreme political attitudes have been on the rise since the economic and political crisis of 2008. This surge of extremism constitutes a real threat, as attitudes like these are dangerous for the peaceful, democratic functioning of society. A new cognitive style, Monopoly on Truth has been proposed, based mainly on the concept of naïve realism. Method: The development and validation of a scale for this new construct is the main objective of this study. A pilot study (N=209) was performed in order to gather the items that make up the ﬁnal scale; and a main study (N=369) was conducted to test the validity and predictive power of the scale. Results: The validation is successful as the scale shows good reliability scores, while also proving to be linked to extremism-related constructs. Additionally, the scale shows signs of not being ideologically biased. Conclusion: Results show the scale to be a very useful tool for studying extremism and other political trends. Future directions and other implications of the Monopoly on Truth are also discussed.","container-title":"Psicothema","DOI":"10.7334/psicothema2017.423","issue":"3","language":"en","page":"330-336","source":"DOI.org (CSL JSON)","title":"Development and validation of the Monopoly on Truth Scale: A measure of political extremism","volume":"30","author":[{"family":"Dono","given":"Marcos"},{"family":"Alzate","given":"Mónica"},{"family":"Seoane","given":"Gloria"}],"issued":{"date-parts":[["2018",8]]}}},{"id":311,"uris":["http://zotero.org/users/11665025/items/3Q2A53I6"],"itemData":{"id":311,"type":"article-journal","container-title":"Terrorism and Counter-Terrorism Studies","DOI":"10.19165/2014.1.05","ISSN":"24680664","journalAbbreviation":"ICCT Research Papers","language":"en","source":"DOI.org (Crossref)","title":"Violent and non-violent extremism: Two sides of the same coin?","title-short":"Violent and Non-Violent Extremism","URL":"http://icct.nl/publication/violent-and-non-violent-extremism-two-sides-of-the-same-coin/","author":[{"family":"Schmid","given":"Alex"}],"accessed":{"date-parts":[["2024",2,25]]},"issued":{"date-parts":[["2014"]]}}}],"schema":"https://github.com/citation-style-language/schema/raw/master/csl-citation.json"} </w:instrText>
      </w:r>
      <w:r w:rsidR="002F5171">
        <w:fldChar w:fldCharType="separate"/>
      </w:r>
      <w:r w:rsidR="002F5171" w:rsidRPr="00CF6D16">
        <w:t>(Dono et al., 2018; Schmid, 2014</w:t>
      </w:r>
      <w:r w:rsidR="002F5171">
        <w:t xml:space="preserve">; </w:t>
      </w:r>
      <w:r w:rsidR="002F5171" w:rsidRPr="00F83923">
        <w:t>Waddell et al.</w:t>
      </w:r>
      <w:r w:rsidR="002F5171">
        <w:t xml:space="preserve">, </w:t>
      </w:r>
      <w:r w:rsidR="002F5171" w:rsidRPr="00F83923">
        <w:t>2024</w:t>
      </w:r>
      <w:r w:rsidR="002F5171" w:rsidRPr="00CF6D16">
        <w:t>)</w:t>
      </w:r>
      <w:r w:rsidR="002F5171">
        <w:fldChar w:fldCharType="end"/>
      </w:r>
      <w:bookmarkEnd w:id="12"/>
      <w:r w:rsidR="0074194D">
        <w:t>, independent of the particular ideologies or identities involved</w:t>
      </w:r>
      <w:r w:rsidR="002F5171" w:rsidRPr="00192961">
        <w:t xml:space="preserve">. </w:t>
      </w:r>
    </w:p>
    <w:p w14:paraId="203E31B1" w14:textId="19B77E74" w:rsidR="006F625E" w:rsidRDefault="00A02CB8" w:rsidP="006F625E">
      <w:pPr>
        <w:pStyle w:val="Newparagraph"/>
      </w:pPr>
      <w:r>
        <w:t xml:space="preserve">The theoretical contribution consists of </w:t>
      </w:r>
      <w:r w:rsidR="006F625E">
        <w:t xml:space="preserve">synthesizing the </w:t>
      </w:r>
      <w:r w:rsidR="006F625E" w:rsidRPr="009D201A">
        <w:t>most</w:t>
      </w:r>
      <w:r w:rsidR="00707BC0" w:rsidRPr="009D201A">
        <w:t xml:space="preserve"> </w:t>
      </w:r>
      <w:r w:rsidR="00411CB3">
        <w:t>frequently cited dimensions</w:t>
      </w:r>
      <w:r w:rsidR="009E7513">
        <w:rPr>
          <w:rStyle w:val="FootnoteReference"/>
        </w:rPr>
        <w:footnoteReference w:id="1"/>
      </w:r>
      <w:r w:rsidR="00411CB3">
        <w:t xml:space="preserve"> </w:t>
      </w:r>
      <w:r w:rsidR="009D201A" w:rsidRPr="009D201A">
        <w:t>in the academic discourse into a comprehensive, multidimensional conceptualization of political extremism, thereby capturing the complex interplay among</w:t>
      </w:r>
      <w:r w:rsidR="006F625E" w:rsidRPr="009D201A">
        <w:t xml:space="preserve"> cognitive</w:t>
      </w:r>
      <w:r w:rsidR="006F625E">
        <w:rPr>
          <w:lang w:val="en-US" w:bidi="he-IL"/>
        </w:rPr>
        <w:t>, behavioral, and social manifestations of extreme political attitudes and behaviors</w:t>
      </w:r>
      <w:r w:rsidR="006F625E">
        <w:t xml:space="preserve">. </w:t>
      </w:r>
      <w:r>
        <w:t xml:space="preserve">Although the research selects specific dimensions, the conceptualization is not </w:t>
      </w:r>
      <w:r w:rsidR="006F625E">
        <w:t xml:space="preserve">constrained by particular ideological orientations, violence categories, or target outgroups. </w:t>
      </w:r>
    </w:p>
    <w:p w14:paraId="48124D89" w14:textId="7C85B0F5" w:rsidR="0059100A" w:rsidRPr="0059100A" w:rsidRDefault="00FA430D" w:rsidP="004074B0">
      <w:pPr>
        <w:pStyle w:val="Heading1"/>
      </w:pPr>
      <w:bookmarkStart w:id="13" w:name="_Hlk193464411"/>
      <w:r>
        <w:t xml:space="preserve">Destabilizing Events and Political Extremism </w:t>
      </w:r>
      <w:bookmarkEnd w:id="13"/>
    </w:p>
    <w:p w14:paraId="0AE46BED" w14:textId="0D4A8C1C" w:rsidR="00A75FCA" w:rsidRDefault="00721214" w:rsidP="002E6597">
      <w:pPr>
        <w:pStyle w:val="Paragraph"/>
      </w:pPr>
      <w:r>
        <w:t xml:space="preserve">Destabilizing events directly threaten the stability, legitimacy, or continuity of established political </w:t>
      </w:r>
      <w:r w:rsidR="00FA430D">
        <w:t xml:space="preserve">systems. </w:t>
      </w:r>
      <w:r>
        <w:t>While existing research has typically focused on specific types of events in isolation, usually linking individual events to a single dimension of political extremism</w:t>
      </w:r>
      <w:r w:rsidR="008F2973">
        <w:rPr>
          <w:lang w:val="en-US"/>
        </w:rPr>
        <w:t xml:space="preserve"> </w:t>
      </w:r>
      <w:r w:rsidR="008F2973">
        <w:rPr>
          <w:lang w:val="en-US"/>
        </w:rPr>
        <w:fldChar w:fldCharType="begin"/>
      </w:r>
      <w:r w:rsidR="003F717B">
        <w:rPr>
          <w:lang w:val="en-US"/>
        </w:rPr>
        <w:instrText xml:space="preserve"> ADDIN ZOTERO_ITEM CSL_CITATION {"citationID":"H0cw5T9Q","properties":{"formattedCitation":"(Canetti et al., 2013, 2018; Hirsch-Hoefler et al., 2014; Ozer et al., 2025)","plainCitation":"(Canetti et al., 2013, 2018; Hirsch-Hoefler et al., 2014; Ozer et al., 2025)","noteIndex":0},"citationItems":[{"id":1863,"uris":["http://zotero.org/users/11665025/items/6S2AIAL3"],"itemData":{"id":1863,"type":"article-journal","abstract":"Exposure to political violence can lead to various political and psychological outcomes. Using the protracted Israeli-Palestinian conflict as a natural laboratory, we explore the way in which exposure to conflict violence leads to changes in citizens’ political attitudes and behavior, offering a model for a stress-based process of political extremism. This model encapsulates three basic components in a causal chain leading to political extremism: exposure to political violence, psychological distress, and enhanced perceptions of threat. We find that prolonged exposure to political violence increases psychological distress, which in turn evokes stronger perceptions of threat that foment political attitudes eschewing compromise and favoring militarism. This causal chain fuels a destructive cycle of violence that is hard to break. Understanding these psychological and political consequences of exposure to political violence can help to shed light on the barriers that too often stymie peacemaking efforts and contribute to the deterioration of intractable conflicts around the globe. Thus, this review offers insights applicable to conflict zones around the world and suggests policy implications for therapeutic intervention and potential pathways to conflict resolution.","container-title":"European Psychologist","DOI":"10.1027/1016-9040/a000158","ISSN":"1016-9040","issue":"4","page":"263-272","publisher":"Hogrefe Publishing","source":"econtent.hogrefe.com (Atypon)","title":"Exposure to political violence and political extremism","volume":"18","author":[{"family":"Canetti","given":"Daphna"},{"family":"Hall","given":"Brian J."},{"family":"Rapaport","given":"Carmit"},{"family":"Wayne","given":"Carly"}],"issued":{"date-parts":[["2013",1]]}}},{"id":1190,"uris":["http://zotero.org/users/11665025/items/LCGSSF7J"],"itemData":{"id":1190,"type":"article-journal","abstract":"This research tested whether chronic or contextually activated Holocaust exposure is associated with more extreme political attitudes among Israeli Jews. Study 1 (\n              N\n               = 57), and Study 2 (\n              N\n               = 61) found that Holocaust primes increased support for aggressive policies against a current adversary and decreased support for political compromise via an amplified sense of identification with Zionist ideology. These effects, however, were obtained only under an exclusive but not an inclusive framing of the Holocaust. Study 3 (\n              N\n               = 152) replicated these findings in a field study conducted around Holocaust Remembrance Day and showed that the link between Holocaust exposure, ideological identification, and militancy also occurs in real‐life settings. Study 4 (\n              N\n               = 867) demonstrated in a nationally representative survey that Holocaust survivors and their descendants exhibited amplified existential threat responses to contemporary political violence, which were associated with militancy and opposition to peaceful compromises. Together, these studies illustrate the\n              Holocaustization\n              of Israeli political cognitions 70 years later.","container-title":"Political Psychology","DOI":"10.1111/pops.12384","ISSN":"0162-895X, 1467-9221","issue":"1","journalAbbreviation":"Political Psychology","language":"en","page":"3-21","source":"DOI.org (Crossref)","title":"Collective trauma from the lab to the real world: The effects of the Holocaust on contemporary Israeli political cognitions","title-short":"Collective Trauma From the Lab to the Real World","volume":"39","author":[{"family":"Canetti","given":"Daphna"},{"family":"Hirschberger","given":"Gilad"},{"family":"Rapaport","given":"Carmit"},{"family":"Elad‐Strenger","given":"Julia"},{"family":"Ein‐Dor","given":"Tsachi"},{"family":"Rosenzveig","given":"Shifra"},{"family":"Pyszczynski","given":"Tom"},{"family":"Hobfoll","given":"Stevan E."}],"issued":{"date-parts":[["2018",2]]}}},{"id":1108,"uris":["http://zotero.org/users/11665025/items/KB64GR8E"],"itemData":{"id":1108,"type":"article-journal","abstract":"Does exposure to political violence prompt civilians to support peace? We investigate the determinants of civilian attitudes toward peace during ongoing conflict using two original panel datasets representing Israelis (n=996) and Palestinians in East Jerusalem, the West Bank and Gaza (n=631) (149 communities in total). A multi-group estimation analysis shows that individual-level exposure to terrorism and political violence makes the subject populations less likely to support peace efforts. The findings also confirm psychological distress and threat perceptions as the mechanism that bridges exposure to violence and greater militancy over time. The study breaks ground in showing that individual-level exposure – necessarily accompanied by psychological distress and threat perceptions – is key to understanding civilians’ refusal to compromise in prolonged conflict.","container-title":"British Journal of Political Science","DOI":"10.1017/S0007123414000374","ISSN":"0007-1234, 1469-2112","issue":"4","language":"en","page":"845-859","source":"Cambridge University Press","title":"Conflict will Harden your Heart: Exposure to Violence, Psychological Distress, and Peace Barriers in Israel and Palestine","title-short":"Conflict will Harden your Heart","volume":"46","author":[{"family":"Hirsch-Hoefler","given":"Sivan"},{"family":"Canetti","given":"Daphna"},{"family":"Rapaport","given":"Carmit"},{"family":"Hobfoll","given":"Stevan E."}],"issued":{"date-parts":[["2014"]]}}},{"id":2256,"uris":["http://zotero.org/users/11665025/items/9J8CUCB6"],"itemData":{"id":2256,"type":"article-journal","abstract":"Reports have indicated an increase in anti-Jewish hostility and antisemitic incidents following the Hamas terrorist attack in Israel on October 7, 2023, and the subsequent war in Gaza. In two studies (NStudy1 = 354 and NStudy2 = 490), we experimentally investigated the impact of priming with material referring to the war in Gaza on hostility toward Jews, and on antisemitism as well as other various ethnic groups (to determine whether this exposure specifically affected attitudes toward Jews or had a broader impact on ethnic attitudes in general). We also examined the indirect relationship between political orientation and anti-Jewish hostility and antisemitism, through sociopolitical factors such as global identification, out-group identity fusion, social dominance orientation, and misanthropy. Our results showed an experimental effect of increased negative attitudes toward Jews, as well as toward Britons and Scandinavians, but did not reveal an increase in antisemitism. This effect was not replicated in Study 2, possibly due to reduced media attention. The indirect effects suggested that political orientation (left vs. right-wing) was positively associated with anti-Jewish hostility and antisemitism through social dominance orientation. In contrast, conservative political orientation was negatively associated with antisemitism through out-group identity fusion with the Palestinian people. Our findings imply two distinct political pathways to antisemitism: one linked with classical political right-wing orientation and the other to a complex identity-based conflation of attitudes toward Israel with prejudice toward the Jewish ethnic group.","container-title":"International Journal of Intercultural Relations","DOI":"10.1016/j.ijintrel.2025.102184","ISSN":"0147-1767","journalAbbreviation":"International Journal of Intercultural Relations","page":"102184","source":"ScienceDirect","title":"The impact of globalized conflicts: Examining attitudes toward Jews among Britons in the political context of the war in Gaza","title-short":"The impact of globalized conflicts","volume":"107","author":[{"family":"Ozer","given":"Simon"},{"family":"Obaidi","given":"Milan"},{"family":"Bergh","given":"Robin"}],"issued":{"date-parts":[["2025",7,1]]}}}],"schema":"https://github.com/citation-style-language/schema/raw/master/csl-citation.json"} </w:instrText>
      </w:r>
      <w:r w:rsidR="008F2973">
        <w:rPr>
          <w:lang w:val="en-US"/>
        </w:rPr>
        <w:fldChar w:fldCharType="separate"/>
      </w:r>
      <w:r w:rsidR="002E6597" w:rsidRPr="002E6597">
        <w:rPr>
          <w:rFonts w:ascii="Times New Roman" w:hAnsi="Times New Roman" w:cs="Times New Roman"/>
        </w:rPr>
        <w:t>(Canetti et al., 2013, 2018; Hirsch-Hoefler et al., 2014; Ozer et al., 2025)</w:t>
      </w:r>
      <w:r w:rsidR="008F2973">
        <w:rPr>
          <w:lang w:val="en-US"/>
        </w:rPr>
        <w:fldChar w:fldCharType="end"/>
      </w:r>
      <w:r>
        <w:t xml:space="preserve">, there </w:t>
      </w:r>
      <w:r>
        <w:lastRenderedPageBreak/>
        <w:t xml:space="preserve">has been a limited systematic examination of how different categories of destabilizing events affect multiple dimensions of extremism in </w:t>
      </w:r>
      <w:r w:rsidR="006A1E4C">
        <w:t>distinct</w:t>
      </w:r>
      <w:r>
        <w:t xml:space="preserve"> ways. Moreover, </w:t>
      </w:r>
      <w:r w:rsidR="006A1E4C">
        <w:t>various</w:t>
      </w:r>
      <w:r>
        <w:t xml:space="preserve"> political orientations may respond differently to the same events</w:t>
      </w:r>
      <w:r w:rsidR="00200851">
        <w:t xml:space="preserve">, </w:t>
      </w:r>
      <w:r>
        <w:t>where identical stimuli may increase extremism within certain ideological groups while reducing it within others</w:t>
      </w:r>
      <w:r w:rsidR="009D598B">
        <w:t xml:space="preserve">, </w:t>
      </w:r>
      <w:r>
        <w:t xml:space="preserve">making separate analysis by political </w:t>
      </w:r>
      <w:r w:rsidR="005E1B30">
        <w:t>o</w:t>
      </w:r>
      <w:r>
        <w:t xml:space="preserve">rientation necessary to capture these differential effects. The present study addresses both research gaps by systematically examining how various types of destabilizing events affect multiple dimensions of political extremism across different political orientations. </w:t>
      </w:r>
    </w:p>
    <w:p w14:paraId="49D40B00" w14:textId="4BD902BB" w:rsidR="00A75FCA" w:rsidRDefault="006A1E4C" w:rsidP="002E6597">
      <w:pPr>
        <w:pStyle w:val="Newparagraph"/>
      </w:pPr>
      <w:r>
        <w:t>V</w:t>
      </w:r>
      <w:r w:rsidR="00FA430D">
        <w:t>arious destabilizing events can contribute to the emergence of</w:t>
      </w:r>
      <w:r w:rsidR="00FA430D" w:rsidRPr="00652B84">
        <w:t xml:space="preserve"> political extremism. National crises, including wars and economic depressions, consistently correlate with increased extremism domestically, both on the right and the left </w:t>
      </w:r>
      <w:r w:rsidR="00FA430D" w:rsidRPr="00652B84">
        <w:fldChar w:fldCharType="begin"/>
      </w:r>
      <w:r w:rsidR="002E6597">
        <w:instrText xml:space="preserve"> ADDIN ZOTERO_ITEM CSL_CITATION {"citationID":"oJHZu5FK","properties":{"formattedCitation":"(Kofman &amp; Garfin, 2020; Rasler, 1986; Stohl, 1975; Vlachos, 2016)","plainCitation":"(Kofman &amp; Garfin, 2020; Rasler, 1986; Stohl, 1975; Vlachos, 2016)","noteIndex":0},"citationItems":[{"id":1823,"uris":["http://zotero.org/users/11665025/items/E7KIAFHK"],"itemData":{"id":1823,"type":"article-journal","abstract":"The novel Coronavirus (SARS-CoV-2) and the associated disease it causes, COVID-19, have caused unprecedented social disruption. Due to sweeping stay-at-home orders across the United States and internationally, many victims and survivors of domestic violence (DV), now forced to isolate with their abusers, run the risk of new or escalating violence. Numerous advocates, organizations, and service centers anticipated this: upticks in domestic violence were reported in many regions soon after stay-at-home directives were announced. In this commentary, we delineate some of the recent events leading up to the reported spike in DV, review literature on previously documented disaster-related DV surges, and discuss some of the unique challenges, dilemmas, and risks victims and survivors face during this pandemic. We conclude with recommendations to allocate resources to DV front-liners and utilize existing DV guidelines for disaster preparedness, response, and recovery.","container-title":"Psychological trauma : theory, research, practice and policy","DOI":"10.1037/tra0000866","ISSN":"1942-9681","issue":"Suppl 1","journalAbbreviation":"Psychol Trauma","page":"S199-S201","PMID":"32478558","PMCID":"PMC7720288","source":"PubMed Central","title":"Home is not always a haven: The domestic violence crisis amid the COVID-19 pandemic","title-short":"Home is not always a haven","volume":"12","author":[{"family":"Kofman","given":"Yasmin"},{"family":"Garfin","given":"Dana Rose"}],"issued":{"date-parts":[["2020",8]]}}},{"id":1638,"uris":["http://zotero.org/users/11665025/items/KIFZWMFG"],"itemData":{"id":1638,"type":"article-journal","abstract":"War, postwar demobilization, and economic depression are national crises that ultimately test the state's capacity to respond simultaneously to internal and external challenges. This analysis probes the nexus between crises and domestic violence, investigating how this relationship is mediated by the influence of two variables: the severity of crisis and the presence or absence of government accommodation. Box-Tiao impact assessment models are used to estimate the separate and combined effects of American involvements in wars (the Spanish-American War, World Wars I and II, and the Korean and Vietnam Wars), their postwar periods, and the 1930s depression on economic, social, and political forms of American violence from 1890 to 1970. After establishing historical evidence for the role of national accommodation, I demonstrate that strong, positive associations between severe crises and domestic violence are to be found during the tenure of nonaccommodating administrations. Accommodating governments are associated with either negative or historically weak linkages between severe crises and domestic violence. Overall, the evidence underscores the benefit of using broad theoretical perspectives for understanding the linkages between international and domestic conflict.","container-title":"The American Political Science Review","DOI":"10.2307/1960545","ISSN":"0003-0554","issue":"3","page":"921-945","publisher":"[American Political Science Association, Cambridge University Press]","source":"JSTOR","title":"War Accommodation, and Violence in the United States, 1890-1970","volume":"80","author":[{"family":"Rasler","given":"Karen"}],"issued":{"date-parts":[["1986"]]}}},{"id":1635,"uris":["http://zotero.org/users/11665025/items/YNTSHMDZ"],"itemData":{"id":1635,"type":"article-journal","abstract":"This paper is concerned with the indirect systemic linkages whereby conflict at one level (in this case war involvement) generates systemic changes at the domestic level, which in turn alter the character of conflict at that level. To evaluate these linkages, I examine the changes in the magnitude and intensity of economic, social, and political violence in the domestic system that occur before, during, and after war involvement. Data have been collected on 2,861 violent events during this period. The impact of war on the pattern of these events is evaluated through the use of an interrupted time series, quasi-experimental design. The analysis indicates that war did have a significant, although different, impact on the pattern of domestic violence for each of the five wars.","container-title":"Journal of Conflict Resolution","DOI":"10.1177/002200277501900301","ISSN":"0022-0027","issue":"3","language":"en","page":"379-416","publisher":"SAGE Publications Inc","source":"SAGE Journals","title":"War and domestic political violence: The case of the United States 1890-1970","title-short":"War and Domestic Political Violence","volume":"19","author":[{"family":"Stohl","given":"Michael"}],"issued":{"date-parts":[["1975",9,1]]}}},{"id":1642,"uris":["http://zotero.org/users/11665025/items/QLFV79BG"],"itemData":{"id":1642,"type":"report","abstract":"This article investigates the long-run impact of war participation on political attitudes. During WWII men from Eastern France were forcibly conscripted to the German army. At the end of the War these veterans,  ghting for the Wehrmacht and commonly called the \"Despite our will\", had to re-integrate a French state they felt had let them down. In municipalities where more men were incorporated, radical right-wing candidates receive today more electoral support. I provide evidence that the underlying attitude re ected in this voting behaviour is reduced political trust. This attitude, latent in early years after the War, was transformed into observable electoral support with the emergence of radical parties with an anti-establishment discourse. These  ndings suggest that particular attention should be held on the demobilization and reintegration of veterans in war-torn countries in order to ensure long-term political stability.","language":"en","publisher":"Department of Economics (DEEP), University of Lausanne","source":"Zotero","title":"The legacy of war exposure on political radicalization","URL":"https://serval.unil.ch/resource/serval:BIB_99F83F0E52A3.P001/REF.pdf","author":[{"family":"Vlachos","given":"Stephanos"}],"issued":{"date-parts":[["2016",8]]}}}],"schema":"https://github.com/citation-style-language/schema/raw/master/csl-citation.json"} </w:instrText>
      </w:r>
      <w:r w:rsidR="00FA430D" w:rsidRPr="00652B84">
        <w:fldChar w:fldCharType="separate"/>
      </w:r>
      <w:r w:rsidR="002E6597" w:rsidRPr="002E6597">
        <w:t>(Kofman &amp; Garfin, 2020; Rasler, 1986; Stohl, 1975; Vlachos, 2016)</w:t>
      </w:r>
      <w:r w:rsidR="00FA430D" w:rsidRPr="00652B84">
        <w:fldChar w:fldCharType="end"/>
      </w:r>
      <w:r w:rsidR="00FA430D" w:rsidRPr="00652B84">
        <w:t>. Immigration crises</w:t>
      </w:r>
      <w:r w:rsidR="00F24EED">
        <w:t xml:space="preserve"> and large refugee influxes</w:t>
      </w:r>
      <w:r w:rsidR="00FA430D" w:rsidRPr="00652B84">
        <w:t xml:space="preserve"> boost support for radical-right parties </w:t>
      </w:r>
      <w:bookmarkStart w:id="14" w:name="_Hlk187061523"/>
      <w:r w:rsidR="00FA430D" w:rsidRPr="0093200B">
        <w:fldChar w:fldCharType="begin"/>
      </w:r>
      <w:r w:rsidR="003F717B">
        <w:instrText xml:space="preserve"> ADDIN ZOTERO_ITEM CSL_CITATION {"citationID":"np8RBhhV","properties":{"formattedCitation":"(Dinas et al., 2019)","plainCitation":"(Dinas et al., 2019)","noteIndex":0},"citationItems":[{"id":1626,"uris":["http://zotero.org/users/11665025/items/U6HDJIXB"],"itemData":{"id":1626,"type":"article-journal","abstract":"Does exposure to the refugee crisis fuel support for extreme-right parties? Despite heated debates about the political repercussions of the refugee crisis in Europe, there exists very little—and sometimes conflicting—evidence with which to assess the impact of a large influx of refugees on natives’ political attitudes and behavior. We provide causal evidence from a natural experiment in Greece, where some Aegean islands close to the Turkish border experienced sudden and drastic increases in the number of Syrian refugees while other islands slightly farther away—but with otherwise similar institutional and socioeconomic characteristics—did not. Placebo tests suggest that precrisis trends in vote shares for exposed and nonexposed islands were virtually identical. This allows us to obtain unbiased estimates of the electoral consequences of the refugee crisis. Our study shows that among islands that faced a massive but transient inflow of refugees passing through just before the September 2015 election, vote shares for Golden Dawn, the most extreme-right party in Europe, moderately increased by 2 percentage points (a 44 percent increase at the average). The finding that mere exposure to the refugee crisis is sufficient to fuel support for extreme-right parties has important implications for our theoretical understanding of the drivers of antirefugee backlash.","container-title":"Political Analysis","DOI":"10.1017/pan.2018.48","ISSN":"1047-1987, 1476-4989","issue":"2","language":"en","page":"244-254","source":"Cambridge University Press","title":"Waking up the Golden Dawn: Does exposure to the refugee crisis increase support for extreme-right parties?","title-short":"Waking Up the Golden Dawn","volume":"27","author":[{"family":"Dinas","given":"Elias"},{"family":"Matakos","given":"Konstantinos"},{"family":"Xefteris","given":"Dimitrios"},{"family":"Hangartner","given":"Dominik"}],"issued":{"date-parts":[["2019",4]]}}}],"schema":"https://github.com/citation-style-language/schema/raw/master/csl-citation.json"} </w:instrText>
      </w:r>
      <w:r w:rsidR="00FA430D" w:rsidRPr="0093200B">
        <w:fldChar w:fldCharType="separate"/>
      </w:r>
      <w:r w:rsidR="002E6597" w:rsidRPr="002E6597">
        <w:t>(Dinas et al., 2019)</w:t>
      </w:r>
      <w:r w:rsidR="00FA430D" w:rsidRPr="0093200B">
        <w:fldChar w:fldCharType="end"/>
      </w:r>
      <w:bookmarkEnd w:id="14"/>
      <w:r w:rsidR="00FA430D" w:rsidRPr="00652B84">
        <w:t xml:space="preserve"> while state repression and the rise of the far-right contribute to left-wing extremism  </w:t>
      </w:r>
      <w:r w:rsidR="00FA430D" w:rsidRPr="00652B84">
        <w:fldChar w:fldCharType="begin"/>
      </w:r>
      <w:r w:rsidR="003F717B">
        <w:instrText xml:space="preserve"> ADDIN ZOTERO_ITEM CSL_CITATION {"citationID":"jmAK2YWr","properties":{"formattedCitation":"(Kr\\uc0\\u252{}sselmann &amp; Weggemans, 2023)","plainCitation":"(Krüsselmann &amp; Weggemans, 2023)","noteIndex":0},"citationItems":[{"id":1833,"uris":["http://zotero.org/users/11665025/items/M8BU5RDE"],"itemData":{"id":1833,"type":"chapter","abstract":"Most individuals with radical ideologies will not evolve into violent extremists, let alone terrorists. Understanding the dynamics and various pathways into a radical ideology is nonetheless important. However, empirical research on pathways into left-wing radicalization is scarce. In this chapter, we define the concept of left-wing radicalization in relation to extremism and provide an overview of existing research on left-wing radicalization. Drawing on case studies and our own empirical research, we discuss both individual motives for participation in radical left groups and macro-level factors in the political and societal context that impact the growth or demise of radical left groups.","container-title":"The Palgrave Handbook of Left-Wing Extremism, Volume 1","DOI":"10.1007/978-3-031-30897-0_3","event-place":"Cham","ISBN":"978-3-031-30897-0","language":"en","page":"55-68","publisher":"Springer International Publishing","publisher-place":"Cham","source":"Springer Link","title":"Radicalization and left-wing extremism","URL":"https://doi.org/10.1007/978-3-031-30897-0_3","author":[{"family":"Krüsselmann","given":"Katharina"},{"family":"Weggemans","given":"Daan"}],"editor":[{"family":"Zúquete","given":"José Pedro"}],"accessed":{"date-parts":[["2025",3,22]]},"issued":{"date-parts":[["2023"]]}}}],"schema":"https://github.com/citation-style-language/schema/raw/master/csl-citation.json"} </w:instrText>
      </w:r>
      <w:r w:rsidR="00FA430D" w:rsidRPr="00652B84">
        <w:fldChar w:fldCharType="separate"/>
      </w:r>
      <w:r w:rsidR="002E6597" w:rsidRPr="002E6597">
        <w:t>(Krüsselmann &amp; Weggemans, 2023)</w:t>
      </w:r>
      <w:r w:rsidR="00FA430D" w:rsidRPr="00652B84">
        <w:fldChar w:fldCharType="end"/>
      </w:r>
      <w:r w:rsidR="00FA430D" w:rsidRPr="00652B84">
        <w:t>. Events perceived as group-based injustice</w:t>
      </w:r>
      <w:r w:rsidR="00A4797E">
        <w:t>s or in-group disadvantages similarly catalyz</w:t>
      </w:r>
      <w:r w:rsidR="00FA430D" w:rsidRPr="00652B84">
        <w:t xml:space="preserve">e political violence </w:t>
      </w:r>
      <w:bookmarkStart w:id="15" w:name="_Hlk187061698"/>
      <w:r w:rsidR="00FA430D" w:rsidRPr="00652B84">
        <w:fldChar w:fldCharType="begin"/>
      </w:r>
      <w:r w:rsidR="00A311F6">
        <w:instrText xml:space="preserve"> ADDIN ZOTERO_ITEM CSL_CITATION {"citationID":"HJeiQFFM","properties":{"formattedCitation":"(Pauwels &amp; Heylen, 2020; Pretus et al., 2023)","plainCitation":"(Pauwels &amp; Heylen, 2020; Pretus et al., 2023)","noteIndex":0},"citationItems":[{"id":1632,"uris":["http://zotero.org/users/11665025/items/8FNB2BW3"],"itemData":{"id":1632,"type":"article-journal","abstract":"The present study aims at explaining individual differences in self-reported political violence. We integrate key concepts from the field of criminology that are conceptually related to social identity theory (Flemish identity, feelings of group superiority, and ethnocentrism) and the dual process model on prejudice (perceived injustice, perception of threat, and right-wing authoritarianism). In our model, social identity concepts are hypothesized to play a mediating role between mechanisms derived from the dual process model and political violence. To test the integrated model, a model was run for testing the strength of direct and indirect effects of perceived injustice, authoritarianism thrill-seeking behavior, feelings of superiority, Flemish nationalism, ethnocentrism, right-wing extremist beliefs, and exposure to racist peers on political violence. The analyses are based on a web survey (N = 723) among adolescents and young adults in Flanders, Belgium. Results indicate that social identity variables play an important mediation role between perceptions and ideological attitudes related to injustice, and political violence. The main path revealed by our study is that perceived injustice may result in heightened perceptions of threat, which in turn positively influence levels of right-wing authoritarianism. Mediated by ethnocentrism, this variable has a significant and positive effect on right-wing beliefs, which in turn has a positive effect on political violence.","container-title":"Journal of Interpersonal Violence","DOI":"10.1177/0886260517713711","ISSN":"0886-2605","issue":"21-22","journalAbbreviation":"J Interpers Violence","language":"en","page":"4276-4302","publisher":"SAGE Publications Inc","source":"SAGE Journals","title":"Perceived Group Threat, Perceived Injustice, and Self-Reported Right-Wing Violence: An Integrative Approach to the Explanation Right-Wing Violence","title-short":"Perceived Group Threat, Perceived Injustice, and Self-Reported Right-Wing Violence","volume":"35","author":[{"family":"Pauwels","given":"Lieven J. R."},{"family":"Heylen","given":"Ben"}],"issued":{"date-parts":[["2020",11,1]]}}},{"id":1629,"uris":["http://zotero.org/users/11665025/items/AAWRRTSD"],"itemData":{"id":1629,"type":"article-journal","abstract":"Perceptions of injustice are central to fueling violent political action, though not everyone within a social movement will support violence in response to collective grievances. So who supports violence and who doesn’t after perceived injustice? To address this question, we followed up on the same individuals (N = 805) before and after a court decision in Catalonia (Spain) sentencing nine separatist leaders to prison, an event that led to mass violent and nonviolent protests. We tested three hypotheses by combining classical theories of collective action and more recent extremism models and found support for all three hypotheses. Namely, individuals who exhibited steeper increases in radicalism (controlling for activism) after the court ruling were those who had previously experienced police violence (social dynamics hypothesis), those who identified as separatists (separatist identity hypothesis), and those who held Catalan independence as a sacred value (sacred value hypothesis). Our findings offer a complex picture of real-world conflict settings, where the three evaluated factors seem to be intertwined. We discuss potential venues to restore inter-group relations after perceived injustice, with an assessment of how likely these strategies are to succeed based on the three adopted perspectives.","container-title":"Journal of Social and Political Psychology","DOI":"10.5964/jspp.11255","ISSN":"2195-3325","issue":"2","language":"en","license":"Copyright (c) 2023 Clara Pretus, Hammad Sheikh, Nafees Hamid, Scott Atran","page":"730-746","source":"jspp.psychopen.eu","title":"Predicting Radicalism After Perceived Injustice: The Role of Separatist Identity, Sacred Values, and Police Violence","title-short":"Predicting Radicalism After Perceived Injustice","volume":"11","author":[{"family":"Pretus","given":"Clara"},{"family":"Sheikh","given":"Hammad"},{"family":"Hamid","given":"Nafees"},{"family":"Atran","given":"Scott"}],"issued":{"date-parts":[["2023",12,22]]}}}],"schema":"https://github.com/citation-style-language/schema/raw/master/csl-citation.json"} </w:instrText>
      </w:r>
      <w:r w:rsidR="00FA430D" w:rsidRPr="00652B84">
        <w:fldChar w:fldCharType="separate"/>
      </w:r>
      <w:r w:rsidR="002E6597" w:rsidRPr="002E6597">
        <w:t>(Pauwels &amp; Heylen, 2020; Pretus et al., 2023)</w:t>
      </w:r>
      <w:r w:rsidR="00FA430D" w:rsidRPr="00652B84">
        <w:fldChar w:fldCharType="end"/>
      </w:r>
      <w:bookmarkEnd w:id="15"/>
      <w:r w:rsidR="00FA430D" w:rsidRPr="00652B84">
        <w:t xml:space="preserve">. The influence of electoral events on extremism appears more complex; although most studies indicate temporary spikes in partisan hostility during elections that subsequently subside </w:t>
      </w:r>
      <w:bookmarkStart w:id="16" w:name="_Hlk187061782"/>
      <w:r w:rsidR="00FA430D" w:rsidRPr="00652B84">
        <w:fldChar w:fldCharType="begin"/>
      </w:r>
      <w:r w:rsidR="002E6597">
        <w:instrText xml:space="preserve"> ADDIN ZOTERO_ITEM CSL_CITATION {"citationID":"kLi6XxCI","properties":{"formattedCitation":"(Jungkunz et al., 2024; Michelitch &amp; Utych, 2018)","plainCitation":"(Jungkunz et al., 2024; Michelitch &amp; Utych, 2018)","noteIndex":0},"citationItems":[{"id":1244,"uris":["http://zotero.org/users/11665025/items/XQZ99ZB8"],"itemData":{"id":1244,"type":"article-journal","abstract":"This paper introduces three new scales to measure left- and right-wing radical as well as general extremist attitudes that can be applied across Western European countries. We therefore propose a thorough conceptualization of extremist attitudes that consists of two dimensions: general extremism, by which we understand attitudes that oppose the constitutional democratic state, and another dimension that differentiates between right- and leftwing radicalism by which we understand people who take far-reaching but often one-sided positions on political issues (e.g., on nationalism or anti-imperialism) by advocating fundamental socio-political change. Based on data from Germany, Great Britain, and the Netherlands (n = 6,201) we created short indices for general extremism and left- and right-wing radicalism. We check for convergence validity by assessing the psychometric properties of the extracted indices, i.e. their internal coherence and the degree to which a scale is able to distinguish strongly extremist and non-extremist individuals. Finally, we correlate the scales with various constructs that are likely related to extremist attitudes in order to assure external or construct validity. The results indicate that the three scales are highly valid and applicable across three Western European countries. Overall, we find that about two to four percent of citizens in each country hold left-wing or right-wing extremist attitudes.","container-title":"PLOS ONE","DOI":"10.1371/journal.pone.0300661","ISSN":"1932-6203","issue":"5","journalAbbreviation":"PLoS ONE","language":"en","page":"e0300661","source":"DOI.org (Crossref)","title":"Measuring political radicalism and extremism in surveys: Three new scales","title-short":"Measuring political radicalism and extremism in surveys","volume":"19","author":[{"family":"Jungkunz","given":"Sebastian"},{"family":"Helbling","given":"Marc"},{"family":"Osenbrügge","given":"Nina"}],"editor":[{"family":"Horita","given":"Yutaka"}],"issued":{"date-parts":[["2024",5,8]]}}},{"id":1620,"uris":["http://zotero.org/users/11665025/items/FVQFVGE9"],"itemData":{"id":1620,"type":"article-journal","abstract":"Elections are defining elements of democracy but occur infrequently. Given that elections evoke mass mobilization, we expect citizen attachments to political parties to wax during election season and wane in between. By leveraging data from 86 countries across the globe to investigate the effect of the electoral cycle on partisanship, we find that the predicted probability of being close to a political party rises 6 percentage points from cycle midpoint to an election—an effect rivaling traditional key determinants of partisanship. Further, fluctuations are larger where the persistence of party presence throughout the cycle is weaker and socioeconomic development is lower. These findings challenge the discipline to introduce dynamic political events into the study of partisanship, alongside “static” individual-level and country-level determinants. Additionally, presumed cross-country or temporal differences in mass partisanship levels, long used as indicators of democratic consolidation or party system institutionalization, may be confounded by electoral cycle effects.","container-title":"The Journal of Politics","DOI":"10.1086/694783","ISSN":"0022-3816","issue":"2","page":"412-427","publisher":"[The University of Chicago Press, Southern Political Science Association]","source":"JSTOR","title":"Electoral Cycle Fluctuations in Partisanship: Global Evidence from Eighty-Six Countries","title-short":"Electoral Cycle Fluctuations in Partisanship","volume":"80","author":[{"family":"Michelitch","given":"Kristin"},{"family":"Utych","given":"Stephen"}],"issued":{"date-parts":[["2018"]]}}}],"schema":"https://github.com/citation-style-language/schema/raw/master/csl-citation.json"} </w:instrText>
      </w:r>
      <w:r w:rsidR="00FA430D" w:rsidRPr="00652B84">
        <w:fldChar w:fldCharType="separate"/>
      </w:r>
      <w:r w:rsidR="002E6597" w:rsidRPr="002E6597">
        <w:t>(Jungkunz et al., 2024; Michelitch &amp; Utych, 2018)</w:t>
      </w:r>
      <w:r w:rsidR="00FA430D" w:rsidRPr="00652B84">
        <w:fldChar w:fldCharType="end"/>
      </w:r>
      <w:bookmarkEnd w:id="16"/>
      <w:r w:rsidR="00FA430D" w:rsidRPr="00652B84">
        <w:t>. Evidence from the 2022 U</w:t>
      </w:r>
      <w:r w:rsidR="00411CB3">
        <w:t>S</w:t>
      </w:r>
      <w:r w:rsidR="00FA430D" w:rsidRPr="00652B84">
        <w:t xml:space="preserve"> elections suggests </w:t>
      </w:r>
      <w:r w:rsidR="00A4797E">
        <w:t>that these elections have had more persistent effects on partisan animosity and support for political violence</w:t>
      </w:r>
      <w:r w:rsidR="00FA430D" w:rsidRPr="00652B84">
        <w:t xml:space="preserve"> </w:t>
      </w:r>
      <w:bookmarkStart w:id="17" w:name="_Hlk187061849"/>
      <w:r w:rsidR="00FA430D" w:rsidRPr="00652B84">
        <w:fldChar w:fldCharType="begin"/>
      </w:r>
      <w:r w:rsidR="002E6597">
        <w:instrText xml:space="preserve"> ADDIN ZOTERO_ITEM CSL_CITATION {"citationID":"buC0pGh1","properties":{"formattedCitation":"(Fasching et al., 2024)","plainCitation":"(Fasching et al., 2024)","noteIndex":0},"citationItems":[{"id":1614,"uris":["http://zotero.org/users/11665025/items/WYAYI4T2"],"itemData":{"id":1614,"type":"article-journal","abstract":"The scholarly literature suggests that, as elections approach, political tensions intensify, and, as they pass, tensions return to pre-election levels. Using a massive new dataset of 66,000 interviews (cross-sectional and panel), we find that animosities are durable and consistent over the course of the 2022 US election. Individuals with more exposure to the campaign tend to be more polarized, and this sentiment endures post-election. Contrary to expectations, partisans who voted for the winning candidate are no less polarized post-election than those on the losing side. In closing, we note that the durability of polarization has important implications not only for our understanding of the scope of partisan divides but also for efforts designed to ameliorate polarization.","container-title":"Science Advances","DOI":"10.1126/sciadv.adm9198","issue":"36","page":"eadm9198","publisher":"American Association for the Advancement of Science","source":"science.org (Atypon)","title":"Persistent polarization: The unexpected durability of political animosity around US elections","title-short":"Persistent polarization","volume":"10","author":[{"family":"Fasching","given":"Neil"},{"family":"Iyengar","given":"Shanto"},{"family":"Lelkes","given":"Yphtach"},{"family":"Westwood","given":"Sean J."}],"issued":{"date-parts":[["2024",9,4]]}}}],"schema":"https://github.com/citation-style-language/schema/raw/master/csl-citation.json"} </w:instrText>
      </w:r>
      <w:r w:rsidR="00FA430D" w:rsidRPr="00652B84">
        <w:fldChar w:fldCharType="separate"/>
      </w:r>
      <w:r w:rsidR="002E6597" w:rsidRPr="002E6597">
        <w:t>(Fasching et al., 2024)</w:t>
      </w:r>
      <w:r w:rsidR="00FA430D" w:rsidRPr="00652B84">
        <w:fldChar w:fldCharType="end"/>
      </w:r>
      <w:bookmarkEnd w:id="17"/>
      <w:r w:rsidR="00FA430D" w:rsidRPr="00652B84">
        <w:t xml:space="preserve">. Natural disasters and health crises create particularly fertile ground for extremism, with evidence showing that such events enable extremist groups to exploit public anxiety through disinformation and anti-government narratives </w:t>
      </w:r>
      <w:bookmarkStart w:id="18" w:name="_Hlk187061920"/>
      <w:r w:rsidR="00FA430D" w:rsidRPr="00652B84">
        <w:fldChar w:fldCharType="begin"/>
      </w:r>
      <w:r w:rsidR="00051595">
        <w:instrText xml:space="preserve"> ADDIN ZOTERO_ITEM CSL_CITATION {"citationID":"eUZfqfkN","properties":{"formattedCitation":"(Khalil, 2021)","plainCitation":"(Khalil, 2021)","noteIndex":0},"citationItems":[{"id":1644,"uris":["http://zotero.org/users/11665025/items/582PBYWN"],"itemData":{"id":1644,"type":"article-journal","container-title":"Australian Strategic Policy Institute","language":"en","source":"Zotero","title":"The impact of natural disasters on violent extremism","URL":"https://www.jstor.org/stable/resrep31258.24","author":[{"family":"Khalil","given":"Lydia"}],"issued":{"date-parts":[["2021"]]}}}],"schema":"https://github.com/citation-style-language/schema/raw/master/csl-citation.json"} </w:instrText>
      </w:r>
      <w:r w:rsidR="00FA430D" w:rsidRPr="00652B84">
        <w:fldChar w:fldCharType="separate"/>
      </w:r>
      <w:r w:rsidR="002E6597" w:rsidRPr="002E6597">
        <w:t>(Khalil, 2021)</w:t>
      </w:r>
      <w:r w:rsidR="00FA430D" w:rsidRPr="00652B84">
        <w:fldChar w:fldCharType="end"/>
      </w:r>
      <w:bookmarkEnd w:id="18"/>
      <w:r w:rsidR="00FA430D" w:rsidRPr="00652B84">
        <w:t xml:space="preserve">, as notably demonstrated </w:t>
      </w:r>
      <w:r w:rsidR="00FA430D" w:rsidRPr="00652B84">
        <w:lastRenderedPageBreak/>
        <w:t xml:space="preserve">by the effect of the COVID-19 pandemic on extremist online activity </w:t>
      </w:r>
      <w:bookmarkStart w:id="19" w:name="_Hlk187061960"/>
      <w:r w:rsidR="00FA430D" w:rsidRPr="00652B84">
        <w:fldChar w:fldCharType="begin"/>
      </w:r>
      <w:r w:rsidR="00A311F6">
        <w:instrText xml:space="preserve"> ADDIN ZOTERO_ITEM CSL_CITATION {"citationID":"hXsNcu38","properties":{"formattedCitation":"(Davies et al., 2023; Marone, 2022)","plainCitation":"(Davies et al., 2023; Marone, 2022)","noteIndex":0},"citationItems":[{"id":1645,"uris":["http://zotero.org/users/11665025/items/YGSTEHZF"],"itemData":{"id":1645,"type":"article-journal","abstract":"Historically, pandemics had inevitably produced demonization and scapegoating, and the COVID-19 pandemic has been no exception. Some individuals and groups have attempted to weaponize and exploit the pandemic, to use it as a means of spreading their extremist ideologies and to radicalize others to their causes. Segmented regression analyses of seven online extremist forums revealed that posting behavior on violent right-wing extremist and incel forums increased significantly following the declaration of the pandemic. The same was not true of left-wing or jihadist forums. These unequal effects likely reflect the particular grievance-based and online nature of right-wing and incel extremism.","container-title":"Studies in Conflict &amp; Terrorism","DOI":"10.1080/1057610X.2021.1923188","ISSN":"1057-610X","issue":"11","page":"2327-2350","publisher":"Routledge","source":"Taylor and Francis+NEJM","title":"A witch’s brew of grievances: The potential effects of COVID-19 on radicalization to violent extremism","title-short":"A Witch’s Brew of Grievances","volume":"46","author":[{"family":"Davies","given":"Garth"},{"family":"Wu","given":"Edith"},{"family":"Frank","given":"Richard"}],"issued":{"date-parts":[["2023",11,2]]}}},{"id":1648,"uris":["http://zotero.org/users/11665025/items/PP745TB5"],"itemData":{"id":1648,"type":"article-journal","abstract":"Novel COVID-19 is having far-reaching consequences worldwide. Security and security management are not immune from this influence. Building on the scientific literature, this article explores the mixed impact of this unexpected macro-level phenomenon and its consequences on violent extremism and terrorism in the West, in the short and in the medium to long term. The paper looks at the influence on extremist beliefs and attitudes and, moreover, it examines the effects on extremist behaviors, with an emphasis on terrorist activities, drawing on a model of terrorist attack cycle. The COVID-19 pandemic can be interpreted as a global natural experiment that offers insight into causal processes, in the interplay among societal, group, and individual factors.","container-title":"Security Journal","DOI":"10.1057/s41284-020-00274-y","ISSN":"0955-1662","issue":"1","page":"205-225","PMID":"null","PMCID":"PMC7790481","source":"PubMed Central","title":"Hate in the time of coronavirus: Exploring the impact of the COVID-19 pandemic on violent extremism and terrorism in the West","title-short":"Hate in the time of coronavirus","volume":"35","author":[{"family":"Marone","given":"Francesco"}],"issued":{"date-parts":[["2022"]]}}}],"schema":"https://github.com/citation-style-language/schema/raw/master/csl-citation.json"} </w:instrText>
      </w:r>
      <w:r w:rsidR="00FA430D" w:rsidRPr="00652B84">
        <w:fldChar w:fldCharType="separate"/>
      </w:r>
      <w:r w:rsidR="002E6597" w:rsidRPr="002E6597">
        <w:t>(Davies et al., 2023; Marone, 2022)</w:t>
      </w:r>
      <w:r w:rsidR="00FA430D" w:rsidRPr="00652B84">
        <w:fldChar w:fldCharType="end"/>
      </w:r>
      <w:bookmarkEnd w:id="19"/>
      <w:r w:rsidR="00FA430D" w:rsidRPr="00652B84">
        <w:t>.</w:t>
      </w:r>
      <w:r w:rsidR="006C56E9">
        <w:t xml:space="preserve"> </w:t>
      </w:r>
    </w:p>
    <w:p w14:paraId="3B8618C9" w14:textId="122DA1D0" w:rsidR="00E53A56" w:rsidRDefault="00777ED7" w:rsidP="002E6597">
      <w:pPr>
        <w:pStyle w:val="Newparagraph"/>
      </w:pPr>
      <w:r>
        <w:t xml:space="preserve">Political </w:t>
      </w:r>
      <w:r w:rsidR="005E1B30">
        <w:t>o</w:t>
      </w:r>
      <w:r>
        <w:t>rientation plays a crucial moderating role in shaping citizens</w:t>
      </w:r>
      <w:r w:rsidR="005A61E4">
        <w:t>'</w:t>
      </w:r>
      <w:r>
        <w:t xml:space="preserve"> levels of extremism across Western democracies. </w:t>
      </w:r>
      <w:r w:rsidR="00E53A56" w:rsidRPr="002A2EEF">
        <w:t>Individuals with right-wing political orientations demonstrate stronger associations with extremist attitudes compared to their left-wing counterparts, particularly regarding support for political violence and outgroup intolerance</w:t>
      </w:r>
      <w:r w:rsidR="00FA1F99">
        <w:t xml:space="preserve"> </w:t>
      </w:r>
      <w:r w:rsidR="00E53A56">
        <w:fldChar w:fldCharType="begin"/>
      </w:r>
      <w:r w:rsidR="002E6597">
        <w:instrText xml:space="preserve"> ADDIN ZOTERO_ITEM CSL_CITATION {"citationID":"e1SO5Goz","properties":{"formattedCitation":"(Van Hiel et al., 2020)","plainCitation":"(Van Hiel et al., 2020)","noteIndex":0},"citationItems":[{"id":2106,"uris":["http://zotero.org/users/11665025/items/KXGN3EY9"],"itemData":{"id":2106,"type":"article-journal","abstract":"Many studies have investigated the relationship between ideological attitudes and aggressive tendencies. The present meta-analytic integration of research on this relationship included data of 177 samples (total N = 47,933 participants). The results revealed that this relationship was substantial, r =.31, 95% CI [.27 to.35], p &lt;.001. Such a relationship emerged for both attitudes towards violence and behavioural indicators, although the former relationship was stronger. Moreover, with respect to the different types of attitudes towards violence, we obtained equally strong relationships for attitudes towards war and military action, intergroup hostility and aggression, punitive attitudes, and intimate violence. Among the behavioural measures, context-specific aggression bore out a stronger effect size than chronic aggressive behaviour. Finally, type of right-wing attitude did not moderate the relationship under study. In the discussion, we argue that the pattern of results indicates that the greater aggressive tendencies among right-wing individuals are manifested both attitudinally and behaviourally.","container-title":"European Review of Social Psychology","DOI":"10.1080/10463283.2020.1778324","ISSN":"1046-3283","issue":"1","note":"_eprint: https://doi.org/10.1080/10463283.2020.1778324","page":"183-221","publisher":"Routledge","source":"Taylor and Francis+NEJM","title":"A meta-analytic integration of research on the relationship between right-wing ideological attitudes and aggressive tendencies","volume":"31","author":[{"family":"Van Hiel","given":"Alain"},{"family":"Onraet","given":"Emma"},{"family":"Bostyn","given":"Dries H."},{"family":"Stadeus","given":"Jonas"},{"family":"Haesevoets","given":"Tessa"},{"family":"Van Assche","given":"Jasper"},{"family":"Roets","given":"Arne"}],"issued":{"date-parts":[["2020",1,1]]}}}],"schema":"https://github.com/citation-style-language/schema/raw/master/csl-citation.json"} </w:instrText>
      </w:r>
      <w:r w:rsidR="00E53A56">
        <w:fldChar w:fldCharType="separate"/>
      </w:r>
      <w:r w:rsidR="002E6597" w:rsidRPr="002E6597">
        <w:t>(Van Hiel et al., 2020)</w:t>
      </w:r>
      <w:r w:rsidR="00E53A56">
        <w:fldChar w:fldCharType="end"/>
      </w:r>
      <w:r w:rsidR="00E53A56" w:rsidRPr="002A2EEF">
        <w:t>. Studies comparing political violence across ideologies reveal that individuals affiliated with left-wing causes are consistently less likely to engage in violent behavior</w:t>
      </w:r>
      <w:r w:rsidR="0028509F">
        <w:t>. At the same time,</w:t>
      </w:r>
      <w:r w:rsidR="00E53A56" w:rsidRPr="002A2EEF">
        <w:t xml:space="preserve"> right-wing extremists show higher propensities for deadly attacks </w:t>
      </w:r>
      <w:r w:rsidR="00E53A56">
        <w:fldChar w:fldCharType="begin"/>
      </w:r>
      <w:r w:rsidR="002E6597">
        <w:instrText xml:space="preserve"> ADDIN ZOTERO_ITEM CSL_CITATION {"citationID":"lEELPFAb","properties":{"formattedCitation":"(Jasko et al., 2022)","plainCitation":"(Jasko et al., 2022)","noteIndex":0},"citationItems":[{"id":2011,"uris":["http://zotero.org/users/11665025/items/PQIXE2ZM"],"itemData":{"id":2011,"type":"article-journal","abstract":"Although political violence has been perpetrated on behalf of a wide range of political ideologies, it is unclear whether there are systematic differences between ideologies in the use of violence to pursue a political cause. Prior research on this topic is scarce and mostly restricted to self-reported measures or less extreme forms of political aggression. Moreover, it has generally focused on respondents in Western countries and has been limited to either comparisons of the supporters of left-wing and right-wing causes or examinations of only Islamist extremism. In this research we address these gaps by comparing the use of political violence by left-wing, right-wing, and Islamist extremists in the United States and worldwide using two unique datasets that cover real-world examples of politically motivated, violent behaviors. Across both datasets, we find that radical acts perpetrated by individuals associated with left-wing causes are less likely to be violent. In the United States, we find no difference between the level of violence perpetrated by right-wing and Islamist extremists. However, differences in violence emerge on the global level, with Islamist extremists being more likely than right-wing extremists to engage in more violent acts.","container-title":"Proceedings of the National Academy of Sciences","DOI":"10.1073/pnas.2122593119","issue":"30","page":"e2122593119","publisher":"Proceedings of the National Academy of Sciences","source":"pnas.org (Atypon)","title":"A comparison of political violence by left-wing, right-wing, and Islamist extremists in the United States and the world","volume":"119","author":[{"family":"Jasko","given":"Katarzyna"},{"family":"LaFree","given":"Gary"},{"family":"Piazza","given":"James"},{"family":"Becker","given":"Michael H."}],"issued":{"date-parts":[["2022",7,26]]}}}],"schema":"https://github.com/citation-style-language/schema/raw/master/csl-citation.json"} </w:instrText>
      </w:r>
      <w:r w:rsidR="00E53A56">
        <w:fldChar w:fldCharType="separate"/>
      </w:r>
      <w:r w:rsidR="002E6597" w:rsidRPr="002E6597">
        <w:t>(Jasko et al., 2022)</w:t>
      </w:r>
      <w:r w:rsidR="00E53A56">
        <w:fldChar w:fldCharType="end"/>
      </w:r>
      <w:r w:rsidR="00E53A56" w:rsidRPr="002A2EEF">
        <w:t>. Evidence from Western societies indicates that political violence and hate crimes</w:t>
      </w:r>
      <w:r w:rsidR="00E53A56">
        <w:t xml:space="preserve">, </w:t>
      </w:r>
      <w:r w:rsidR="00E53A56" w:rsidRPr="002A2EEF">
        <w:t>two key manifestations of extremism</w:t>
      </w:r>
      <w:r w:rsidR="00E53A56">
        <w:t xml:space="preserve">, </w:t>
      </w:r>
      <w:r w:rsidR="00E53A56" w:rsidRPr="002A2EEF">
        <w:t xml:space="preserve">are overwhelmingly more likely to originate from individuals with right-wing political orientations than those with left-wing orientations </w:t>
      </w:r>
      <w:r w:rsidR="00E53A56">
        <w:fldChar w:fldCharType="begin"/>
      </w:r>
      <w:r w:rsidR="00E53A56">
        <w:instrText xml:space="preserve"> ADDIN ZOTERO_ITEM CSL_CITATION {"citationID":"U9tzbbJz","properties":{"formattedCitation":"(Jost, 2024)","plainCitation":"(Jost, 2024)","noteIndex":0},"citationItems":[{"id":2109,"uris":["http://zotero.org/users/11665025/items/DIILIGXQ"],"itemData":{"id":2109,"type":"article-journal","abstract":"In social psychology these days it is commonplace to read or hear that liberal-leftists and conservative-rightists are every bit as “moral”; prejudiced and intolerant; susceptible to misinformation, “fake news,” and conspiratorial thinking; lax about upholding democratic standards; and prone to terrorism and political violence. Upon careful inspection, however, I conclude that every one of these claims is false or misleading. Liberal-leftists in the United States and elsewhere are demonstrably more committed than conservative-rightists to humanistic-egalitarian values, deliberative reasoning, and adherence to democratic norms. In Western societies, acts of authoritarian aggression, hate crimes, and political violence are overwhelmingly more likely to come from the right than the left. As a witness to Nazi atrocities, Kurt Lewin deeply understood the role of historical, economic, and political forces in human lives and the interdependence between democracy and social science. He rejected moral relativism and what I call “both-sideology” and offered a sophisticated critique of anti-democratic tendencies. There are perfectly understandable reasons why people—especially academics and journalists—would be tempted to draw parallels between the left and right, and indeed there are many similarities as well as dissimilarities between liberal-leftists and conservative-rightists. However, the uncritical adoption of both-sideology threatens liberal democracy itself and, with it, the only social science worth having. What we—as citizens and social scientists—need now is a renewal and revitalization of Lewin's critical-emancipatory legacy before it is too late.","container-title":"Journal of Social Issues","DOI":"10.1111/josi.12633","ISSN":"1540-4560","issue":"3","language":"en","license":"© 2024 The Society for the Psychological Study of Social Issues.","note":"_eprint: https://spssi.onlinelibrary.wiley.com/doi/pdf/10.1111/josi.12633","page":"1138-1203","source":"Wiley Online Library","title":"Both-Sideology Endangers Democracy and Social Science","volume":"80","author":[{"family":"Jost","given":"John T."}],"issued":{"date-parts":[["2024"]]}}}],"schema":"https://github.com/citation-style-language/schema/raw/master/csl-citation.json"} </w:instrText>
      </w:r>
      <w:r w:rsidR="00E53A56">
        <w:fldChar w:fldCharType="separate"/>
      </w:r>
      <w:r w:rsidR="002E6597" w:rsidRPr="002E6597">
        <w:t>(Jost, 2024)</w:t>
      </w:r>
      <w:r w:rsidR="00E53A56">
        <w:fldChar w:fldCharType="end"/>
      </w:r>
      <w:r w:rsidR="00E53A56" w:rsidRPr="002A2EEF">
        <w:t xml:space="preserve">. </w:t>
      </w:r>
      <w:r w:rsidR="005A61E4">
        <w:t>r</w:t>
      </w:r>
      <w:r w:rsidR="00A75FCA">
        <w:t>ight-wing</w:t>
      </w:r>
      <w:r w:rsidR="00E53A56" w:rsidRPr="002A2EEF">
        <w:t xml:space="preserve"> political </w:t>
      </w:r>
      <w:r w:rsidR="005E1B30">
        <w:t>o</w:t>
      </w:r>
      <w:r w:rsidR="00E53A56" w:rsidRPr="002A2EEF">
        <w:t xml:space="preserve">rientation correlates strongly with xenophobia, racism, anti-Semitism, and exclusion of ethnic and racial minorities </w:t>
      </w:r>
      <w:r w:rsidR="00E53A56">
        <w:fldChar w:fldCharType="begin"/>
      </w:r>
      <w:r w:rsidR="008A4367">
        <w:instrText xml:space="preserve"> ADDIN ZOTERO_ITEM CSL_CITATION {"citationID":"36AayAAR","properties":{"formattedCitation":"(Jungkunz et al., 2024)","plainCitation":"(Jungkunz et al., 2024)","noteIndex":0},"citationItems":[{"id":1244,"uris":["http://zotero.org/users/11665025/items/XQZ99ZB8"],"itemData":{"id":1244,"type":"article-journal","abstract":"This paper introduces three new scales to measure left- and right-wing radical as well as general extremist attitudes that can be applied across Western European countries. We therefore propose a thorough conceptualization of extremist attitudes that consists of two dimensions: general extremism, by which we understand attitudes that oppose the constitutional democratic state, and another dimension that differentiates between right- and leftwing radicalism by which we understand people who take far-reaching but often one-sided positions on political issues (e.g., on nationalism or anti-imperialism) by advocating fundamental socio-political change. Based on data from Germany, Great Britain, and the Netherlands (n = 6,201) we created short indices for general extremism and left- and right-wing radicalism. We check for convergence validity by assessing the psychometric properties of the extracted indices, i.e. their internal coherence and the degree to which a scale is able to distinguish strongly extremist and non-extremist individuals. Finally, we correlate the scales with various constructs that are likely related to extremist attitudes in order to assure external or construct validity. The results indicate that the three scales are highly valid and applicable across three Western European countries. Overall, we find that about two to four percent of citizens in each country hold left-wing or right-wing extremist attitudes.","container-title":"PLOS ONE","DOI":"10.1371/journal.pone.0300661","ISSN":"1932-6203","issue":"5","journalAbbreviation":"PLoS ONE","language":"en","page":"e0300661","source":"DOI.org (Crossref)","title":"Measuring political radicalism and extremism in surveys: Three new scales","title-short":"Measuring political radicalism and extremism in surveys","volume":"19","author":[{"family":"Jungkunz","given":"Sebastian"},{"family":"Helbling","given":"Marc"},{"family":"Osenbrügge","given":"Nina"}],"editor":[{"family":"Horita","given":"Yutaka"}],"issued":{"date-parts":[["2024",5,8]]}}}],"schema":"https://github.com/citation-style-language/schema/raw/master/csl-citation.json"} </w:instrText>
      </w:r>
      <w:r w:rsidR="00E53A56">
        <w:fldChar w:fldCharType="separate"/>
      </w:r>
      <w:r w:rsidR="002E6597" w:rsidRPr="002E6597">
        <w:t>(Jungkunz et al., 2024)</w:t>
      </w:r>
      <w:r w:rsidR="00E53A56">
        <w:fldChar w:fldCharType="end"/>
      </w:r>
      <w:r w:rsidR="00E53A56" w:rsidRPr="002A2EEF">
        <w:t xml:space="preserve">. However, left-wing political </w:t>
      </w:r>
      <w:r w:rsidR="005E1B30">
        <w:t>o</w:t>
      </w:r>
      <w:r w:rsidR="00E53A56" w:rsidRPr="002A2EEF">
        <w:t xml:space="preserve">rientation can also lead to extremist manifestations, including intolerance toward perceived enemies such as capitalists, fascists, and supporters of traditional authority structures, with some left-wing groups promoting systematic persecution of outgroups based on class or political ideology </w:t>
      </w:r>
      <w:r w:rsidR="00E53A56">
        <w:fldChar w:fldCharType="begin"/>
      </w:r>
      <w:r w:rsidR="003F717B">
        <w:instrText xml:space="preserve"> ADDIN ZOTERO_ITEM CSL_CITATION {"citationID":"8Kl3DYQ3","properties":{"formattedCitation":"(Guhl, 2025)","plainCitation":"(Guhl, 2025)","noteIndex":0},"citationItems":[{"id":2113,"uris":["http://zotero.org/users/11665025/items/NY4U267J"],"itemData":{"id":2113,"type":"report","abstract":"Overviews of issues, trends, narratives, platforms and actors.","language":"en-GB","publisher":"Institute for Strategic Dialog (ISD)","title":"Left wing extremism","URL":"https://www.isdglobal.org/explainers/left-wing-extremism/","author":[{"family":"Guhl","given":"Jakob"}],"accessed":{"date-parts":[["2025",7,23]]},"issued":{"date-parts":[["2025",1,8]]}}}],"schema":"https://github.com/citation-style-language/schema/raw/master/csl-citation.json"} </w:instrText>
      </w:r>
      <w:r w:rsidR="00E53A56">
        <w:fldChar w:fldCharType="separate"/>
      </w:r>
      <w:r w:rsidR="002E6597" w:rsidRPr="002E6597">
        <w:t>(Guhl, 2025)</w:t>
      </w:r>
      <w:r w:rsidR="00E53A56">
        <w:fldChar w:fldCharType="end"/>
      </w:r>
      <w:r w:rsidR="00E53A56" w:rsidRPr="002A2EEF">
        <w:t>. Cross-national studies indicate that right-wing authoritarianism specifically predicts prejudice against groups perceived as socially threatening</w:t>
      </w:r>
      <w:r w:rsidR="0028509F">
        <w:t>. At the same time,</w:t>
      </w:r>
      <w:r w:rsidR="00E53A56" w:rsidRPr="002A2EEF">
        <w:t xml:space="preserve"> both political orientations can foster anti-pluralist attitudes and rejection of democratic norms when combined with extremist ideological positions</w:t>
      </w:r>
      <w:r w:rsidR="00E53A56">
        <w:t xml:space="preserve"> </w:t>
      </w:r>
      <w:r w:rsidR="00E53A56">
        <w:fldChar w:fldCharType="begin"/>
      </w:r>
      <w:r w:rsidR="002E6597">
        <w:instrText xml:space="preserve"> ADDIN ZOTERO_ITEM CSL_CITATION {"citationID":"3CdcA8Ve","properties":{"formattedCitation":"(Costello et al., 2022)","plainCitation":"(Costello et al., 2022)","noteIndex":0},"citationItems":[{"id":2117,"uris":["http://zotero.org/users/11665025/items/U97LSXK2"],"itemData":{"id":2117,"type":"article-journal","abstract":"Authoritarianism has been the subject of scientific inquiry for nearly a century, yet the vast majority of authoritarianism research has focused on right-wing authoritarianism. In the present studies, we investigate the nature, structure, and nomological network of left-wing authoritarianism (LWA), a construct famously known as “the Loch Ness Monster” of political psychology. We iteratively construct a measure and data-driven conceptualization of LWA across six samples (N = 7,258) and conduct quantitative tests of LWA’s relations with more than 60 authoritarianism-related variables. We find that LWA, right-wing authoritarianism, and social dominance orientation reflect a shared constellation of personality traits, cognitive features, beliefs, and motivational values that might be considered the “heart” of authoritarianism. Relative to right-wing authoritarians, left-wing authoritarians were lower in dogmatism and cognitive rigidity, higher in negative emotionality, and expressed stronger support for a political system with substantial centralized state control. Our results also indicate that LWA powerfully predicts behavioral aggression and is strongly correlated with participation in political violence. We conclude that a movement away from exclusively right-wing conceptualizations of authoritarianism may be required to illuminate authoritarianism’s central features, conceptual breadth, and psychological appeal. (PsycInfo Database Record (c) 2025 APA, all rights reserved)","container-title":"Journal of Personality and Social Psychology","DOI":"10.1037/pspp0000341","ISSN":"1939-1315","issue":"1","note":"publisher-place: US","page":"135-170","publisher":"American Psychological Association","source":"APA PsycNet","title":"Clarifying the structure and nature of left-wing authoritarianism","volume":"122","author":[{"family":"Costello","given":"Thomas H."},{"family":"Bowes","given":"Shauna M."},{"family":"Stevens","given":"Sean T."},{"family":"Waldman","given":"Irwin D."},{"family":"Tasimi","given":"Arber"},{"family":"Lilienfeld","given":"Scott O."}],"issued":{"date-parts":[["2022"]]}}}],"schema":"https://github.com/citation-style-language/schema/raw/master/csl-citation.json"} </w:instrText>
      </w:r>
      <w:r w:rsidR="00E53A56">
        <w:fldChar w:fldCharType="separate"/>
      </w:r>
      <w:r w:rsidR="002E6597" w:rsidRPr="002E6597">
        <w:t>(Costello et al., 2022)</w:t>
      </w:r>
      <w:r w:rsidR="00E53A56">
        <w:fldChar w:fldCharType="end"/>
      </w:r>
      <w:r w:rsidR="00E53A56">
        <w:t>.</w:t>
      </w:r>
      <w:r w:rsidR="00E53A56" w:rsidRPr="002A2EEF">
        <w:t xml:space="preserve"> </w:t>
      </w:r>
    </w:p>
    <w:p w14:paraId="21DB3A3D" w14:textId="63E6ECF9" w:rsidR="00D64BCE" w:rsidRDefault="00D64BCE" w:rsidP="004074B0">
      <w:pPr>
        <w:pStyle w:val="Heading1"/>
      </w:pPr>
      <w:r>
        <w:t>The Current Research</w:t>
      </w:r>
    </w:p>
    <w:p w14:paraId="780783A7" w14:textId="77777777" w:rsidR="00895904" w:rsidRDefault="00895904" w:rsidP="00895904">
      <w:pPr>
        <w:pStyle w:val="Paragraph"/>
      </w:pPr>
      <w:r>
        <w:t xml:space="preserve">This study represents the first empirical examination of how various destabilizing events </w:t>
      </w:r>
      <w:r>
        <w:lastRenderedPageBreak/>
        <w:t xml:space="preserve">differentially correlate with levels of political extremism among citizens with different political orientations across multiple dimensions of political extremism.  </w:t>
      </w:r>
    </w:p>
    <w:p w14:paraId="54B9D404" w14:textId="77777777" w:rsidR="00895904" w:rsidRPr="00895904" w:rsidRDefault="00895904" w:rsidP="00895904">
      <w:pPr>
        <w:pStyle w:val="Paragraph"/>
        <w:rPr>
          <w:lang w:val="en-US"/>
        </w:rPr>
      </w:pPr>
    </w:p>
    <w:p w14:paraId="735879F8" w14:textId="77777777" w:rsidR="00D1497C" w:rsidRDefault="00D1497C" w:rsidP="00D1497C">
      <w:pPr>
        <w:pStyle w:val="Newparagraph"/>
        <w:rPr>
          <w:lang w:val="en-US"/>
        </w:rPr>
      </w:pPr>
      <w:r>
        <w:t xml:space="preserve">The research applies the new conceptualization of political extremism to examine how different destabilizing events, including security threats, political transitions, and constitutional crises, correlate with specific dimensions of extremism among Israeli Jewish citizens across distinct political orientations (left-wing, center-wing, right-wing). The three primary hypotheses are: (H1) various dimensions of political extremism respond heterogeneously to socio-political events, (H2) political orientation moderates these responses, and (H3) </w:t>
      </w:r>
      <w:r>
        <w:rPr>
          <w:lang w:val="en-US"/>
        </w:rPr>
        <w:t>f</w:t>
      </w:r>
      <w:r w:rsidRPr="00254069">
        <w:rPr>
          <w:lang w:val="en-US"/>
        </w:rPr>
        <w:t>ocusing on the more extreme population enables a more nuanced understanding of political extremism and radicalization processes</w:t>
      </w:r>
      <w:r>
        <w:rPr>
          <w:lang w:val="en-US"/>
        </w:rPr>
        <w:t xml:space="preserve">. </w:t>
      </w:r>
    </w:p>
    <w:p w14:paraId="3785B04E" w14:textId="507EA8CA" w:rsidR="00355C70" w:rsidRPr="0028509F" w:rsidRDefault="00E93983" w:rsidP="00D1497C">
      <w:pPr>
        <w:pStyle w:val="Newparagraph"/>
        <w:rPr>
          <w:lang w:val="en-US" w:bidi="he-IL"/>
        </w:rPr>
      </w:pPr>
      <w:r>
        <w:rPr>
          <w:lang w:val="en-US"/>
        </w:rPr>
        <w:t>Implementing the research in</w:t>
      </w:r>
      <w:r w:rsidR="00705703">
        <w:rPr>
          <w:lang w:val="en-US"/>
        </w:rPr>
        <w:t xml:space="preserve"> </w:t>
      </w:r>
      <w:r w:rsidR="00355C70">
        <w:t xml:space="preserve">Israel provides </w:t>
      </w:r>
      <w:r>
        <w:t>distinct</w:t>
      </w:r>
      <w:r w:rsidR="00355C70">
        <w:t xml:space="preserve"> methodological advantages: the population experiences genuine, high-intensity security and political threats across multiple domains, avoiding the validity limitations of laboratory simulations; Israel</w:t>
      </w:r>
      <w:r w:rsidR="005A61E4">
        <w:t>'</w:t>
      </w:r>
      <w:r w:rsidR="00355C70">
        <w:t>s compact geography enables researchers to study populations facing similar objective threats while exhibiting potentially different subjective characteristics; and Israel</w:t>
      </w:r>
      <w:r w:rsidR="005A61E4">
        <w:t>'</w:t>
      </w:r>
      <w:r w:rsidR="00355C70">
        <w:t xml:space="preserve">s democratic tradition </w:t>
      </w:r>
      <w:r w:rsidR="00F0440E">
        <w:t>makes the study potentially applicable to other democracies</w:t>
      </w:r>
      <w:r w:rsidR="00355C70">
        <w:t>.</w:t>
      </w:r>
    </w:p>
    <w:p w14:paraId="055D4F4E" w14:textId="1AF826F3" w:rsidR="00051595" w:rsidRDefault="00FA1F99" w:rsidP="002E6597">
      <w:pPr>
        <w:pStyle w:val="Newparagraph"/>
      </w:pPr>
      <w:r>
        <w:t>The political orientations addressed in this research include</w:t>
      </w:r>
      <w:r w:rsidR="00E93983" w:rsidRPr="00E93983">
        <w:t xml:space="preserve"> center-wing orientations alongside traditional left-wing and right-wing perspectives. Following the end of the </w:t>
      </w:r>
      <w:r w:rsidR="00E97633">
        <w:t>s</w:t>
      </w:r>
      <w:r w:rsidR="00E93983" w:rsidRPr="00E93983">
        <w:t>econd Intifada (2000-2005), centrist parties established themselves as significant political entities in Israel</w:t>
      </w:r>
      <w:r w:rsidR="00E93983">
        <w:t xml:space="preserve"> </w:t>
      </w:r>
      <w:r w:rsidR="00051595" w:rsidRPr="00051595">
        <w:fldChar w:fldCharType="begin"/>
      </w:r>
      <w:r w:rsidR="00051595" w:rsidRPr="00051595">
        <w:instrText xml:space="preserve"> ADDIN ZOTERO_ITEM CSL_CITATION {"citationID":"3zFlrgEu","properties":{"formattedCitation":"(Agmon, 2025; Talshir, 2019)","plainCitation":"(Agmon, 2025; Talshir, 2019)","noteIndex":0},"citationItems":[{"id":2231,"uris":["http://zotero.org/users/11665025/items/JR3CBU4G"],"itemData":{"id":2231,"type":"article-magazine","abstract":"Its parties have embraced the fantasy that conciliation to the far right is the best way to weaken it.","container-title":"Boston Review","language":"en","source":"Boston Review","title":"Israel’s Complicit Center","URL":"https://www.bostonreview.net/articles/israels-complicit-center/","author":[{"family":"Agmon","given":"Shai"}],"accessed":{"date-parts":[["2025",8,26]]},"issued":{"date-parts":[["2025",3,25]]}}},{"id":2227,"uris":["http://zotero.org/users/11665025/items/33IQWHW6"],"itemData":{"id":2227,"type":"report","abstract":"A prerequisite for democratic rule is a realistic chance of power change. The path to power change in Israeli politics, the widely held belief suggests, is passing through the centrist parties. Is being a ‘centrist’ party merely a strategic position on the Left-Right axis? What does this position mean ideologically? Why is power change that comes from the center short-lived? And what does all this entail for Israeli democracy, in the context of the 2019 election?","language":"en","publisher":"Heinrich Böll Stiftung","title":"Center Parties and Power Change in Israeli Politics","URL":"https://il.boell.org/en/2019/04/03/center-parties-and-power-change-israeli-politics","author":[{"family":"Talshir","given":"Gayil"}],"accessed":{"date-parts":[["2025",8,26]]},"issued":{"date-parts":[["2019",4,3]]}}}],"schema":"https://github.com/citation-style-language/schema/raw/master/csl-citation.json"} </w:instrText>
      </w:r>
      <w:r w:rsidR="00051595" w:rsidRPr="00051595">
        <w:fldChar w:fldCharType="separate"/>
      </w:r>
      <w:r w:rsidR="002E6597" w:rsidRPr="002E6597">
        <w:t>(Agmon, 2025; Talshir, 2019)</w:t>
      </w:r>
      <w:r w:rsidR="00051595" w:rsidRPr="00051595">
        <w:fldChar w:fldCharType="end"/>
      </w:r>
      <w:r w:rsidR="00051595" w:rsidRPr="00051595">
        <w:t xml:space="preserve">. </w:t>
      </w:r>
      <w:r w:rsidR="00E93983" w:rsidRPr="00E93983">
        <w:t xml:space="preserve">Approximately 25-33% of Israeli voters regularly support centrist parties, constituting an expanding bloc of predominantly educated middle-class citizens who remain committed to centrist alternatives rather than shifting between left and right poles </w:t>
      </w:r>
      <w:r w:rsidR="00051595" w:rsidRPr="00051595">
        <w:fldChar w:fldCharType="begin"/>
      </w:r>
      <w:r w:rsidR="00051595" w:rsidRPr="00051595">
        <w:instrText xml:space="preserve"> ADDIN ZOTERO_ITEM CSL_CITATION {"citationID":"Sypb4Nox","properties":{"formattedCitation":"(Talshir, 2019)","plainCitation":"(Talshir, 2019)","noteIndex":0},"citationItems":[{"id":2227,"uris":["http://zotero.org/users/11665025/items/33IQWHW6"],"itemData":{"id":2227,"type":"report","abstract":"A prerequisite for democratic rule is a realistic chance of power change. The path to power change in Israeli politics, the widely held belief suggests, is passing through the centrist parties. Is being a ‘centrist’ party merely a strategic position on the Left-Right axis? What does this position mean ideologically? Why is power change that comes from the center short-lived? And what does all this entail for Israeli democracy, in the context of the 2019 election?","language":"en","publisher":"Heinrich Böll Stiftung","title":"Center Parties and Power Change in Israeli Politics","URL":"https://il.boell.org/en/2019/04/03/center-parties-and-power-change-israeli-politics","author":[{"family":"Talshir","given":"Gayil"}],"accessed":{"date-parts":[["2025",8,26]]},"issued":{"date-parts":[["2019",4,3]]}}}],"schema":"https://github.com/citation-style-language/schema/raw/master/csl-citation.json"} </w:instrText>
      </w:r>
      <w:r w:rsidR="00051595" w:rsidRPr="00051595">
        <w:fldChar w:fldCharType="separate"/>
      </w:r>
      <w:r w:rsidR="002E6597" w:rsidRPr="002E6597">
        <w:t>(Talshir, 2019)</w:t>
      </w:r>
      <w:r w:rsidR="00051595" w:rsidRPr="00051595">
        <w:fldChar w:fldCharType="end"/>
      </w:r>
      <w:r w:rsidR="00051595" w:rsidRPr="00051595">
        <w:t>.</w:t>
      </w:r>
    </w:p>
    <w:p w14:paraId="3434737B" w14:textId="172D22F7" w:rsidR="00FA1F99" w:rsidRPr="00FA1F99" w:rsidRDefault="00FA1F99" w:rsidP="00FA1F99">
      <w:pPr>
        <w:pStyle w:val="Newparagraph"/>
        <w:rPr>
          <w:rtl/>
          <w:lang w:val="en-US"/>
        </w:rPr>
      </w:pPr>
      <w:r>
        <w:rPr>
          <w:lang w:val="en-US"/>
        </w:rPr>
        <w:lastRenderedPageBreak/>
        <w:t xml:space="preserve">The study </w:t>
      </w:r>
      <w:r w:rsidR="00B71087">
        <w:rPr>
          <w:lang w:val="en-US"/>
        </w:rPr>
        <w:t>uses</w:t>
      </w:r>
      <w:r>
        <w:rPr>
          <w:lang w:val="en-US"/>
        </w:rPr>
        <w:t xml:space="preserve"> a</w:t>
      </w:r>
      <w:r>
        <w:t xml:space="preserve"> novel Political Extremism Gauge that simultaneously measures all three dimensions, transforming them into indices of political extremism. </w:t>
      </w:r>
    </w:p>
    <w:p w14:paraId="2B1219F5" w14:textId="5415B491" w:rsidR="006C079F" w:rsidRDefault="00FC24B4" w:rsidP="004074B0">
      <w:pPr>
        <w:pStyle w:val="Heading1"/>
      </w:pPr>
      <w:r>
        <w:t>Materials</w:t>
      </w:r>
      <w:r w:rsidR="006C079F">
        <w:t xml:space="preserve"> and </w:t>
      </w:r>
      <w:r w:rsidR="00AE249E">
        <w:t>M</w:t>
      </w:r>
      <w:r w:rsidR="006C079F">
        <w:t>ethods</w:t>
      </w:r>
    </w:p>
    <w:p w14:paraId="357D0ED2" w14:textId="162CAB06" w:rsidR="008F2372" w:rsidRDefault="00E56FDD" w:rsidP="00826632">
      <w:pPr>
        <w:pStyle w:val="Paragraph"/>
      </w:pPr>
      <w:r>
        <w:t>The</w:t>
      </w:r>
      <w:r w:rsidR="00CC449C" w:rsidRPr="00FD7DB6">
        <w:t xml:space="preserve"> </w:t>
      </w:r>
      <w:r w:rsidR="00CC449C">
        <w:t xml:space="preserve">empirical </w:t>
      </w:r>
      <w:r w:rsidR="00CC449C" w:rsidRPr="00FD7DB6">
        <w:t xml:space="preserve">analysis </w:t>
      </w:r>
      <w:r w:rsidR="00EC2F49">
        <w:t>uses a comprehensive six-wave study</w:t>
      </w:r>
      <w:r w:rsidR="002F773C">
        <w:rPr>
          <w:rStyle w:val="FootnoteReference"/>
        </w:rPr>
        <w:footnoteReference w:id="2"/>
      </w:r>
      <w:r w:rsidR="00EC2F49">
        <w:t xml:space="preserve"> conducted among Israelis between 2021 and 2024 via iPanel</w:t>
      </w:r>
      <w:r w:rsidR="00826632" w:rsidRPr="00826632">
        <w:rPr>
          <w:lang w:val="en-US"/>
        </w:rPr>
        <w:t>, the largest online panel in Israel</w:t>
      </w:r>
      <w:r w:rsidR="00CC449C" w:rsidRPr="00FD7DB6">
        <w:t xml:space="preserve">. </w:t>
      </w:r>
      <w:r w:rsidR="00826632">
        <w:t xml:space="preserve">The sample used in this research consists solely of the Jewish population. </w:t>
      </w:r>
      <w:r w:rsidR="00CC449C" w:rsidRPr="00FD7DB6">
        <w:t xml:space="preserve">Waves </w:t>
      </w:r>
      <w:r w:rsidR="005E1B30">
        <w:t>one (12/6/2021-01/13/2022, N=1608)</w:t>
      </w:r>
      <w:r w:rsidR="00CC449C" w:rsidRPr="00FD7DB6">
        <w:t xml:space="preserve">, </w:t>
      </w:r>
      <w:r w:rsidR="005E1B30">
        <w:t>two (05/23/2022-06/24/2022, N=1607)</w:t>
      </w:r>
      <w:r w:rsidR="00CC449C" w:rsidRPr="00FD7DB6">
        <w:t xml:space="preserve">, </w:t>
      </w:r>
      <w:r w:rsidR="005E1B30">
        <w:t>three (10/24/2022-10/31/2022, N=886), five (06/20/2023-06/26/2023, N=1524)</w:t>
      </w:r>
      <w:r w:rsidR="00CC449C" w:rsidRPr="00FD7DB6">
        <w:t xml:space="preserve">, and </w:t>
      </w:r>
      <w:r w:rsidR="005E1B30">
        <w:t>six (04/04/2024-04/30/2024, N=1114),</w:t>
      </w:r>
      <w:r w:rsidR="00CC449C" w:rsidRPr="00FD7DB6">
        <w:t xml:space="preserve"> </w:t>
      </w:r>
      <w:r w:rsidR="00A50A9F">
        <w:t>employed randomly selected, nationally representative samples</w:t>
      </w:r>
      <w:r w:rsidR="00CC449C">
        <w:t>;</w:t>
      </w:r>
      <w:r w:rsidR="00CC449C" w:rsidRPr="00FD7DB6">
        <w:t xml:space="preserve"> wave</w:t>
      </w:r>
      <w:r w:rsidR="005E1B30">
        <w:t xml:space="preserve"> four</w:t>
      </w:r>
      <w:r w:rsidR="00CC449C" w:rsidRPr="00FD7DB6">
        <w:t xml:space="preserve"> </w:t>
      </w:r>
      <w:r w:rsidR="005E1B30">
        <w:t xml:space="preserve">(01/12/2023-01/25/2023, N=671) </w:t>
      </w:r>
      <w:r w:rsidR="00A50A9F">
        <w:t>functioned as a panel subset of wave three.</w:t>
      </w:r>
      <w:r w:rsidR="00CC449C" w:rsidRPr="00FD7DB6">
        <w:t xml:space="preserve"> </w:t>
      </w:r>
    </w:p>
    <w:p w14:paraId="29DFAA70" w14:textId="2821B8E4" w:rsidR="005E1B30" w:rsidRDefault="00F36BC1" w:rsidP="005E2BB9">
      <w:pPr>
        <w:pStyle w:val="Newparagraph"/>
      </w:pPr>
      <w:r>
        <w:t xml:space="preserve">Each </w:t>
      </w:r>
      <w:r w:rsidR="005E2BB9">
        <w:t>pair of survey waves</w:t>
      </w:r>
      <w:r>
        <w:t xml:space="preserve"> coincided </w:t>
      </w:r>
      <w:r w:rsidR="00A50A9F">
        <w:t>with</w:t>
      </w:r>
      <w:r>
        <w:t xml:space="preserve"> a major destabilizing event, creating a quasi-experimental setting to observe shifts in political extremism. </w:t>
      </w:r>
      <w:r w:rsidR="008F2372">
        <w:t>The events included</w:t>
      </w:r>
      <w:r w:rsidR="005E1B30">
        <w:t>: (i) Inland terror attacks in key Israeli cities, (ii) T</w:t>
      </w:r>
      <w:r w:rsidR="005E1B30" w:rsidRPr="00FD7DB6">
        <w:t xml:space="preserve">he dissolution of the Lapid-Bennett </w:t>
      </w:r>
      <w:r w:rsidR="005A61E4">
        <w:t>"</w:t>
      </w:r>
      <w:r w:rsidR="005E1B30">
        <w:t>Unity</w:t>
      </w:r>
      <w:r w:rsidR="005A61E4">
        <w:t>"</w:t>
      </w:r>
      <w:r w:rsidR="005E1B30">
        <w:t xml:space="preserve"> government, leading to Israel</w:t>
      </w:r>
      <w:r w:rsidR="005A61E4">
        <w:t>'</w:t>
      </w:r>
      <w:r w:rsidR="005E1B30">
        <w:t>s fifth election in nearly four years. The Unity government ended 12 years of right-wing governance under Netanyahu, and its dissolution after less than two years signalled the failure to establish an alternative to Netanyahu. (iii) T</w:t>
      </w:r>
      <w:r w:rsidR="005E1B30" w:rsidRPr="00FD7DB6">
        <w:t xml:space="preserve">he introduction of judicial </w:t>
      </w:r>
      <w:r w:rsidR="005A61E4">
        <w:t>r</w:t>
      </w:r>
      <w:r w:rsidR="005E1B30" w:rsidRPr="00FD7DB6">
        <w:t>eform by the new Netanyahu government</w:t>
      </w:r>
      <w:r w:rsidR="005E1B30">
        <w:t xml:space="preserve">. (iv) </w:t>
      </w:r>
      <w:r w:rsidR="009D201A">
        <w:t>Netanyahu</w:t>
      </w:r>
      <w:r w:rsidR="005A61E4">
        <w:t>'</w:t>
      </w:r>
      <w:r w:rsidR="00F40CDC" w:rsidRPr="00F40CDC">
        <w:t xml:space="preserve">s dismissal of Defense Minister Gallant over his opposition to judicial reforms </w:t>
      </w:r>
      <w:r w:rsidR="00074E1D">
        <w:t>sparked</w:t>
      </w:r>
      <w:r w:rsidR="00F40CDC" w:rsidRPr="00F40CDC">
        <w:t xml:space="preserve"> immediate</w:t>
      </w:r>
      <w:r w:rsidR="00074E1D">
        <w:t xml:space="preserve"> demonstrations</w:t>
      </w:r>
      <w:r w:rsidR="00F40CDC" w:rsidRPr="00F40CDC">
        <w:t xml:space="preserve"> across Israel. Protesters disrupted major highways and gathered at key political sites, forcing Netanyahu to pause the legislation</w:t>
      </w:r>
      <w:r w:rsidR="00074E1D">
        <w:t xml:space="preserve"> to prevent </w:t>
      </w:r>
      <w:r w:rsidR="005A61E4">
        <w:t>"</w:t>
      </w:r>
      <w:r w:rsidR="00074E1D">
        <w:t>civil war.</w:t>
      </w:r>
      <w:r w:rsidR="005A61E4">
        <w:t>"</w:t>
      </w:r>
      <w:r w:rsidR="00F40CDC" w:rsidRPr="00F40CDC">
        <w:t xml:space="preserve"> Continued public pressure ultimately compelled the Prime Minister to reinstate Gallant two weeks later. </w:t>
      </w:r>
      <w:r w:rsidR="005E1B30">
        <w:t xml:space="preserve">(v) The October 7 </w:t>
      </w:r>
      <w:r w:rsidR="005A61E4">
        <w:t>w</w:t>
      </w:r>
      <w:r w:rsidR="005E1B30">
        <w:t xml:space="preserve">ar is referred to as the deadliest </w:t>
      </w:r>
      <w:r w:rsidR="005E1B30">
        <w:lastRenderedPageBreak/>
        <w:t xml:space="preserve">day for jews since the Holocaust, with a timing that is potentially connected to the strong divisions within the Israeli population due to the Judicial </w:t>
      </w:r>
      <w:r w:rsidR="004074B0">
        <w:t>R</w:t>
      </w:r>
      <w:r w:rsidR="005E1B30">
        <w:t xml:space="preserve">eform. </w:t>
      </w:r>
      <w:r w:rsidR="005E2BB9">
        <w:t xml:space="preserve">More than </w:t>
      </w:r>
      <w:r w:rsidR="005E2BB9" w:rsidRPr="005E2BB9">
        <w:t>1,219 people </w:t>
      </w:r>
      <w:r w:rsidR="005E2BB9">
        <w:t xml:space="preserve">were killed, and </w:t>
      </w:r>
      <w:r w:rsidR="005E2BB9" w:rsidRPr="005E2BB9">
        <w:t>251</w:t>
      </w:r>
      <w:r w:rsidR="005E2BB9">
        <w:t xml:space="preserve"> were taken </w:t>
      </w:r>
      <w:r w:rsidR="005E2BB9" w:rsidRPr="005E2BB9">
        <w:t>hostage, most of them Israeli civilians.</w:t>
      </w:r>
    </w:p>
    <w:p w14:paraId="58CC8C76" w14:textId="279D5C86" w:rsidR="00A50A9F" w:rsidRPr="00D1497C" w:rsidRDefault="00A50A9F" w:rsidP="00D1497C">
      <w:pPr>
        <w:pStyle w:val="Newparagraph"/>
      </w:pPr>
      <w:r w:rsidRPr="00D1497C">
        <w:t xml:space="preserve">The calculation of political extremism dimensions combines multiple related survey </w:t>
      </w:r>
      <w:r w:rsidR="00D1497C" w:rsidRPr="00D1497C">
        <w:t>items</w:t>
      </w:r>
      <w:r w:rsidRPr="00D1497C">
        <w:t xml:space="preserve"> into a single variable using Confirmatory Factor Analysis (CFA)</w:t>
      </w:r>
      <w:r w:rsidR="00E179B9">
        <w:rPr>
          <w:rStyle w:val="FootnoteReference"/>
        </w:rPr>
        <w:footnoteReference w:id="3"/>
      </w:r>
      <w:r w:rsidRPr="00D1497C">
        <w:t xml:space="preserve">. Each dimension uses a 1-to-7 scale, with 1 representing a low level of extremism and </w:t>
      </w:r>
      <w:r w:rsidR="00D1497C" w:rsidRPr="00D1497C">
        <w:t>seven</w:t>
      </w:r>
      <w:r w:rsidRPr="00D1497C">
        <w:t xml:space="preserve"> a high level of extremism. Respondents</w:t>
      </w:r>
      <w:r w:rsidR="005A61E4">
        <w:t>'</w:t>
      </w:r>
      <w:r w:rsidRPr="00D1497C">
        <w:t xml:space="preserve"> self-reported political affiliations, rated on a 1-to-7 scale (where 1 represents right-wing and 7 represents left-wing), are converted into three political orientation categories: right (1-3), center (4), and left (5-7). </w:t>
      </w:r>
      <w:r w:rsidR="00EC2F49">
        <w:t>Additional variables used by the</w:t>
      </w:r>
      <w:r w:rsidR="00F252BA">
        <w:t xml:space="preserve"> analyses </w:t>
      </w:r>
      <w:r w:rsidR="00EC2F49">
        <w:t>include</w:t>
      </w:r>
      <w:r w:rsidRPr="00D1497C">
        <w:t xml:space="preserve"> </w:t>
      </w:r>
      <w:r w:rsidR="009D201A">
        <w:t>r</w:t>
      </w:r>
      <w:r w:rsidR="00A64245">
        <w:t>eligiosity (</w:t>
      </w:r>
      <w:r w:rsidR="00A64245" w:rsidRPr="00A64245">
        <w:t>secular, traditional, religious, national religious, ultra-orthodox</w:t>
      </w:r>
      <w:r w:rsidR="00F252BA">
        <w:t>)</w:t>
      </w:r>
      <w:r w:rsidR="00A64245" w:rsidRPr="00A64245">
        <w:t xml:space="preserve">, </w:t>
      </w:r>
      <w:r w:rsidR="009D201A">
        <w:t>e</w:t>
      </w:r>
      <w:r w:rsidR="00A64245" w:rsidRPr="00A64245">
        <w:t xml:space="preserve">ducation </w:t>
      </w:r>
      <w:r w:rsidR="00F252BA">
        <w:t>(</w:t>
      </w:r>
      <w:r w:rsidR="00A64245" w:rsidRPr="00A64245">
        <w:t>elementary, high school, post-secondary nonacademic, academic, yeshiva, other</w:t>
      </w:r>
      <w:r w:rsidR="00A64245">
        <w:t xml:space="preserve">), </w:t>
      </w:r>
      <w:r w:rsidR="009D201A">
        <w:t>g</w:t>
      </w:r>
      <w:r w:rsidRPr="00D1497C">
        <w:t>ender (male, female)</w:t>
      </w:r>
      <w:r w:rsidR="00A64245">
        <w:t xml:space="preserve">, </w:t>
      </w:r>
      <w:r w:rsidR="00F252BA">
        <w:t xml:space="preserve">and </w:t>
      </w:r>
      <w:r w:rsidR="009D201A">
        <w:t>a</w:t>
      </w:r>
      <w:r w:rsidRPr="00D1497C">
        <w:t xml:space="preserve">ge </w:t>
      </w:r>
      <w:r w:rsidR="009D201A">
        <w:t>g</w:t>
      </w:r>
      <w:r w:rsidRPr="00D1497C">
        <w:t>roup (18-30, 31-45, 46-60, 60</w:t>
      </w:r>
      <w:r w:rsidR="00F252BA">
        <w:t>)</w:t>
      </w:r>
      <w:r w:rsidR="00EC2F49">
        <w:rPr>
          <w:rStyle w:val="FootnoteReference"/>
        </w:rPr>
        <w:footnoteReference w:id="4"/>
      </w:r>
      <w:r w:rsidRPr="00D1497C">
        <w:t xml:space="preserve">. </w:t>
      </w:r>
    </w:p>
    <w:p w14:paraId="79ECBFBC" w14:textId="77777777" w:rsidR="00D1497C" w:rsidRPr="00192961" w:rsidRDefault="00D1497C" w:rsidP="00D1497C">
      <w:pPr>
        <w:pStyle w:val="Heading1"/>
      </w:pPr>
      <w:r>
        <w:t>Political Extremism Gauge</w:t>
      </w:r>
    </w:p>
    <w:p w14:paraId="13148198" w14:textId="761E15F3" w:rsidR="000560F9" w:rsidRDefault="00D1497C" w:rsidP="000560F9">
      <w:pPr>
        <w:pStyle w:val="Paragraph"/>
      </w:pPr>
      <w:bookmarkStart w:id="20" w:name="_Ref204115974"/>
      <w:bookmarkStart w:id="21" w:name="_Hlk193442670"/>
      <w:bookmarkStart w:id="22" w:name="_Hlk193446226"/>
      <w:bookmarkStart w:id="23" w:name="_Hlk196841222"/>
      <w:bookmarkStart w:id="24" w:name="_Toc166262044"/>
      <w:bookmarkStart w:id="25" w:name="_Toc166262142"/>
      <w:r w:rsidRPr="00A663F8">
        <w:t xml:space="preserve">The Political Extremism Gauge converts the three </w:t>
      </w:r>
      <w:r w:rsidR="000560F9">
        <w:t xml:space="preserve">political extremism </w:t>
      </w:r>
      <w:r w:rsidRPr="00A663F8">
        <w:t xml:space="preserve">dimensions into </w:t>
      </w:r>
      <w:r w:rsidR="000560F9">
        <w:t xml:space="preserve">a set of indices that enable comparisons of </w:t>
      </w:r>
      <w:r w:rsidRPr="00A663F8">
        <w:t xml:space="preserve">extremism </w:t>
      </w:r>
      <w:r w:rsidR="000560F9">
        <w:t>across</w:t>
      </w:r>
      <w:r w:rsidRPr="00A663F8">
        <w:t xml:space="preserve"> different </w:t>
      </w:r>
      <w:r w:rsidR="000560F9">
        <w:t>population</w:t>
      </w:r>
      <w:r w:rsidR="005E2BB9">
        <w:t xml:space="preserve"> group</w:t>
      </w:r>
      <w:r w:rsidR="000560F9">
        <w:t>s</w:t>
      </w:r>
      <w:r w:rsidR="00AA6AFE">
        <w:rPr>
          <w:rStyle w:val="FootnoteReference"/>
        </w:rPr>
        <w:footnoteReference w:id="5"/>
      </w:r>
      <w:r w:rsidRPr="00A663F8">
        <w:t xml:space="preserve">. </w:t>
      </w:r>
      <w:r w:rsidR="000560F9" w:rsidRPr="000560F9">
        <w:t>The methodological strength of the political extremism gauge rests on its transition from absolute measurements to relative divergence. While absolute indices capture the central tendency of a population, they are subject to the contextual limitations previously discussed—specifically</w:t>
      </w:r>
      <w:r w:rsidR="000560F9">
        <w:t>, the confounding effects of cultural response styles and national political climates, which</w:t>
      </w:r>
      <w:r w:rsidR="000560F9" w:rsidRPr="000560F9">
        <w:t xml:space="preserve"> can render cross-national comparisons of raw scores unreliable.</w:t>
      </w:r>
      <w:r w:rsidR="000560F9">
        <w:t xml:space="preserve"> </w:t>
      </w:r>
      <w:r w:rsidR="000560F9" w:rsidRPr="000560F9">
        <w:t xml:space="preserve">The gauge resolves these issues by </w:t>
      </w:r>
      <w:r w:rsidR="000560F9">
        <w:t xml:space="preserve">providing </w:t>
      </w:r>
      <w:r w:rsidR="000560F9" w:rsidRPr="000560F9">
        <w:t xml:space="preserve">Relative Indices, which measure extremism </w:t>
      </w:r>
      <w:r w:rsidR="000560F9" w:rsidRPr="000560F9">
        <w:lastRenderedPageBreak/>
        <w:t xml:space="preserve">as a structural property of the distribution rather than a fixed point on a scale. </w:t>
      </w:r>
    </w:p>
    <w:p w14:paraId="560E022A" w14:textId="77777777" w:rsidR="00AA6AFE" w:rsidRDefault="00AA6AFE">
      <w:pPr>
        <w:spacing w:line="240" w:lineRule="auto"/>
      </w:pPr>
      <w:r>
        <w:br w:type="page"/>
      </w:r>
    </w:p>
    <w:p w14:paraId="1ADDEF1C" w14:textId="3F26FEE9" w:rsidR="00D1497C" w:rsidRDefault="00D1497C" w:rsidP="00D1497C">
      <w:pPr>
        <w:pStyle w:val="Figurecaption"/>
      </w:pPr>
      <w:r>
        <w:lastRenderedPageBreak/>
        <w:t xml:space="preserve">Figure </w:t>
      </w:r>
      <w:fldSimple w:instr=" SEQ Figure \* ARABIC ">
        <w:r w:rsidR="00823ED9">
          <w:rPr>
            <w:noProof/>
          </w:rPr>
          <w:t>2</w:t>
        </w:r>
      </w:fldSimple>
      <w:bookmarkEnd w:id="20"/>
      <w:r>
        <w:rPr>
          <w:lang w:val="en-US"/>
        </w:rPr>
        <w:t>: Operationalization of Political Extremism</w:t>
      </w:r>
    </w:p>
    <w:p w14:paraId="4F2AD4BF" w14:textId="77777777" w:rsidR="00D1497C" w:rsidRDefault="00D1497C" w:rsidP="00D1497C">
      <w:r w:rsidRPr="00F40CDC">
        <w:rPr>
          <w:noProof/>
        </w:rPr>
        <w:drawing>
          <wp:inline distT="0" distB="0" distL="0" distR="0" wp14:anchorId="3F7F9302" wp14:editId="1C379403">
            <wp:extent cx="5396865" cy="1649730"/>
            <wp:effectExtent l="0" t="0" r="0" b="7620"/>
            <wp:docPr id="76014115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41153" name="Picture 1" descr="A diagram of a diagram&#10;&#10;AI-generated content may be incorrect."/>
                    <pic:cNvPicPr/>
                  </pic:nvPicPr>
                  <pic:blipFill>
                    <a:blip r:embed="rId10"/>
                    <a:stretch>
                      <a:fillRect/>
                    </a:stretch>
                  </pic:blipFill>
                  <pic:spPr>
                    <a:xfrm>
                      <a:off x="0" y="0"/>
                      <a:ext cx="5396865" cy="1649730"/>
                    </a:xfrm>
                    <a:prstGeom prst="rect">
                      <a:avLst/>
                    </a:prstGeom>
                  </pic:spPr>
                </pic:pic>
              </a:graphicData>
            </a:graphic>
          </wp:inline>
        </w:drawing>
      </w:r>
    </w:p>
    <w:p w14:paraId="3930797B" w14:textId="447736E7" w:rsidR="00D1497C" w:rsidRDefault="000560F9" w:rsidP="00537A73">
      <w:pPr>
        <w:pStyle w:val="Newparagraph"/>
      </w:pPr>
      <w:bookmarkStart w:id="26" w:name="_Hlk196844398"/>
      <w:bookmarkEnd w:id="21"/>
      <w:bookmarkEnd w:id="22"/>
      <w:bookmarkEnd w:id="23"/>
      <w:r>
        <w:t xml:space="preserve">The </w:t>
      </w:r>
      <w:r w:rsidRPr="00A663F8">
        <w:t xml:space="preserve">Relative indices </w:t>
      </w:r>
      <w:r>
        <w:t>indicate</w:t>
      </w:r>
      <w:r w:rsidRPr="00A663F8">
        <w:t xml:space="preserve"> </w:t>
      </w:r>
      <w:r>
        <w:t>the degree of deviation from the population</w:t>
      </w:r>
      <w:r w:rsidR="005A61E4">
        <w:t>'</w:t>
      </w:r>
      <w:r>
        <w:t>s central tendency</w:t>
      </w:r>
      <w:r w:rsidRPr="00A663F8">
        <w:t xml:space="preserve">. </w:t>
      </w:r>
      <w:r w:rsidR="009C0EB7" w:rsidRPr="00A663F8">
        <w:t>This standardization neutralizes local idiosyncrasies. It allows researchers to compare how distinct populations diverge from their respective norms without the confounding influence of context-dependent baselines.</w:t>
      </w:r>
      <w:r w:rsidR="00537A73">
        <w:t xml:space="preserve"> </w:t>
      </w:r>
      <w:r>
        <w:t>I</w:t>
      </w:r>
      <w:r w:rsidR="00D1497C" w:rsidRPr="00A663F8">
        <w:t xml:space="preserve">dentification of the extremist segment is relative to the specific population norm. This approach shifts the analytical focus from raw values to the degree of deviation from a societal center. </w:t>
      </w:r>
    </w:p>
    <w:bookmarkEnd w:id="26"/>
    <w:p w14:paraId="0FE002E2" w14:textId="1D431AB2" w:rsidR="00D1497C" w:rsidRPr="00707DBE" w:rsidRDefault="00D1497C" w:rsidP="009D201A">
      <w:pPr>
        <w:pStyle w:val="Newparagraph"/>
        <w:rPr>
          <w:lang w:val="en-US"/>
        </w:rPr>
      </w:pPr>
      <w:r>
        <w:t xml:space="preserve">Absolute indices include the Normative Point (NP), which represents the population median in each dimension, and the Extremism Point (EP), which serves as a threshold to identify the more extreme </w:t>
      </w:r>
      <w:r w:rsidR="001C7199">
        <w:t xml:space="preserve">segment of the </w:t>
      </w:r>
      <w:r>
        <w:t xml:space="preserve">population. </w:t>
      </w:r>
      <w:bookmarkEnd w:id="24"/>
      <w:bookmarkEnd w:id="25"/>
      <w:r w:rsidR="00E11819" w:rsidRPr="00E11819">
        <w:t xml:space="preserve">The Extremist Point (EP) is operationalized by adding K times the Median Absolute Deviation (MAD) to the established Normative Point (NP), expressed as EP = NP + K * MAD. </w:t>
      </w:r>
      <w:r w:rsidR="00E11819">
        <w:t>Unlike mean-based thresholds</w:t>
      </w:r>
      <w:r w:rsidR="00A82F3E">
        <w:rPr>
          <w:rStyle w:val="FootnoteReference"/>
        </w:rPr>
        <w:footnoteReference w:id="6"/>
      </w:r>
      <w:r w:rsidR="00E11819">
        <w:t xml:space="preserve"> or simple quantiles, this method </w:t>
      </w:r>
      <w:r w:rsidR="00537A73" w:rsidRPr="00537A73">
        <w:t>creates a self-calibrating mechanism</w:t>
      </w:r>
      <w:r w:rsidR="009D201A">
        <w:t xml:space="preserve"> that offers greater resilience against the influence of outliers, which are inherent to radicalization studies</w:t>
      </w:r>
      <w:r w:rsidR="00E11819">
        <w:t xml:space="preserve">. By using the MAD, the threshold adapts to the specific variance of each dimension and </w:t>
      </w:r>
      <w:r w:rsidR="00537A73">
        <w:t xml:space="preserve">survey </w:t>
      </w:r>
      <w:r w:rsidR="00E11819">
        <w:t xml:space="preserve">wave, ensuring that the identified </w:t>
      </w:r>
      <w:r w:rsidR="005A61E4">
        <w:t>"</w:t>
      </w:r>
      <w:r w:rsidR="00E11819">
        <w:t>extreme</w:t>
      </w:r>
      <w:r w:rsidR="005A61E4">
        <w:t>"</w:t>
      </w:r>
      <w:r w:rsidR="00E11819">
        <w:t xml:space="preserve"> population is statistically distinct from the general public</w:t>
      </w:r>
      <w:r w:rsidR="005A61E4">
        <w:t>'</w:t>
      </w:r>
      <w:r w:rsidR="00E11819">
        <w:t xml:space="preserve">s central tendency. </w:t>
      </w:r>
      <w:r w:rsidR="009D201A" w:rsidRPr="009D201A">
        <w:t xml:space="preserve">The constant K (set to 1.5 in this research) serves as an adjustable sensitivity parameter that researchers can tune </w:t>
      </w:r>
      <w:r w:rsidR="009D201A" w:rsidRPr="009D201A">
        <w:lastRenderedPageBreak/>
        <w:t>across different survey environments without losing the underlying logic of the comparison.</w:t>
      </w:r>
      <w:r w:rsidR="009D201A">
        <w:t xml:space="preserve"> </w:t>
      </w:r>
      <w:r w:rsidR="00E179B9">
        <w:rPr>
          <w:lang w:val="en-US"/>
        </w:rPr>
        <w:t>Setting the</w:t>
      </w:r>
      <w:r w:rsidR="00537A73">
        <w:rPr>
          <w:lang w:val="en-US"/>
        </w:rPr>
        <w:t xml:space="preserve"> value of </w:t>
      </w:r>
      <w:r w:rsidR="00E179B9">
        <w:rPr>
          <w:lang w:val="en-US"/>
        </w:rPr>
        <w:t xml:space="preserve">the </w:t>
      </w:r>
      <w:r w:rsidR="00537A73">
        <w:rPr>
          <w:lang w:val="en-US"/>
        </w:rPr>
        <w:t xml:space="preserve">K </w:t>
      </w:r>
      <w:r w:rsidR="00E179B9">
        <w:rPr>
          <w:lang w:val="en-US"/>
        </w:rPr>
        <w:t xml:space="preserve">constant serves two methodological objectives: excluding individuals with moderate characteristics from the extremist tail distribution and ensuring an </w:t>
      </w:r>
      <w:r w:rsidR="00E11819" w:rsidRPr="00E11819">
        <w:t>adequate sample size and sufficient resolution (i.e., number of unique values) to facilitate robust statistical analysis.</w:t>
      </w:r>
    </w:p>
    <w:p w14:paraId="1FDB5399" w14:textId="142D5790" w:rsidR="00D1497C" w:rsidRPr="00707DBE" w:rsidRDefault="00E179B9" w:rsidP="00D1497C">
      <w:pPr>
        <w:pStyle w:val="Newparagraph"/>
        <w:rPr>
          <w:lang w:val="en-US"/>
        </w:rPr>
      </w:pPr>
      <w:bookmarkStart w:id="27" w:name="_Ref204083297"/>
      <w:r>
        <w:rPr>
          <w:lang w:val="en-US"/>
        </w:rPr>
        <w:t xml:space="preserve">The </w:t>
      </w:r>
      <w:r w:rsidR="009D201A">
        <w:rPr>
          <w:lang w:val="en-US"/>
        </w:rPr>
        <w:t>leading</w:t>
      </w:r>
      <w:r>
        <w:rPr>
          <w:lang w:val="en-US"/>
        </w:rPr>
        <w:t xml:space="preserve"> r</w:t>
      </w:r>
      <w:r w:rsidR="00D1497C" w:rsidRPr="00707DBE">
        <w:rPr>
          <w:lang w:val="en-US"/>
        </w:rPr>
        <w:t xml:space="preserve">elative indices </w:t>
      </w:r>
      <w:r>
        <w:rPr>
          <w:lang w:val="en-US"/>
        </w:rPr>
        <w:t xml:space="preserve">are the </w:t>
      </w:r>
      <w:r w:rsidR="00D1497C" w:rsidRPr="00707DBE">
        <w:rPr>
          <w:lang w:val="en-US"/>
        </w:rPr>
        <w:t xml:space="preserve"> Extremism Levels (EL) and </w:t>
      </w:r>
      <w:r>
        <w:rPr>
          <w:lang w:val="en-US"/>
        </w:rPr>
        <w:t xml:space="preserve">the </w:t>
      </w:r>
      <w:r w:rsidR="00D1497C" w:rsidRPr="00707DBE">
        <w:rPr>
          <w:lang w:val="en-US"/>
        </w:rPr>
        <w:t xml:space="preserve">Extremism Intensity (EIN). EL represents the percentage of the group above the EP in each dimension. EIN represents the mean intensity of that group. The </w:t>
      </w:r>
      <w:r>
        <w:rPr>
          <w:lang w:val="en-US"/>
        </w:rPr>
        <w:t xml:space="preserve">relative </w:t>
      </w:r>
      <w:r w:rsidR="00D1497C" w:rsidRPr="00707DBE">
        <w:rPr>
          <w:lang w:val="en-US"/>
        </w:rPr>
        <w:t>indices also include three Extremism Ranks (ER1, ER2, ER3). These ranks represent the population percentage with at least one, two, or three dimensions above the EP.</w:t>
      </w:r>
    </w:p>
    <w:p w14:paraId="3C22D09A" w14:textId="0CA0A52B" w:rsidR="00D1497C" w:rsidRDefault="00D1497C" w:rsidP="00D1497C">
      <w:pPr>
        <w:pStyle w:val="Figurecaption"/>
      </w:pPr>
      <w:r>
        <w:t xml:space="preserve">Figure </w:t>
      </w:r>
      <w:fldSimple w:instr=" SEQ Figure \* ARABIC ">
        <w:r w:rsidR="00823ED9">
          <w:rPr>
            <w:noProof/>
          </w:rPr>
          <w:t>3</w:t>
        </w:r>
      </w:fldSimple>
      <w:bookmarkEnd w:id="27"/>
      <w:r>
        <w:rPr>
          <w:lang w:val="en-US"/>
        </w:rPr>
        <w:t>: Gauge Indices</w:t>
      </w:r>
    </w:p>
    <w:p w14:paraId="1EA96A61" w14:textId="77777777" w:rsidR="00D1497C" w:rsidRDefault="00D1497C" w:rsidP="00D1497C">
      <w:pPr>
        <w:pStyle w:val="Paragraph"/>
        <w:rPr>
          <w:lang w:val="en-US" w:bidi="he-IL"/>
        </w:rPr>
      </w:pPr>
      <w:r w:rsidRPr="00EF37A7">
        <w:rPr>
          <w:noProof/>
          <w:lang w:bidi="he-IL"/>
        </w:rPr>
        <w:drawing>
          <wp:inline distT="0" distB="0" distL="0" distR="0" wp14:anchorId="1B35FA3A" wp14:editId="600238DE">
            <wp:extent cx="5396865" cy="2818130"/>
            <wp:effectExtent l="0" t="0" r="0" b="1270"/>
            <wp:docPr id="9" name="Picture 8" descr="A diagram of a graph&#10;&#10;AI-generated content may be incorrect.">
              <a:extLst xmlns:a="http://schemas.openxmlformats.org/drawingml/2006/main">
                <a:ext uri="{FF2B5EF4-FFF2-40B4-BE49-F238E27FC236}">
                  <a16:creationId xmlns:a16="http://schemas.microsoft.com/office/drawing/2014/main" id="{35D1C6E5-8A35-6772-9797-5075473D47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diagram of a graph&#10;&#10;AI-generated content may be incorrect.">
                      <a:extLst>
                        <a:ext uri="{FF2B5EF4-FFF2-40B4-BE49-F238E27FC236}">
                          <a16:creationId xmlns:a16="http://schemas.microsoft.com/office/drawing/2014/main" id="{35D1C6E5-8A35-6772-9797-5075473D4754}"/>
                        </a:ext>
                      </a:extLst>
                    </pic:cNvPr>
                    <pic:cNvPicPr>
                      <a:picLocks noChangeAspect="1"/>
                    </pic:cNvPicPr>
                  </pic:nvPicPr>
                  <pic:blipFill>
                    <a:blip r:embed="rId11"/>
                    <a:stretch>
                      <a:fillRect/>
                    </a:stretch>
                  </pic:blipFill>
                  <pic:spPr>
                    <a:xfrm>
                      <a:off x="0" y="0"/>
                      <a:ext cx="5396865" cy="2818130"/>
                    </a:xfrm>
                    <a:prstGeom prst="rect">
                      <a:avLst/>
                    </a:prstGeom>
                  </pic:spPr>
                </pic:pic>
              </a:graphicData>
            </a:graphic>
          </wp:inline>
        </w:drawing>
      </w:r>
    </w:p>
    <w:p w14:paraId="775A3C06" w14:textId="25A7C248" w:rsidR="006C079F" w:rsidRDefault="006C079F" w:rsidP="004810BA">
      <w:pPr>
        <w:pStyle w:val="Heading1"/>
        <w:spacing w:after="0"/>
      </w:pPr>
      <w:r w:rsidRPr="004074B0">
        <w:t>Results</w:t>
      </w:r>
    </w:p>
    <w:p w14:paraId="33F2D634" w14:textId="6CB9AD7B" w:rsidR="005D5D1F" w:rsidRDefault="005D5D1F" w:rsidP="005D5D1F">
      <w:pPr>
        <w:pStyle w:val="Heading2"/>
      </w:pPr>
      <w:r>
        <w:t>Does political affiliation moderate the impact of destabilizing events?</w:t>
      </w:r>
    </w:p>
    <w:p w14:paraId="37167379" w14:textId="4C7F0C81" w:rsidR="00595251" w:rsidRPr="00077EE2" w:rsidRDefault="00595251" w:rsidP="00595251">
      <w:pPr>
        <w:pStyle w:val="Paragraph"/>
        <w:rPr>
          <w:lang w:val="en-US"/>
        </w:rPr>
      </w:pPr>
      <w:r>
        <w:t xml:space="preserve">The analysis begins by examining how political affiliations (left-wing, center-wing, right-wing) moderate the association of various destabilizing events with political extremism across the dimensions of political extremism. This study uses </w:t>
      </w:r>
      <w:r w:rsidRPr="005E1B30">
        <w:t xml:space="preserve">Multivariate Analysis of Variance (MANOVA) on each consecutive pair of </w:t>
      </w:r>
      <w:r w:rsidR="00E71FC6">
        <w:t>p</w:t>
      </w:r>
      <w:r w:rsidRPr="005E1B30">
        <w:t xml:space="preserve">olitical </w:t>
      </w:r>
      <w:r w:rsidR="00E71FC6">
        <w:t>e</w:t>
      </w:r>
      <w:r w:rsidRPr="005E1B30">
        <w:t xml:space="preserve">xtremism </w:t>
      </w:r>
      <w:r w:rsidR="00E71FC6">
        <w:t>s</w:t>
      </w:r>
      <w:r w:rsidRPr="005E1B30">
        <w:t xml:space="preserve">urvey waves. </w:t>
      </w:r>
      <w:r>
        <w:t xml:space="preserve">For </w:t>
      </w:r>
      <w:r>
        <w:lastRenderedPageBreak/>
        <w:t xml:space="preserve">the panel survey waves (3 and 4), the analysis employs a </w:t>
      </w:r>
      <w:r w:rsidR="00F17D5E">
        <w:t>r</w:t>
      </w:r>
      <w:r>
        <w:t>epeated-</w:t>
      </w:r>
      <w:r w:rsidR="00F17D5E">
        <w:t>m</w:t>
      </w:r>
      <w:r>
        <w:t>easures</w:t>
      </w:r>
      <w:r w:rsidRPr="005E1B30">
        <w:t xml:space="preserve"> MANOVA.</w:t>
      </w:r>
      <w:r>
        <w:t xml:space="preserve"> </w:t>
      </w:r>
      <w:r w:rsidR="00077EE2">
        <w:rPr>
          <w:lang w:val="en-US"/>
        </w:rPr>
        <w:t xml:space="preserve">The MANOVA model includes the occurrence of the destabilizing event (0 for the first wave and 1 for the second), political orientation, control variables for religiosity, education, gender, and age group, and an interaction between the destabilizing event and political orientation. </w:t>
      </w:r>
    </w:p>
    <w:p w14:paraId="6B9DB3DB" w14:textId="1FB23C85" w:rsidR="00077EE2" w:rsidRPr="00BB2F23" w:rsidRDefault="005D5D1F" w:rsidP="00BB2F23">
      <w:pPr>
        <w:pStyle w:val="Newparagraph"/>
        <w:rPr>
          <w:lang w:val="en-US"/>
        </w:rPr>
      </w:pPr>
      <w:bookmarkStart w:id="28" w:name="_Ref207304911"/>
      <w:r w:rsidRPr="005D5D1F">
        <w:rPr>
          <w:lang w:val="en-US"/>
        </w:rPr>
        <w:t xml:space="preserve">The results </w:t>
      </w:r>
      <w:r w:rsidR="009D1439">
        <w:rPr>
          <w:lang w:val="en-US"/>
        </w:rPr>
        <w:t xml:space="preserve">of the </w:t>
      </w:r>
      <w:r w:rsidR="009549FE">
        <w:rPr>
          <w:lang w:val="en-US"/>
        </w:rPr>
        <w:t>MANOVA</w:t>
      </w:r>
      <w:r w:rsidR="009D1439">
        <w:rPr>
          <w:lang w:val="en-US"/>
        </w:rPr>
        <w:t xml:space="preserve"> a</w:t>
      </w:r>
      <w:bookmarkStart w:id="29" w:name="_Ref217736342"/>
      <w:r w:rsidR="005A61E4">
        <w:rPr>
          <w:lang w:val="en-US"/>
        </w:rPr>
        <w:t>cross the entire population (Table 1) indicate that the inland T=terror event had the most significan</w:t>
      </w:r>
      <w:r w:rsidR="00077EE2" w:rsidRPr="00077EE2">
        <w:rPr>
          <w:lang w:val="en-US"/>
        </w:rPr>
        <w:t xml:space="preserve">t multivariate impact on the dimensions of political extremism (V = 0.019, p &lt; .001, </w:t>
      </w:r>
      <w:r w:rsidR="00BB2F23">
        <w:rPr>
          <w:rFonts w:ascii="Segoe UI" w:hAnsi="Segoe UI" w:cs="Segoe UI"/>
          <w:color w:val="333333"/>
          <w:sz w:val="18"/>
          <w:szCs w:val="18"/>
          <w:shd w:val="clear" w:color="auto" w:fill="FFFFFF"/>
        </w:rPr>
        <w:t xml:space="preserve">η² </w:t>
      </w:r>
      <w:r w:rsidR="00077EE2" w:rsidRPr="00077EE2">
        <w:rPr>
          <w:lang w:val="en-US"/>
        </w:rPr>
        <w:t xml:space="preserve">= 0.019). While the main </w:t>
      </w:r>
      <w:r w:rsidR="00077EE2">
        <w:rPr>
          <w:lang w:val="en-US"/>
        </w:rPr>
        <w:t xml:space="preserve">effects of other events, such as the </w:t>
      </w:r>
      <w:r w:rsidR="005A61E4">
        <w:rPr>
          <w:lang w:val="en-US"/>
        </w:rPr>
        <w:t>f</w:t>
      </w:r>
      <w:r w:rsidR="00077EE2">
        <w:rPr>
          <w:lang w:val="en-US"/>
        </w:rPr>
        <w:t xml:space="preserve">all of the Bennett </w:t>
      </w:r>
      <w:r w:rsidR="005A61E4">
        <w:rPr>
          <w:lang w:val="en-US"/>
        </w:rPr>
        <w:t>g</w:t>
      </w:r>
      <w:r w:rsidR="00077EE2">
        <w:rPr>
          <w:lang w:val="en-US"/>
        </w:rPr>
        <w:t xml:space="preserve">overnment or the October 7 </w:t>
      </w:r>
      <w:r w:rsidR="005A61E4">
        <w:rPr>
          <w:lang w:val="en-US"/>
        </w:rPr>
        <w:t>w</w:t>
      </w:r>
      <w:r w:rsidR="00077EE2">
        <w:rPr>
          <w:lang w:val="en-US"/>
        </w:rPr>
        <w:t>ar,</w:t>
      </w:r>
      <w:r w:rsidR="00077EE2" w:rsidRPr="00077EE2">
        <w:rPr>
          <w:lang w:val="en-US"/>
        </w:rPr>
        <w:t xml:space="preserve"> did not reach statistical significance at the multivariate level for the whole population, the interaction between the Event and Political Orientation was significant across several stages. Notably, the </w:t>
      </w:r>
      <w:r w:rsidR="005A61E4">
        <w:rPr>
          <w:lang w:val="en-US"/>
        </w:rPr>
        <w:t>i</w:t>
      </w:r>
      <w:r w:rsidR="00077EE2" w:rsidRPr="00077EE2">
        <w:rPr>
          <w:lang w:val="en-US"/>
        </w:rPr>
        <w:t xml:space="preserve">nland </w:t>
      </w:r>
      <w:r w:rsidR="005A61E4">
        <w:rPr>
          <w:lang w:val="en-US"/>
        </w:rPr>
        <w:t>t</w:t>
      </w:r>
      <w:r w:rsidR="00077EE2" w:rsidRPr="00077EE2">
        <w:rPr>
          <w:lang w:val="en-US"/>
        </w:rPr>
        <w:t xml:space="preserve">error event (V = 0.013, p &lt; .001), the Gallant </w:t>
      </w:r>
      <w:r w:rsidR="005A61E4">
        <w:rPr>
          <w:lang w:val="en-US"/>
        </w:rPr>
        <w:t>d</w:t>
      </w:r>
      <w:r w:rsidR="00077EE2" w:rsidRPr="00077EE2">
        <w:rPr>
          <w:lang w:val="en-US"/>
        </w:rPr>
        <w:t xml:space="preserve">ismissal (V = 0.006, p &lt; .05), and the October 7 </w:t>
      </w:r>
      <w:r w:rsidR="005A61E4">
        <w:rPr>
          <w:lang w:val="en-US"/>
        </w:rPr>
        <w:t>w</w:t>
      </w:r>
      <w:r w:rsidR="00077EE2" w:rsidRPr="00077EE2">
        <w:rPr>
          <w:lang w:val="en-US"/>
        </w:rPr>
        <w:t>ar (V = 0.005, p &lt; .05) all showed significant interactions, suggesting that the impact of these crises on extremism is moderated by whether an individual identifies as left-wing, center-wing, or right-wing.</w:t>
      </w:r>
    </w:p>
    <w:p w14:paraId="0A46F21E" w14:textId="65DB87D0" w:rsidR="00077EE2" w:rsidRDefault="005D5D1F" w:rsidP="00BB2F23">
      <w:pPr>
        <w:pStyle w:val="Tabletitle"/>
        <w:rPr>
          <w:lang w:val="en-US"/>
        </w:rPr>
      </w:pPr>
      <w:r>
        <w:t xml:space="preserve">Table </w:t>
      </w:r>
      <w:fldSimple w:instr=" SEQ Table \* ARABIC ">
        <w:r w:rsidR="00823ED9">
          <w:rPr>
            <w:noProof/>
          </w:rPr>
          <w:t>1</w:t>
        </w:r>
      </w:fldSimple>
      <w:bookmarkEnd w:id="29"/>
      <w:r>
        <w:rPr>
          <w:lang w:val="en-US"/>
        </w:rPr>
        <w:t xml:space="preserve">: </w:t>
      </w:r>
      <w:r w:rsidRPr="00A432A2">
        <w:rPr>
          <w:lang w:val="en-US"/>
        </w:rPr>
        <w:t xml:space="preserve">MANOVA </w:t>
      </w:r>
      <w:r>
        <w:rPr>
          <w:lang w:val="en-US"/>
        </w:rPr>
        <w:t>r</w:t>
      </w:r>
      <w:r w:rsidRPr="00A432A2">
        <w:rPr>
          <w:lang w:val="en-US"/>
        </w:rPr>
        <w:t xml:space="preserve">esults </w:t>
      </w:r>
      <w:r>
        <w:rPr>
          <w:lang w:val="en-US"/>
        </w:rPr>
        <w:t>a</w:t>
      </w:r>
      <w:r w:rsidRPr="00A432A2">
        <w:rPr>
          <w:lang w:val="en-US"/>
        </w:rPr>
        <w:t xml:space="preserve">cross </w:t>
      </w:r>
      <w:r w:rsidR="009D1439">
        <w:rPr>
          <w:lang w:val="en-US"/>
        </w:rPr>
        <w:t>the entire population</w:t>
      </w:r>
    </w:p>
    <w:tbl>
      <w:tblPr>
        <w:tblW w:w="8499" w:type="dxa"/>
        <w:tblBorders>
          <w:top w:val="single" w:sz="12" w:space="0" w:color="A8A8A8"/>
          <w:bottom w:val="single" w:sz="12" w:space="0" w:color="A8A8A8"/>
        </w:tblBorders>
        <w:shd w:val="clear" w:color="auto" w:fill="FFFFFF"/>
        <w:tblCellMar>
          <w:top w:w="15" w:type="dxa"/>
          <w:left w:w="15" w:type="dxa"/>
          <w:bottom w:w="15" w:type="dxa"/>
          <w:right w:w="15" w:type="dxa"/>
        </w:tblCellMar>
        <w:tblLook w:val="04A0" w:firstRow="1" w:lastRow="0" w:firstColumn="1" w:lastColumn="0" w:noHBand="0" w:noVBand="1"/>
      </w:tblPr>
      <w:tblGrid>
        <w:gridCol w:w="1816"/>
        <w:gridCol w:w="1310"/>
        <w:gridCol w:w="1351"/>
        <w:gridCol w:w="1357"/>
        <w:gridCol w:w="1361"/>
        <w:gridCol w:w="1304"/>
      </w:tblGrid>
      <w:tr w:rsidR="00077EE2" w:rsidRPr="00077EE2" w14:paraId="467DCEF7" w14:textId="77777777" w:rsidTr="00077EE2">
        <w:trPr>
          <w:tblHeader/>
        </w:trPr>
        <w:tc>
          <w:tcPr>
            <w:tcW w:w="0" w:type="auto"/>
            <w:tcBorders>
              <w:top w:val="single" w:sz="4" w:space="0" w:color="auto"/>
              <w:left w:val="nil"/>
              <w:bottom w:val="nil"/>
              <w:right w:val="nil"/>
            </w:tcBorders>
            <w:shd w:val="clear" w:color="auto" w:fill="FFFFFF"/>
            <w:tcMar>
              <w:top w:w="75" w:type="dxa"/>
              <w:left w:w="75" w:type="dxa"/>
              <w:bottom w:w="90" w:type="dxa"/>
              <w:right w:w="75" w:type="dxa"/>
            </w:tcMar>
            <w:vAlign w:val="bottom"/>
            <w:hideMark/>
          </w:tcPr>
          <w:p w14:paraId="14593D83" w14:textId="77777777" w:rsidR="00077EE2" w:rsidRPr="00077EE2" w:rsidRDefault="00077EE2" w:rsidP="00077EE2">
            <w:pPr>
              <w:spacing w:line="240" w:lineRule="auto"/>
              <w:rPr>
                <w:rFonts w:ascii="Segoe UI" w:hAnsi="Segoe UI" w:cs="Segoe UI"/>
                <w:b/>
                <w:bCs/>
                <w:color w:val="333333"/>
                <w:sz w:val="18"/>
                <w:szCs w:val="18"/>
                <w:lang w:val="en-US" w:eastAsia="en-US"/>
              </w:rPr>
            </w:pPr>
            <w:r w:rsidRPr="00077EE2">
              <w:rPr>
                <w:rFonts w:ascii="Segoe UI" w:hAnsi="Segoe UI" w:cs="Segoe UI"/>
                <w:b/>
                <w:bCs/>
                <w:color w:val="333333"/>
                <w:sz w:val="18"/>
                <w:szCs w:val="18"/>
                <w:lang w:val="en-US" w:eastAsia="en-US"/>
              </w:rPr>
              <w:t>Variable</w:t>
            </w:r>
          </w:p>
        </w:tc>
        <w:tc>
          <w:tcPr>
            <w:tcW w:w="0" w:type="auto"/>
            <w:tcBorders>
              <w:top w:val="single" w:sz="4" w:space="0" w:color="auto"/>
              <w:left w:val="nil"/>
              <w:bottom w:val="nil"/>
              <w:right w:val="nil"/>
            </w:tcBorders>
            <w:shd w:val="clear" w:color="auto" w:fill="FFFFFF"/>
            <w:tcMar>
              <w:top w:w="75" w:type="dxa"/>
              <w:left w:w="75" w:type="dxa"/>
              <w:bottom w:w="90" w:type="dxa"/>
              <w:right w:w="75" w:type="dxa"/>
            </w:tcMar>
            <w:vAlign w:val="bottom"/>
            <w:hideMark/>
          </w:tcPr>
          <w:p w14:paraId="3E998C4D" w14:textId="77777777" w:rsidR="00077EE2" w:rsidRPr="00077EE2" w:rsidRDefault="00077EE2" w:rsidP="00077EE2">
            <w:pPr>
              <w:spacing w:line="240" w:lineRule="auto"/>
              <w:jc w:val="center"/>
              <w:rPr>
                <w:rFonts w:ascii="Segoe UI" w:hAnsi="Segoe UI" w:cs="Segoe UI"/>
                <w:b/>
                <w:bCs/>
                <w:color w:val="333333"/>
                <w:sz w:val="18"/>
                <w:szCs w:val="18"/>
                <w:lang w:val="en-US" w:eastAsia="en-US"/>
              </w:rPr>
            </w:pPr>
            <w:r w:rsidRPr="00077EE2">
              <w:rPr>
                <w:rFonts w:ascii="Segoe UI" w:hAnsi="Segoe UI" w:cs="Segoe UI"/>
                <w:b/>
                <w:bCs/>
                <w:color w:val="333333"/>
                <w:sz w:val="18"/>
                <w:szCs w:val="18"/>
                <w:lang w:val="en-US" w:eastAsia="en-US"/>
              </w:rPr>
              <w:t>Inland Terror</w:t>
            </w:r>
          </w:p>
        </w:tc>
        <w:tc>
          <w:tcPr>
            <w:tcW w:w="0" w:type="auto"/>
            <w:tcBorders>
              <w:top w:val="single" w:sz="4" w:space="0" w:color="auto"/>
              <w:left w:val="nil"/>
              <w:bottom w:val="nil"/>
              <w:right w:val="nil"/>
            </w:tcBorders>
            <w:shd w:val="clear" w:color="auto" w:fill="FFFFFF"/>
            <w:tcMar>
              <w:top w:w="75" w:type="dxa"/>
              <w:left w:w="75" w:type="dxa"/>
              <w:bottom w:w="90" w:type="dxa"/>
              <w:right w:w="75" w:type="dxa"/>
            </w:tcMar>
            <w:vAlign w:val="bottom"/>
            <w:hideMark/>
          </w:tcPr>
          <w:p w14:paraId="23A84B47" w14:textId="77777777" w:rsidR="00077EE2" w:rsidRPr="00077EE2" w:rsidRDefault="00077EE2" w:rsidP="00077EE2">
            <w:pPr>
              <w:spacing w:line="240" w:lineRule="auto"/>
              <w:jc w:val="center"/>
              <w:rPr>
                <w:rFonts w:ascii="Segoe UI" w:hAnsi="Segoe UI" w:cs="Segoe UI"/>
                <w:b/>
                <w:bCs/>
                <w:color w:val="333333"/>
                <w:sz w:val="18"/>
                <w:szCs w:val="18"/>
                <w:lang w:val="en-US" w:eastAsia="en-US"/>
              </w:rPr>
            </w:pPr>
            <w:r w:rsidRPr="00077EE2">
              <w:rPr>
                <w:rFonts w:ascii="Segoe UI" w:hAnsi="Segoe UI" w:cs="Segoe UI"/>
                <w:b/>
                <w:bCs/>
                <w:color w:val="333333"/>
                <w:sz w:val="18"/>
                <w:szCs w:val="18"/>
                <w:lang w:val="en-US" w:eastAsia="en-US"/>
              </w:rPr>
              <w:t>Bennet Gov. Fall</w:t>
            </w:r>
          </w:p>
        </w:tc>
        <w:tc>
          <w:tcPr>
            <w:tcW w:w="0" w:type="auto"/>
            <w:tcBorders>
              <w:top w:val="single" w:sz="4" w:space="0" w:color="auto"/>
              <w:left w:val="nil"/>
              <w:bottom w:val="nil"/>
              <w:right w:val="nil"/>
            </w:tcBorders>
            <w:shd w:val="clear" w:color="auto" w:fill="FFFFFF"/>
            <w:tcMar>
              <w:top w:w="75" w:type="dxa"/>
              <w:left w:w="75" w:type="dxa"/>
              <w:bottom w:w="90" w:type="dxa"/>
              <w:right w:w="75" w:type="dxa"/>
            </w:tcMar>
            <w:vAlign w:val="bottom"/>
            <w:hideMark/>
          </w:tcPr>
          <w:p w14:paraId="0A5CAC73" w14:textId="16A53AB9" w:rsidR="00077EE2" w:rsidRPr="00077EE2" w:rsidRDefault="00077EE2" w:rsidP="00077EE2">
            <w:pPr>
              <w:spacing w:line="240" w:lineRule="auto"/>
              <w:jc w:val="center"/>
              <w:rPr>
                <w:rFonts w:ascii="Segoe UI" w:hAnsi="Segoe UI" w:cs="Segoe UI"/>
                <w:b/>
                <w:bCs/>
                <w:color w:val="333333"/>
                <w:sz w:val="18"/>
                <w:szCs w:val="18"/>
                <w:lang w:val="en-US" w:eastAsia="en-US"/>
              </w:rPr>
            </w:pPr>
            <w:r w:rsidRPr="00077EE2">
              <w:rPr>
                <w:rFonts w:ascii="Segoe UI" w:hAnsi="Segoe UI" w:cs="Segoe UI"/>
                <w:b/>
                <w:bCs/>
                <w:color w:val="333333"/>
                <w:sz w:val="18"/>
                <w:szCs w:val="18"/>
                <w:lang w:val="en-US" w:eastAsia="en-US"/>
              </w:rPr>
              <w:t xml:space="preserve">Judicial </w:t>
            </w:r>
            <w:r w:rsidR="005A61E4">
              <w:rPr>
                <w:rFonts w:ascii="Segoe UI" w:hAnsi="Segoe UI" w:cs="Segoe UI"/>
                <w:b/>
                <w:bCs/>
                <w:color w:val="333333"/>
                <w:sz w:val="18"/>
                <w:szCs w:val="18"/>
                <w:lang w:val="en-US" w:eastAsia="en-US"/>
              </w:rPr>
              <w:t>r</w:t>
            </w:r>
            <w:r w:rsidRPr="00077EE2">
              <w:rPr>
                <w:rFonts w:ascii="Segoe UI" w:hAnsi="Segoe UI" w:cs="Segoe UI"/>
                <w:b/>
                <w:bCs/>
                <w:color w:val="333333"/>
                <w:sz w:val="18"/>
                <w:szCs w:val="18"/>
                <w:lang w:val="en-US" w:eastAsia="en-US"/>
              </w:rPr>
              <w:t>eform §</w:t>
            </w:r>
          </w:p>
        </w:tc>
        <w:tc>
          <w:tcPr>
            <w:tcW w:w="0" w:type="auto"/>
            <w:tcBorders>
              <w:top w:val="single" w:sz="4" w:space="0" w:color="auto"/>
              <w:left w:val="nil"/>
              <w:bottom w:val="nil"/>
              <w:right w:val="nil"/>
            </w:tcBorders>
            <w:shd w:val="clear" w:color="auto" w:fill="FFFFFF"/>
            <w:tcMar>
              <w:top w:w="75" w:type="dxa"/>
              <w:left w:w="75" w:type="dxa"/>
              <w:bottom w:w="90" w:type="dxa"/>
              <w:right w:w="75" w:type="dxa"/>
            </w:tcMar>
            <w:vAlign w:val="bottom"/>
            <w:hideMark/>
          </w:tcPr>
          <w:p w14:paraId="20508076" w14:textId="77777777" w:rsidR="00077EE2" w:rsidRPr="00077EE2" w:rsidRDefault="00077EE2" w:rsidP="00077EE2">
            <w:pPr>
              <w:spacing w:line="240" w:lineRule="auto"/>
              <w:jc w:val="center"/>
              <w:rPr>
                <w:rFonts w:ascii="Segoe UI" w:hAnsi="Segoe UI" w:cs="Segoe UI"/>
                <w:b/>
                <w:bCs/>
                <w:color w:val="333333"/>
                <w:sz w:val="18"/>
                <w:szCs w:val="18"/>
                <w:lang w:val="en-US" w:eastAsia="en-US"/>
              </w:rPr>
            </w:pPr>
            <w:r w:rsidRPr="00077EE2">
              <w:rPr>
                <w:rFonts w:ascii="Segoe UI" w:hAnsi="Segoe UI" w:cs="Segoe UI"/>
                <w:b/>
                <w:bCs/>
                <w:color w:val="333333"/>
                <w:sz w:val="18"/>
                <w:szCs w:val="18"/>
                <w:lang w:val="en-US" w:eastAsia="en-US"/>
              </w:rPr>
              <w:t>Gallant Dismissal</w:t>
            </w:r>
          </w:p>
        </w:tc>
        <w:tc>
          <w:tcPr>
            <w:tcW w:w="0" w:type="auto"/>
            <w:tcBorders>
              <w:top w:val="single" w:sz="4" w:space="0" w:color="auto"/>
              <w:left w:val="nil"/>
              <w:bottom w:val="nil"/>
              <w:right w:val="nil"/>
            </w:tcBorders>
            <w:shd w:val="clear" w:color="auto" w:fill="FFFFFF"/>
            <w:tcMar>
              <w:top w:w="75" w:type="dxa"/>
              <w:left w:w="75" w:type="dxa"/>
              <w:bottom w:w="90" w:type="dxa"/>
              <w:right w:w="75" w:type="dxa"/>
            </w:tcMar>
            <w:vAlign w:val="bottom"/>
            <w:hideMark/>
          </w:tcPr>
          <w:p w14:paraId="4B5CE9AF" w14:textId="77777777" w:rsidR="00077EE2" w:rsidRPr="00077EE2" w:rsidRDefault="00077EE2" w:rsidP="00077EE2">
            <w:pPr>
              <w:spacing w:line="240" w:lineRule="auto"/>
              <w:jc w:val="center"/>
              <w:rPr>
                <w:rFonts w:ascii="Segoe UI" w:hAnsi="Segoe UI" w:cs="Segoe UI"/>
                <w:b/>
                <w:bCs/>
                <w:color w:val="333333"/>
                <w:sz w:val="18"/>
                <w:szCs w:val="18"/>
                <w:lang w:val="en-US" w:eastAsia="en-US"/>
              </w:rPr>
            </w:pPr>
            <w:r w:rsidRPr="00077EE2">
              <w:rPr>
                <w:rFonts w:ascii="Segoe UI" w:hAnsi="Segoe UI" w:cs="Segoe UI"/>
                <w:b/>
                <w:bCs/>
                <w:color w:val="333333"/>
                <w:sz w:val="18"/>
                <w:szCs w:val="18"/>
                <w:lang w:val="en-US" w:eastAsia="en-US"/>
              </w:rPr>
              <w:t>Oct. 7th War</w:t>
            </w:r>
          </w:p>
        </w:tc>
      </w:tr>
      <w:tr w:rsidR="00077EE2" w:rsidRPr="00077EE2" w14:paraId="5E9755F4" w14:textId="77777777" w:rsidTr="00077EE2">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379C540"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Destabilizing Event</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1911B30"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0.019***</w:t>
            </w:r>
            <w:r w:rsidRPr="00077EE2">
              <w:rPr>
                <w:rFonts w:ascii="Segoe UI" w:hAnsi="Segoe UI" w:cs="Segoe UI"/>
                <w:color w:val="333333"/>
                <w:sz w:val="18"/>
                <w:szCs w:val="18"/>
                <w:lang w:val="en-US" w:eastAsia="en-US" w:bidi="he-IL"/>
              </w:rPr>
              <w:br/>
              <w:t>η²=0.019</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6CCF2B4"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0.001</w:t>
            </w:r>
            <w:r w:rsidRPr="00077EE2">
              <w:rPr>
                <w:rFonts w:ascii="Segoe UI" w:hAnsi="Segoe UI" w:cs="Segoe UI"/>
                <w:color w:val="333333"/>
                <w:sz w:val="18"/>
                <w:szCs w:val="18"/>
                <w:lang w:val="en-US" w:eastAsia="en-US" w:bidi="he-IL"/>
              </w:rPr>
              <w:br/>
              <w:t>η²=0.001</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F87BD4E"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0.002</w:t>
            </w:r>
            <w:r w:rsidRPr="00077EE2">
              <w:rPr>
                <w:rFonts w:ascii="Segoe UI" w:hAnsi="Segoe UI" w:cs="Segoe UI"/>
                <w:color w:val="333333"/>
                <w:sz w:val="18"/>
                <w:szCs w:val="18"/>
                <w:lang w:val="en-US" w:eastAsia="en-US" w:bidi="he-IL"/>
              </w:rPr>
              <w:br/>
              <w:t>η²=0.002</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57631FA"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0.002</w:t>
            </w:r>
            <w:r w:rsidRPr="00077EE2">
              <w:rPr>
                <w:rFonts w:ascii="Segoe UI" w:hAnsi="Segoe UI" w:cs="Segoe UI"/>
                <w:color w:val="333333"/>
                <w:sz w:val="18"/>
                <w:szCs w:val="18"/>
                <w:lang w:val="en-US" w:eastAsia="en-US" w:bidi="he-IL"/>
              </w:rPr>
              <w:br/>
              <w:t>η²=0.002</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2681917"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0.001</w:t>
            </w:r>
            <w:r w:rsidRPr="00077EE2">
              <w:rPr>
                <w:rFonts w:ascii="Segoe UI" w:hAnsi="Segoe UI" w:cs="Segoe UI"/>
                <w:color w:val="333333"/>
                <w:sz w:val="18"/>
                <w:szCs w:val="18"/>
                <w:lang w:val="en-US" w:eastAsia="en-US" w:bidi="he-IL"/>
              </w:rPr>
              <w:br/>
              <w:t>η²=0.001</w:t>
            </w:r>
          </w:p>
        </w:tc>
      </w:tr>
      <w:tr w:rsidR="00077EE2" w:rsidRPr="00077EE2" w14:paraId="5657ED31" w14:textId="77777777" w:rsidTr="00077EE2">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EC9603B"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Political Orientation</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E7DBB88"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0.066**</w:t>
            </w:r>
            <w:r w:rsidRPr="00077EE2">
              <w:rPr>
                <w:rFonts w:ascii="Segoe UI" w:hAnsi="Segoe UI" w:cs="Segoe UI"/>
                <w:color w:val="333333"/>
                <w:sz w:val="18"/>
                <w:szCs w:val="18"/>
                <w:lang w:val="en-US" w:eastAsia="en-US" w:bidi="he-IL"/>
              </w:rPr>
              <w:br/>
              <w:t>η²=0.033</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890333C"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0.124**</w:t>
            </w:r>
            <w:r w:rsidRPr="00077EE2">
              <w:rPr>
                <w:rFonts w:ascii="Segoe UI" w:hAnsi="Segoe UI" w:cs="Segoe UI"/>
                <w:color w:val="333333"/>
                <w:sz w:val="18"/>
                <w:szCs w:val="18"/>
                <w:lang w:val="en-US" w:eastAsia="en-US" w:bidi="he-IL"/>
              </w:rPr>
              <w:br/>
              <w:t>η²=0.062</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F0A750A"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0.135**</w:t>
            </w:r>
            <w:r w:rsidRPr="00077EE2">
              <w:rPr>
                <w:rFonts w:ascii="Segoe UI" w:hAnsi="Segoe UI" w:cs="Segoe UI"/>
                <w:color w:val="333333"/>
                <w:sz w:val="18"/>
                <w:szCs w:val="18"/>
                <w:lang w:val="en-US" w:eastAsia="en-US" w:bidi="he-IL"/>
              </w:rPr>
              <w:br/>
              <w:t>η²=0.067</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F38DE5E"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0.095**</w:t>
            </w:r>
            <w:r w:rsidRPr="00077EE2">
              <w:rPr>
                <w:rFonts w:ascii="Segoe UI" w:hAnsi="Segoe UI" w:cs="Segoe UI"/>
                <w:color w:val="333333"/>
                <w:sz w:val="18"/>
                <w:szCs w:val="18"/>
                <w:lang w:val="en-US" w:eastAsia="en-US" w:bidi="he-IL"/>
              </w:rPr>
              <w:br/>
              <w:t>η²=0.047</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3B79EE8"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0.066**</w:t>
            </w:r>
            <w:r w:rsidRPr="00077EE2">
              <w:rPr>
                <w:rFonts w:ascii="Segoe UI" w:hAnsi="Segoe UI" w:cs="Segoe UI"/>
                <w:color w:val="333333"/>
                <w:sz w:val="18"/>
                <w:szCs w:val="18"/>
                <w:lang w:val="en-US" w:eastAsia="en-US" w:bidi="he-IL"/>
              </w:rPr>
              <w:br/>
              <w:t>η²=0.033</w:t>
            </w:r>
          </w:p>
        </w:tc>
      </w:tr>
      <w:tr w:rsidR="00077EE2" w:rsidRPr="00077EE2" w14:paraId="6CCA02E2" w14:textId="77777777" w:rsidTr="00077EE2">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6335283"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Religiosity</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9F119AB"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0.056**</w:t>
            </w:r>
            <w:r w:rsidRPr="00077EE2">
              <w:rPr>
                <w:rFonts w:ascii="Segoe UI" w:hAnsi="Segoe UI" w:cs="Segoe UI"/>
                <w:color w:val="333333"/>
                <w:sz w:val="18"/>
                <w:szCs w:val="18"/>
                <w:lang w:val="en-US" w:eastAsia="en-US" w:bidi="he-IL"/>
              </w:rPr>
              <w:br/>
              <w:t>η²=0.019</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172AA29"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0.053**</w:t>
            </w:r>
            <w:r w:rsidRPr="00077EE2">
              <w:rPr>
                <w:rFonts w:ascii="Segoe UI" w:hAnsi="Segoe UI" w:cs="Segoe UI"/>
                <w:color w:val="333333"/>
                <w:sz w:val="18"/>
                <w:szCs w:val="18"/>
                <w:lang w:val="en-US" w:eastAsia="en-US" w:bidi="he-IL"/>
              </w:rPr>
              <w:br/>
              <w:t>η²=0.018</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6F6B63F"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0.055***</w:t>
            </w:r>
            <w:r w:rsidRPr="00077EE2">
              <w:rPr>
                <w:rFonts w:ascii="Segoe UI" w:hAnsi="Segoe UI" w:cs="Segoe UI"/>
                <w:color w:val="333333"/>
                <w:sz w:val="18"/>
                <w:szCs w:val="18"/>
                <w:lang w:val="en-US" w:eastAsia="en-US" w:bidi="he-IL"/>
              </w:rPr>
              <w:br/>
              <w:t>η²=0.018</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1BA5014"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0.046**</w:t>
            </w:r>
            <w:r w:rsidRPr="00077EE2">
              <w:rPr>
                <w:rFonts w:ascii="Segoe UI" w:hAnsi="Segoe UI" w:cs="Segoe UI"/>
                <w:color w:val="333333"/>
                <w:sz w:val="18"/>
                <w:szCs w:val="18"/>
                <w:lang w:val="en-US" w:eastAsia="en-US" w:bidi="he-IL"/>
              </w:rPr>
              <w:br/>
              <w:t>η²=0.015</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39EC3CB"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0.045**</w:t>
            </w:r>
            <w:r w:rsidRPr="00077EE2">
              <w:rPr>
                <w:rFonts w:ascii="Segoe UI" w:hAnsi="Segoe UI" w:cs="Segoe UI"/>
                <w:color w:val="333333"/>
                <w:sz w:val="18"/>
                <w:szCs w:val="18"/>
                <w:lang w:val="en-US" w:eastAsia="en-US" w:bidi="he-IL"/>
              </w:rPr>
              <w:br/>
              <w:t>η²=0.015</w:t>
            </w:r>
          </w:p>
        </w:tc>
      </w:tr>
      <w:tr w:rsidR="00077EE2" w:rsidRPr="00077EE2" w14:paraId="33550266" w14:textId="77777777" w:rsidTr="00077EE2">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CDD8486"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Education</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931DC39"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0.021***</w:t>
            </w:r>
            <w:r w:rsidRPr="00077EE2">
              <w:rPr>
                <w:rFonts w:ascii="Segoe UI" w:hAnsi="Segoe UI" w:cs="Segoe UI"/>
                <w:color w:val="333333"/>
                <w:sz w:val="18"/>
                <w:szCs w:val="18"/>
                <w:lang w:val="en-US" w:eastAsia="en-US" w:bidi="he-IL"/>
              </w:rPr>
              <w:br/>
              <w:t>η²=0.007</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8DA64DB"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0.018***</w:t>
            </w:r>
            <w:r w:rsidRPr="00077EE2">
              <w:rPr>
                <w:rFonts w:ascii="Segoe UI" w:hAnsi="Segoe UI" w:cs="Segoe UI"/>
                <w:color w:val="333333"/>
                <w:sz w:val="18"/>
                <w:szCs w:val="18"/>
                <w:lang w:val="en-US" w:eastAsia="en-US" w:bidi="he-IL"/>
              </w:rPr>
              <w:br/>
              <w:t>η²=0.006</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D5BD9A2"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0.035***</w:t>
            </w:r>
            <w:r w:rsidRPr="00077EE2">
              <w:rPr>
                <w:rFonts w:ascii="Segoe UI" w:hAnsi="Segoe UI" w:cs="Segoe UI"/>
                <w:color w:val="333333"/>
                <w:sz w:val="18"/>
                <w:szCs w:val="18"/>
                <w:lang w:val="en-US" w:eastAsia="en-US" w:bidi="he-IL"/>
              </w:rPr>
              <w:br/>
              <w:t>η²=0.012</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7B8FEE9"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0.022***</w:t>
            </w:r>
            <w:r w:rsidRPr="00077EE2">
              <w:rPr>
                <w:rFonts w:ascii="Segoe UI" w:hAnsi="Segoe UI" w:cs="Segoe UI"/>
                <w:color w:val="333333"/>
                <w:sz w:val="18"/>
                <w:szCs w:val="18"/>
                <w:lang w:val="en-US" w:eastAsia="en-US" w:bidi="he-IL"/>
              </w:rPr>
              <w:br/>
              <w:t>η²=0.007</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F17E910"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0.020***</w:t>
            </w:r>
            <w:r w:rsidRPr="00077EE2">
              <w:rPr>
                <w:rFonts w:ascii="Segoe UI" w:hAnsi="Segoe UI" w:cs="Segoe UI"/>
                <w:color w:val="333333"/>
                <w:sz w:val="18"/>
                <w:szCs w:val="18"/>
                <w:lang w:val="en-US" w:eastAsia="en-US" w:bidi="he-IL"/>
              </w:rPr>
              <w:br/>
              <w:t>η²=0.007</w:t>
            </w:r>
          </w:p>
        </w:tc>
      </w:tr>
      <w:tr w:rsidR="00077EE2" w:rsidRPr="00077EE2" w14:paraId="3C45A294" w14:textId="77777777" w:rsidTr="00077EE2">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F49D8FF"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Gender</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F169597"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0.032**</w:t>
            </w:r>
            <w:r w:rsidRPr="00077EE2">
              <w:rPr>
                <w:rFonts w:ascii="Segoe UI" w:hAnsi="Segoe UI" w:cs="Segoe UI"/>
                <w:color w:val="333333"/>
                <w:sz w:val="18"/>
                <w:szCs w:val="18"/>
                <w:lang w:val="en-US" w:eastAsia="en-US" w:bidi="he-IL"/>
              </w:rPr>
              <w:br/>
              <w:t>η²=0.032</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0758B5D"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0.037**</w:t>
            </w:r>
            <w:r w:rsidRPr="00077EE2">
              <w:rPr>
                <w:rFonts w:ascii="Segoe UI" w:hAnsi="Segoe UI" w:cs="Segoe UI"/>
                <w:color w:val="333333"/>
                <w:sz w:val="18"/>
                <w:szCs w:val="18"/>
                <w:lang w:val="en-US" w:eastAsia="en-US" w:bidi="he-IL"/>
              </w:rPr>
              <w:br/>
              <w:t>η²=0.037</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8702988"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0.056**</w:t>
            </w:r>
            <w:r w:rsidRPr="00077EE2">
              <w:rPr>
                <w:rFonts w:ascii="Segoe UI" w:hAnsi="Segoe UI" w:cs="Segoe UI"/>
                <w:color w:val="333333"/>
                <w:sz w:val="18"/>
                <w:szCs w:val="18"/>
                <w:lang w:val="en-US" w:eastAsia="en-US" w:bidi="he-IL"/>
              </w:rPr>
              <w:br/>
              <w:t>η²=0.056</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1F60977"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0.053**</w:t>
            </w:r>
            <w:r w:rsidRPr="00077EE2">
              <w:rPr>
                <w:rFonts w:ascii="Segoe UI" w:hAnsi="Segoe UI" w:cs="Segoe UI"/>
                <w:color w:val="333333"/>
                <w:sz w:val="18"/>
                <w:szCs w:val="18"/>
                <w:lang w:val="en-US" w:eastAsia="en-US" w:bidi="he-IL"/>
              </w:rPr>
              <w:br/>
              <w:t>η²=0.053</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6D609DF"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0.045**</w:t>
            </w:r>
            <w:r w:rsidRPr="00077EE2">
              <w:rPr>
                <w:rFonts w:ascii="Segoe UI" w:hAnsi="Segoe UI" w:cs="Segoe UI"/>
                <w:color w:val="333333"/>
                <w:sz w:val="18"/>
                <w:szCs w:val="18"/>
                <w:lang w:val="en-US" w:eastAsia="en-US" w:bidi="he-IL"/>
              </w:rPr>
              <w:br/>
              <w:t>η²=0.045</w:t>
            </w:r>
          </w:p>
        </w:tc>
      </w:tr>
      <w:tr w:rsidR="00077EE2" w:rsidRPr="00077EE2" w14:paraId="48ACF4AD" w14:textId="77777777" w:rsidTr="00077EE2">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67AD730"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lastRenderedPageBreak/>
              <w:t>Age Group</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19E3AF5"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0.040**</w:t>
            </w:r>
            <w:r w:rsidRPr="00077EE2">
              <w:rPr>
                <w:rFonts w:ascii="Segoe UI" w:hAnsi="Segoe UI" w:cs="Segoe UI"/>
                <w:color w:val="333333"/>
                <w:sz w:val="18"/>
                <w:szCs w:val="18"/>
                <w:lang w:val="en-US" w:eastAsia="en-US" w:bidi="he-IL"/>
              </w:rPr>
              <w:br/>
              <w:t>η²=0.013</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E489FC5"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0.050**</w:t>
            </w:r>
            <w:r w:rsidRPr="00077EE2">
              <w:rPr>
                <w:rFonts w:ascii="Segoe UI" w:hAnsi="Segoe UI" w:cs="Segoe UI"/>
                <w:color w:val="333333"/>
                <w:sz w:val="18"/>
                <w:szCs w:val="18"/>
                <w:lang w:val="en-US" w:eastAsia="en-US" w:bidi="he-IL"/>
              </w:rPr>
              <w:br/>
              <w:t>η²=0.017</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3262F71"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0.071**</w:t>
            </w:r>
            <w:r w:rsidRPr="00077EE2">
              <w:rPr>
                <w:rFonts w:ascii="Segoe UI" w:hAnsi="Segoe UI" w:cs="Segoe UI"/>
                <w:color w:val="333333"/>
                <w:sz w:val="18"/>
                <w:szCs w:val="18"/>
                <w:lang w:val="en-US" w:eastAsia="en-US" w:bidi="he-IL"/>
              </w:rPr>
              <w:br/>
              <w:t>η²=0.024</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AF6EB07"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0.043**</w:t>
            </w:r>
            <w:r w:rsidRPr="00077EE2">
              <w:rPr>
                <w:rFonts w:ascii="Segoe UI" w:hAnsi="Segoe UI" w:cs="Segoe UI"/>
                <w:color w:val="333333"/>
                <w:sz w:val="18"/>
                <w:szCs w:val="18"/>
                <w:lang w:val="en-US" w:eastAsia="en-US" w:bidi="he-IL"/>
              </w:rPr>
              <w:br/>
              <w:t>η²=0.014</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DA33174"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0.037**</w:t>
            </w:r>
            <w:r w:rsidRPr="00077EE2">
              <w:rPr>
                <w:rFonts w:ascii="Segoe UI" w:hAnsi="Segoe UI" w:cs="Segoe UI"/>
                <w:color w:val="333333"/>
                <w:sz w:val="18"/>
                <w:szCs w:val="18"/>
                <w:lang w:val="en-US" w:eastAsia="en-US" w:bidi="he-IL"/>
              </w:rPr>
              <w:br/>
              <w:t>η²=0.012</w:t>
            </w:r>
          </w:p>
        </w:tc>
      </w:tr>
      <w:tr w:rsidR="00077EE2" w:rsidRPr="00077EE2" w14:paraId="2F404D45" w14:textId="77777777" w:rsidTr="00AB0A72">
        <w:tc>
          <w:tcPr>
            <w:tcW w:w="0" w:type="auto"/>
            <w:tcBorders>
              <w:top w:val="single" w:sz="6" w:space="0" w:color="D3D3D3"/>
              <w:left w:val="nil"/>
              <w:bottom w:val="single" w:sz="4" w:space="0" w:color="D9D9D9" w:themeColor="background1" w:themeShade="D9"/>
              <w:right w:val="nil"/>
            </w:tcBorders>
            <w:shd w:val="clear" w:color="auto" w:fill="FFFFFF"/>
            <w:tcMar>
              <w:top w:w="120" w:type="dxa"/>
              <w:left w:w="75" w:type="dxa"/>
              <w:bottom w:w="120" w:type="dxa"/>
              <w:right w:w="75" w:type="dxa"/>
            </w:tcMar>
            <w:vAlign w:val="center"/>
            <w:hideMark/>
          </w:tcPr>
          <w:p w14:paraId="2E3359E7"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Event × Political Orientation</w:t>
            </w:r>
          </w:p>
        </w:tc>
        <w:tc>
          <w:tcPr>
            <w:tcW w:w="0" w:type="auto"/>
            <w:tcBorders>
              <w:top w:val="single" w:sz="6" w:space="0" w:color="D3D3D3"/>
              <w:left w:val="nil"/>
              <w:bottom w:val="single" w:sz="4" w:space="0" w:color="D9D9D9" w:themeColor="background1" w:themeShade="D9"/>
              <w:right w:val="nil"/>
            </w:tcBorders>
            <w:shd w:val="clear" w:color="auto" w:fill="FFFFFF"/>
            <w:tcMar>
              <w:top w:w="120" w:type="dxa"/>
              <w:left w:w="75" w:type="dxa"/>
              <w:bottom w:w="120" w:type="dxa"/>
              <w:right w:w="75" w:type="dxa"/>
            </w:tcMar>
            <w:vAlign w:val="center"/>
            <w:hideMark/>
          </w:tcPr>
          <w:p w14:paraId="030CD095"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0.013***</w:t>
            </w:r>
            <w:r w:rsidRPr="00077EE2">
              <w:rPr>
                <w:rFonts w:ascii="Segoe UI" w:hAnsi="Segoe UI" w:cs="Segoe UI"/>
                <w:color w:val="333333"/>
                <w:sz w:val="18"/>
                <w:szCs w:val="18"/>
                <w:lang w:val="en-US" w:eastAsia="en-US" w:bidi="he-IL"/>
              </w:rPr>
              <w:br/>
              <w:t>η²=0.006</w:t>
            </w:r>
          </w:p>
        </w:tc>
        <w:tc>
          <w:tcPr>
            <w:tcW w:w="0" w:type="auto"/>
            <w:tcBorders>
              <w:top w:val="single" w:sz="6" w:space="0" w:color="D3D3D3"/>
              <w:left w:val="nil"/>
              <w:bottom w:val="single" w:sz="4" w:space="0" w:color="D9D9D9" w:themeColor="background1" w:themeShade="D9"/>
              <w:right w:val="nil"/>
            </w:tcBorders>
            <w:shd w:val="clear" w:color="auto" w:fill="FFFFFF"/>
            <w:tcMar>
              <w:top w:w="120" w:type="dxa"/>
              <w:left w:w="75" w:type="dxa"/>
              <w:bottom w:w="120" w:type="dxa"/>
              <w:right w:w="75" w:type="dxa"/>
            </w:tcMar>
            <w:vAlign w:val="center"/>
            <w:hideMark/>
          </w:tcPr>
          <w:p w14:paraId="1DAA998E"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0.003</w:t>
            </w:r>
            <w:r w:rsidRPr="00077EE2">
              <w:rPr>
                <w:rFonts w:ascii="Segoe UI" w:hAnsi="Segoe UI" w:cs="Segoe UI"/>
                <w:color w:val="333333"/>
                <w:sz w:val="18"/>
                <w:szCs w:val="18"/>
                <w:lang w:val="en-US" w:eastAsia="en-US" w:bidi="he-IL"/>
              </w:rPr>
              <w:br/>
              <w:t>η²=0.002</w:t>
            </w:r>
          </w:p>
        </w:tc>
        <w:tc>
          <w:tcPr>
            <w:tcW w:w="0" w:type="auto"/>
            <w:tcBorders>
              <w:top w:val="single" w:sz="6" w:space="0" w:color="D3D3D3"/>
              <w:left w:val="nil"/>
              <w:bottom w:val="single" w:sz="4" w:space="0" w:color="D9D9D9" w:themeColor="background1" w:themeShade="D9"/>
              <w:right w:val="nil"/>
            </w:tcBorders>
            <w:shd w:val="clear" w:color="auto" w:fill="FFFFFF"/>
            <w:tcMar>
              <w:top w:w="120" w:type="dxa"/>
              <w:left w:w="75" w:type="dxa"/>
              <w:bottom w:w="120" w:type="dxa"/>
              <w:right w:w="75" w:type="dxa"/>
            </w:tcMar>
            <w:vAlign w:val="center"/>
            <w:hideMark/>
          </w:tcPr>
          <w:p w14:paraId="34D1A39F"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0.007†</w:t>
            </w:r>
            <w:r w:rsidRPr="00077EE2">
              <w:rPr>
                <w:rFonts w:ascii="Segoe UI" w:hAnsi="Segoe UI" w:cs="Segoe UI"/>
                <w:color w:val="333333"/>
                <w:sz w:val="18"/>
                <w:szCs w:val="18"/>
                <w:lang w:val="en-US" w:eastAsia="en-US" w:bidi="he-IL"/>
              </w:rPr>
              <w:br/>
              <w:t>η²=0.004</w:t>
            </w:r>
          </w:p>
        </w:tc>
        <w:tc>
          <w:tcPr>
            <w:tcW w:w="0" w:type="auto"/>
            <w:tcBorders>
              <w:top w:val="single" w:sz="6" w:space="0" w:color="D3D3D3"/>
              <w:left w:val="nil"/>
              <w:bottom w:val="single" w:sz="4" w:space="0" w:color="D9D9D9" w:themeColor="background1" w:themeShade="D9"/>
              <w:right w:val="nil"/>
            </w:tcBorders>
            <w:shd w:val="clear" w:color="auto" w:fill="FFFFFF"/>
            <w:tcMar>
              <w:top w:w="120" w:type="dxa"/>
              <w:left w:w="75" w:type="dxa"/>
              <w:bottom w:w="120" w:type="dxa"/>
              <w:right w:w="75" w:type="dxa"/>
            </w:tcMar>
            <w:vAlign w:val="center"/>
            <w:hideMark/>
          </w:tcPr>
          <w:p w14:paraId="697EDCBB"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0.006*</w:t>
            </w:r>
            <w:r w:rsidRPr="00077EE2">
              <w:rPr>
                <w:rFonts w:ascii="Segoe UI" w:hAnsi="Segoe UI" w:cs="Segoe UI"/>
                <w:color w:val="333333"/>
                <w:sz w:val="18"/>
                <w:szCs w:val="18"/>
                <w:lang w:val="en-US" w:eastAsia="en-US" w:bidi="he-IL"/>
              </w:rPr>
              <w:br/>
              <w:t>η²=0.003</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2E6E732" w14:textId="77777777" w:rsidR="00077EE2" w:rsidRPr="00077EE2" w:rsidRDefault="00077EE2" w:rsidP="00077EE2">
            <w:pPr>
              <w:spacing w:line="240" w:lineRule="auto"/>
              <w:ind w:left="150" w:right="150"/>
              <w:rPr>
                <w:rFonts w:ascii="Segoe UI" w:hAnsi="Segoe UI" w:cs="Segoe UI"/>
                <w:color w:val="333333"/>
                <w:sz w:val="18"/>
                <w:szCs w:val="18"/>
                <w:lang w:val="en-US" w:eastAsia="en-US" w:bidi="he-IL"/>
              </w:rPr>
            </w:pPr>
            <w:r w:rsidRPr="00077EE2">
              <w:rPr>
                <w:rFonts w:ascii="Segoe UI" w:hAnsi="Segoe UI" w:cs="Segoe UI"/>
                <w:color w:val="333333"/>
                <w:sz w:val="18"/>
                <w:szCs w:val="18"/>
                <w:lang w:val="en-US" w:eastAsia="en-US" w:bidi="he-IL"/>
              </w:rPr>
              <w:t>0.005*</w:t>
            </w:r>
            <w:r w:rsidRPr="00077EE2">
              <w:rPr>
                <w:rFonts w:ascii="Segoe UI" w:hAnsi="Segoe UI" w:cs="Segoe UI"/>
                <w:color w:val="333333"/>
                <w:sz w:val="18"/>
                <w:szCs w:val="18"/>
                <w:lang w:val="en-US" w:eastAsia="en-US" w:bidi="he-IL"/>
              </w:rPr>
              <w:br/>
              <w:t>η²=0.002</w:t>
            </w:r>
          </w:p>
        </w:tc>
      </w:tr>
      <w:tr w:rsidR="00077EE2" w:rsidRPr="00077EE2" w14:paraId="672E90AE" w14:textId="77777777" w:rsidTr="00AB0A72">
        <w:tc>
          <w:tcPr>
            <w:tcW w:w="0" w:type="auto"/>
            <w:gridSpan w:val="6"/>
            <w:tcBorders>
              <w:top w:val="single" w:sz="4" w:space="0" w:color="D9D9D9" w:themeColor="background1" w:themeShade="D9"/>
              <w:left w:val="nil"/>
              <w:bottom w:val="single" w:sz="4" w:space="0" w:color="auto"/>
              <w:right w:val="nil"/>
            </w:tcBorders>
            <w:shd w:val="clear" w:color="auto" w:fill="FFFFFF"/>
            <w:tcMar>
              <w:top w:w="60" w:type="dxa"/>
              <w:left w:w="75" w:type="dxa"/>
              <w:bottom w:w="60" w:type="dxa"/>
              <w:right w:w="75" w:type="dxa"/>
            </w:tcMar>
            <w:vAlign w:val="center"/>
            <w:hideMark/>
          </w:tcPr>
          <w:p w14:paraId="50E11D51" w14:textId="2687258E" w:rsidR="00077EE2" w:rsidRPr="00077EE2" w:rsidRDefault="00077EE2" w:rsidP="00077EE2">
            <w:pPr>
              <w:spacing w:line="240" w:lineRule="auto"/>
              <w:rPr>
                <w:rFonts w:ascii="Segoe UI" w:hAnsi="Segoe UI" w:cs="Segoe UI"/>
                <w:color w:val="333333"/>
                <w:sz w:val="18"/>
                <w:szCs w:val="18"/>
                <w:lang w:val="en-US" w:eastAsia="en-US"/>
              </w:rPr>
            </w:pPr>
            <w:r w:rsidRPr="00077EE2">
              <w:rPr>
                <w:rFonts w:ascii="Segoe UI" w:hAnsi="Segoe UI" w:cs="Segoe UI"/>
                <w:color w:val="333333"/>
                <w:sz w:val="18"/>
                <w:szCs w:val="18"/>
                <w:lang w:val="en-US" w:eastAsia="en-US"/>
              </w:rPr>
              <w:t>Test statistic: Pillai</w:t>
            </w:r>
            <w:r w:rsidR="005A61E4">
              <w:rPr>
                <w:rFonts w:ascii="Segoe UI" w:hAnsi="Segoe UI" w:cs="Segoe UI"/>
                <w:color w:val="333333"/>
                <w:sz w:val="18"/>
                <w:szCs w:val="18"/>
                <w:lang w:val="en-US" w:eastAsia="en-US"/>
              </w:rPr>
              <w:t>'</w:t>
            </w:r>
            <w:r w:rsidRPr="00077EE2">
              <w:rPr>
                <w:rFonts w:ascii="Segoe UI" w:hAnsi="Segoe UI" w:cs="Segoe UI"/>
                <w:color w:val="333333"/>
                <w:sz w:val="18"/>
                <w:szCs w:val="18"/>
                <w:lang w:val="en-US" w:eastAsia="en-US"/>
              </w:rPr>
              <w:t xml:space="preserve">s Trace. η² = partial eta-squared (effect size). *** p &lt; .001; ** p &lt; .01; * p &lt; .05; † p &lt; .10. § Panel analysis (same respondents across waves). Destabilizing </w:t>
            </w:r>
            <w:r w:rsidR="009D201A">
              <w:rPr>
                <w:rFonts w:ascii="Segoe UI" w:hAnsi="Segoe UI" w:cs="Segoe UI"/>
                <w:color w:val="333333"/>
                <w:sz w:val="18"/>
                <w:szCs w:val="18"/>
                <w:lang w:val="en-US" w:eastAsia="en-US"/>
              </w:rPr>
              <w:t>e</w:t>
            </w:r>
            <w:r w:rsidRPr="00077EE2">
              <w:rPr>
                <w:rFonts w:ascii="Segoe UI" w:hAnsi="Segoe UI" w:cs="Segoe UI"/>
                <w:color w:val="333333"/>
                <w:sz w:val="18"/>
                <w:szCs w:val="18"/>
                <w:lang w:val="en-US" w:eastAsia="en-US"/>
              </w:rPr>
              <w:t xml:space="preserve">vent: {0/1}, Political Orientation: {left/center/right}, </w:t>
            </w:r>
            <w:r w:rsidR="009D201A">
              <w:rPr>
                <w:rFonts w:ascii="Segoe UI" w:hAnsi="Segoe UI" w:cs="Segoe UI"/>
                <w:color w:val="333333"/>
                <w:sz w:val="18"/>
                <w:szCs w:val="18"/>
                <w:lang w:val="en-US" w:eastAsia="en-US"/>
              </w:rPr>
              <w:t>r</w:t>
            </w:r>
            <w:r w:rsidRPr="00077EE2">
              <w:rPr>
                <w:rFonts w:ascii="Segoe UI" w:hAnsi="Segoe UI" w:cs="Segoe UI"/>
                <w:color w:val="333333"/>
                <w:sz w:val="18"/>
                <w:szCs w:val="18"/>
                <w:lang w:val="en-US" w:eastAsia="en-US"/>
              </w:rPr>
              <w:t xml:space="preserve">eligiosity: {secular, traditional, religious, national religious, ultra-orthodox}, </w:t>
            </w:r>
            <w:r w:rsidR="009D201A">
              <w:rPr>
                <w:rFonts w:ascii="Segoe UI" w:hAnsi="Segoe UI" w:cs="Segoe UI"/>
                <w:color w:val="333333"/>
                <w:sz w:val="18"/>
                <w:szCs w:val="18"/>
                <w:lang w:val="en-US" w:eastAsia="en-US"/>
              </w:rPr>
              <w:t>e</w:t>
            </w:r>
            <w:r w:rsidRPr="00077EE2">
              <w:rPr>
                <w:rFonts w:ascii="Segoe UI" w:hAnsi="Segoe UI" w:cs="Segoe UI"/>
                <w:color w:val="333333"/>
                <w:sz w:val="18"/>
                <w:szCs w:val="18"/>
                <w:lang w:val="en-US" w:eastAsia="en-US"/>
              </w:rPr>
              <w:t xml:space="preserve">ducation: {elementary, high school, post-secondary nonacademic, academic, yeshiva, other}, </w:t>
            </w:r>
            <w:r w:rsidR="009D201A">
              <w:rPr>
                <w:rFonts w:ascii="Segoe UI" w:hAnsi="Segoe UI" w:cs="Segoe UI"/>
                <w:color w:val="333333"/>
                <w:sz w:val="18"/>
                <w:szCs w:val="18"/>
                <w:lang w:val="en-US" w:eastAsia="en-US"/>
              </w:rPr>
              <w:t>g</w:t>
            </w:r>
            <w:r w:rsidRPr="00077EE2">
              <w:rPr>
                <w:rFonts w:ascii="Segoe UI" w:hAnsi="Segoe UI" w:cs="Segoe UI"/>
                <w:color w:val="333333"/>
                <w:sz w:val="18"/>
                <w:szCs w:val="18"/>
                <w:lang w:val="en-US" w:eastAsia="en-US"/>
              </w:rPr>
              <w:t>ender: {male, female}, Age Group: {18-30, 31-45, 46-60, 60+}</w:t>
            </w:r>
          </w:p>
        </w:tc>
      </w:tr>
    </w:tbl>
    <w:p w14:paraId="03E34AD6" w14:textId="2B225E1B" w:rsidR="00AB0A72" w:rsidRDefault="009D1439" w:rsidP="009D201A">
      <w:pPr>
        <w:pStyle w:val="Newparagraph"/>
        <w:spacing w:before="240"/>
        <w:rPr>
          <w:rFonts w:asciiTheme="majorBidi" w:hAnsiTheme="majorBidi" w:cstheme="majorBidi"/>
          <w:shd w:val="clear" w:color="auto" w:fill="FFFFFF"/>
          <w:lang w:val="en-US"/>
        </w:rPr>
      </w:pPr>
      <w:r>
        <w:rPr>
          <w:rFonts w:asciiTheme="majorBidi" w:hAnsiTheme="majorBidi" w:cstheme="majorBidi"/>
          <w:shd w:val="clear" w:color="auto" w:fill="FFFFFF"/>
          <w:lang w:val="en-US"/>
        </w:rPr>
        <w:t>A</w:t>
      </w:r>
      <w:r w:rsidR="005D5D1F" w:rsidRPr="005D5D1F">
        <w:rPr>
          <w:rFonts w:asciiTheme="majorBidi" w:hAnsiTheme="majorBidi" w:cstheme="majorBidi"/>
          <w:shd w:val="clear" w:color="auto" w:fill="FFFFFF"/>
          <w:lang w:val="en-US"/>
        </w:rPr>
        <w:t xml:space="preserve"> summary of per-dimension ANOVA </w:t>
      </w:r>
      <w:r w:rsidR="00AB0A72">
        <w:rPr>
          <w:rFonts w:asciiTheme="majorBidi" w:hAnsiTheme="majorBidi" w:cstheme="majorBidi"/>
          <w:shd w:val="clear" w:color="auto" w:fill="FFFFFF"/>
          <w:lang w:val="en-US"/>
        </w:rPr>
        <w:t>for the entire population</w:t>
      </w:r>
      <w:r w:rsidR="00BD2FEB">
        <w:rPr>
          <w:rFonts w:asciiTheme="majorBidi" w:hAnsiTheme="majorBidi" w:cstheme="majorBidi"/>
          <w:shd w:val="clear" w:color="auto" w:fill="FFFFFF"/>
          <w:lang w:val="en-US"/>
        </w:rPr>
        <w:t xml:space="preserve"> (</w:t>
      </w:r>
      <w:r w:rsidR="00BD2FEB">
        <w:rPr>
          <w:rFonts w:asciiTheme="majorBidi" w:hAnsiTheme="majorBidi" w:cstheme="majorBidi"/>
          <w:shd w:val="clear" w:color="auto" w:fill="FFFFFF"/>
          <w:lang w:val="en-US"/>
        </w:rPr>
        <w:fldChar w:fldCharType="begin"/>
      </w:r>
      <w:r w:rsidR="00BD2FEB">
        <w:rPr>
          <w:rFonts w:asciiTheme="majorBidi" w:hAnsiTheme="majorBidi" w:cstheme="majorBidi"/>
          <w:shd w:val="clear" w:color="auto" w:fill="FFFFFF"/>
          <w:lang w:val="en-US"/>
        </w:rPr>
        <w:instrText xml:space="preserve"> REF _Ref217738576 \h </w:instrText>
      </w:r>
      <w:r w:rsidR="00BD2FEB">
        <w:rPr>
          <w:rFonts w:asciiTheme="majorBidi" w:hAnsiTheme="majorBidi" w:cstheme="majorBidi"/>
          <w:shd w:val="clear" w:color="auto" w:fill="FFFFFF"/>
          <w:lang w:val="en-US"/>
        </w:rPr>
      </w:r>
      <w:r w:rsidR="00BD2FEB">
        <w:rPr>
          <w:rFonts w:asciiTheme="majorBidi" w:hAnsiTheme="majorBidi" w:cstheme="majorBidi"/>
          <w:shd w:val="clear" w:color="auto" w:fill="FFFFFF"/>
          <w:lang w:val="en-US"/>
        </w:rPr>
        <w:fldChar w:fldCharType="separate"/>
      </w:r>
      <w:r w:rsidR="00823ED9">
        <w:t xml:space="preserve">Table </w:t>
      </w:r>
      <w:r w:rsidR="00823ED9">
        <w:rPr>
          <w:noProof/>
        </w:rPr>
        <w:t>2</w:t>
      </w:r>
      <w:r w:rsidR="00BD2FEB">
        <w:rPr>
          <w:rFonts w:asciiTheme="majorBidi" w:hAnsiTheme="majorBidi" w:cstheme="majorBidi"/>
          <w:shd w:val="clear" w:color="auto" w:fill="FFFFFF"/>
          <w:lang w:val="en-US"/>
        </w:rPr>
        <w:fldChar w:fldCharType="end"/>
      </w:r>
      <w:r w:rsidR="00BD2FEB">
        <w:rPr>
          <w:rFonts w:asciiTheme="majorBidi" w:hAnsiTheme="majorBidi" w:cstheme="majorBidi"/>
          <w:shd w:val="clear" w:color="auto" w:fill="FFFFFF"/>
          <w:lang w:val="en-US"/>
        </w:rPr>
        <w:t>)</w:t>
      </w:r>
      <w:r w:rsidR="005D5D1F" w:rsidRPr="005D5D1F">
        <w:rPr>
          <w:rFonts w:asciiTheme="majorBidi" w:hAnsiTheme="majorBidi" w:cstheme="majorBidi"/>
          <w:shd w:val="clear" w:color="auto" w:fill="FFFFFF"/>
          <w:lang w:val="en-US"/>
        </w:rPr>
        <w:t xml:space="preserve"> </w:t>
      </w:r>
      <w:bookmarkStart w:id="30" w:name="_Ref217738576"/>
      <w:r w:rsidR="00AB0A72" w:rsidRPr="00AB0A72">
        <w:rPr>
          <w:rFonts w:asciiTheme="majorBidi" w:hAnsiTheme="majorBidi" w:cstheme="majorBidi"/>
          <w:shd w:val="clear" w:color="auto" w:fill="FFFFFF"/>
          <w:lang w:val="en-US"/>
        </w:rPr>
        <w:t xml:space="preserve">reveals that the </w:t>
      </w:r>
      <w:r w:rsidR="00E97633">
        <w:rPr>
          <w:rFonts w:asciiTheme="majorBidi" w:hAnsiTheme="majorBidi" w:cstheme="majorBidi"/>
          <w:shd w:val="clear" w:color="auto" w:fill="FFFFFF"/>
          <w:lang w:val="en-US"/>
        </w:rPr>
        <w:t>i</w:t>
      </w:r>
      <w:r w:rsidR="00AB0A72" w:rsidRPr="00AB0A72">
        <w:rPr>
          <w:rFonts w:asciiTheme="majorBidi" w:hAnsiTheme="majorBidi" w:cstheme="majorBidi"/>
          <w:shd w:val="clear" w:color="auto" w:fill="FFFFFF"/>
          <w:lang w:val="en-US"/>
        </w:rPr>
        <w:t xml:space="preserve">deology dimension is the most reactive to external shocks. </w:t>
      </w:r>
      <w:r w:rsidR="005A61E4">
        <w:rPr>
          <w:rFonts w:asciiTheme="majorBidi" w:hAnsiTheme="majorBidi" w:cstheme="majorBidi"/>
          <w:shd w:val="clear" w:color="auto" w:fill="FFFFFF"/>
        </w:rPr>
        <w:t>i</w:t>
      </w:r>
      <w:r w:rsidR="009D201A" w:rsidRPr="009D201A">
        <w:rPr>
          <w:rFonts w:asciiTheme="majorBidi" w:hAnsiTheme="majorBidi" w:cstheme="majorBidi"/>
          <w:shd w:val="clear" w:color="auto" w:fill="FFFFFF"/>
        </w:rPr>
        <w:t xml:space="preserve">nland </w:t>
      </w:r>
      <w:r w:rsidR="005A61E4">
        <w:rPr>
          <w:rFonts w:asciiTheme="majorBidi" w:hAnsiTheme="majorBidi" w:cstheme="majorBidi"/>
          <w:shd w:val="clear" w:color="auto" w:fill="FFFFFF"/>
        </w:rPr>
        <w:t>t</w:t>
      </w:r>
      <w:r w:rsidR="009D201A" w:rsidRPr="009D201A">
        <w:rPr>
          <w:rFonts w:asciiTheme="majorBidi" w:hAnsiTheme="majorBidi" w:cstheme="majorBidi"/>
          <w:shd w:val="clear" w:color="auto" w:fill="FFFFFF"/>
        </w:rPr>
        <w:t xml:space="preserve">error (F = 17.580, p &lt; .001), the </w:t>
      </w:r>
      <w:r w:rsidR="005A61E4">
        <w:rPr>
          <w:rFonts w:asciiTheme="majorBidi" w:hAnsiTheme="majorBidi" w:cstheme="majorBidi"/>
          <w:shd w:val="clear" w:color="auto" w:fill="FFFFFF"/>
        </w:rPr>
        <w:t>f</w:t>
      </w:r>
      <w:r w:rsidR="009D201A" w:rsidRPr="009D201A">
        <w:rPr>
          <w:rFonts w:asciiTheme="majorBidi" w:hAnsiTheme="majorBidi" w:cstheme="majorBidi"/>
          <w:shd w:val="clear" w:color="auto" w:fill="FFFFFF"/>
        </w:rPr>
        <w:t xml:space="preserve">all of the Bennett </w:t>
      </w:r>
      <w:r w:rsidR="005A61E4">
        <w:rPr>
          <w:rFonts w:asciiTheme="majorBidi" w:hAnsiTheme="majorBidi" w:cstheme="majorBidi"/>
          <w:shd w:val="clear" w:color="auto" w:fill="FFFFFF"/>
        </w:rPr>
        <w:t>g</w:t>
      </w:r>
      <w:r w:rsidR="009D201A" w:rsidRPr="009D201A">
        <w:rPr>
          <w:rFonts w:asciiTheme="majorBidi" w:hAnsiTheme="majorBidi" w:cstheme="majorBidi"/>
          <w:shd w:val="clear" w:color="auto" w:fill="FFFFFF"/>
        </w:rPr>
        <w:t xml:space="preserve">overnment (F = 5.255, p &lt; .05), and the October 7 </w:t>
      </w:r>
      <w:r w:rsidR="005A61E4">
        <w:rPr>
          <w:rFonts w:asciiTheme="majorBidi" w:hAnsiTheme="majorBidi" w:cstheme="majorBidi"/>
          <w:shd w:val="clear" w:color="auto" w:fill="FFFFFF"/>
        </w:rPr>
        <w:t>w</w:t>
      </w:r>
      <w:r w:rsidR="009D201A" w:rsidRPr="009D201A">
        <w:rPr>
          <w:rFonts w:asciiTheme="majorBidi" w:hAnsiTheme="majorBidi" w:cstheme="majorBidi"/>
          <w:shd w:val="clear" w:color="auto" w:fill="FFFFFF"/>
        </w:rPr>
        <w:t>ar (F = 4.685, p &lt; .05) produced significant shifts in ideological extremism.</w:t>
      </w:r>
      <w:r w:rsidR="009D201A">
        <w:rPr>
          <w:rFonts w:asciiTheme="majorBidi" w:hAnsiTheme="majorBidi" w:cstheme="majorBidi"/>
          <w:shd w:val="clear" w:color="auto" w:fill="FFFFFF"/>
        </w:rPr>
        <w:t xml:space="preserve"> </w:t>
      </w:r>
      <w:r w:rsidR="00AB0A72" w:rsidRPr="00AB0A72">
        <w:rPr>
          <w:rFonts w:asciiTheme="majorBidi" w:hAnsiTheme="majorBidi" w:cstheme="majorBidi"/>
          <w:shd w:val="clear" w:color="auto" w:fill="FFFFFF"/>
          <w:lang w:val="en-US"/>
        </w:rPr>
        <w:t xml:space="preserve">Interestingly, the </w:t>
      </w:r>
      <w:r w:rsidR="00E97633">
        <w:rPr>
          <w:rFonts w:asciiTheme="majorBidi" w:hAnsiTheme="majorBidi" w:cstheme="majorBidi"/>
          <w:shd w:val="clear" w:color="auto" w:fill="FFFFFF"/>
          <w:lang w:val="en-US"/>
        </w:rPr>
        <w:t>v</w:t>
      </w:r>
      <w:r w:rsidR="00AB0A72" w:rsidRPr="00AB0A72">
        <w:rPr>
          <w:rFonts w:asciiTheme="majorBidi" w:hAnsiTheme="majorBidi" w:cstheme="majorBidi"/>
          <w:shd w:val="clear" w:color="auto" w:fill="FFFFFF"/>
          <w:lang w:val="en-US"/>
        </w:rPr>
        <w:t xml:space="preserve">iolence dimension </w:t>
      </w:r>
      <w:r w:rsidR="00AB0A72">
        <w:rPr>
          <w:rFonts w:asciiTheme="majorBidi" w:hAnsiTheme="majorBidi" w:cstheme="majorBidi"/>
          <w:shd w:val="clear" w:color="auto" w:fill="FFFFFF"/>
          <w:lang w:val="en-US"/>
        </w:rPr>
        <w:t xml:space="preserve">showed a significant main effect only during the </w:t>
      </w:r>
      <w:r w:rsidR="005A61E4">
        <w:rPr>
          <w:rFonts w:asciiTheme="majorBidi" w:hAnsiTheme="majorBidi" w:cstheme="majorBidi"/>
          <w:shd w:val="clear" w:color="auto" w:fill="FFFFFF"/>
          <w:lang w:val="en-US"/>
        </w:rPr>
        <w:t>i</w:t>
      </w:r>
      <w:r w:rsidR="00AB0A72">
        <w:rPr>
          <w:rFonts w:asciiTheme="majorBidi" w:hAnsiTheme="majorBidi" w:cstheme="majorBidi"/>
          <w:shd w:val="clear" w:color="auto" w:fill="FFFFFF"/>
          <w:lang w:val="en-US"/>
        </w:rPr>
        <w:t xml:space="preserve">nland </w:t>
      </w:r>
      <w:r w:rsidR="005A61E4">
        <w:rPr>
          <w:rFonts w:asciiTheme="majorBidi" w:hAnsiTheme="majorBidi" w:cstheme="majorBidi"/>
          <w:shd w:val="clear" w:color="auto" w:fill="FFFFFF"/>
          <w:lang w:val="en-US"/>
        </w:rPr>
        <w:t>t</w:t>
      </w:r>
      <w:r w:rsidR="00AB0A72">
        <w:rPr>
          <w:rFonts w:asciiTheme="majorBidi" w:hAnsiTheme="majorBidi" w:cstheme="majorBidi"/>
          <w:shd w:val="clear" w:color="auto" w:fill="FFFFFF"/>
          <w:lang w:val="en-US"/>
        </w:rPr>
        <w:t>error event (F = 5.054, p &lt; .05). In contrast, the</w:t>
      </w:r>
      <w:r w:rsidR="00AB0A72" w:rsidRPr="00AB0A72">
        <w:rPr>
          <w:rFonts w:asciiTheme="majorBidi" w:hAnsiTheme="majorBidi" w:cstheme="majorBidi"/>
          <w:shd w:val="clear" w:color="auto" w:fill="FFFFFF"/>
          <w:lang w:val="en-US"/>
        </w:rPr>
        <w:t xml:space="preserve"> </w:t>
      </w:r>
      <w:r w:rsidR="005A61E4">
        <w:rPr>
          <w:rFonts w:asciiTheme="majorBidi" w:hAnsiTheme="majorBidi" w:cstheme="majorBidi"/>
          <w:shd w:val="clear" w:color="auto" w:fill="FFFFFF"/>
          <w:lang w:val="en-US"/>
        </w:rPr>
        <w:t>i</w:t>
      </w:r>
      <w:r w:rsidR="00AB0A72" w:rsidRPr="00AB0A72">
        <w:rPr>
          <w:rFonts w:asciiTheme="majorBidi" w:hAnsiTheme="majorBidi" w:cstheme="majorBidi"/>
          <w:shd w:val="clear" w:color="auto" w:fill="FFFFFF"/>
          <w:lang w:val="en-US"/>
        </w:rPr>
        <w:t xml:space="preserve">ntolerance dimension remained statistically stable across all events when looking at the population as a whole. </w:t>
      </w:r>
    </w:p>
    <w:p w14:paraId="56652E6F" w14:textId="41BAB335" w:rsidR="005E7CEC" w:rsidRDefault="005E7CEC" w:rsidP="00AB0A72">
      <w:pPr>
        <w:pStyle w:val="Newparagraph"/>
        <w:spacing w:before="240"/>
        <w:rPr>
          <w:lang w:val="en-US"/>
        </w:rPr>
      </w:pPr>
      <w:r>
        <w:t xml:space="preserve">Table </w:t>
      </w:r>
      <w:fldSimple w:instr=" SEQ Table \* ARABIC ">
        <w:r w:rsidR="00823ED9">
          <w:rPr>
            <w:noProof/>
          </w:rPr>
          <w:t>2</w:t>
        </w:r>
      </w:fldSimple>
      <w:bookmarkEnd w:id="30"/>
      <w:r>
        <w:rPr>
          <w:lang w:val="en-US"/>
        </w:rPr>
        <w:t>: A</w:t>
      </w:r>
      <w:r w:rsidR="00AC22B3">
        <w:rPr>
          <w:lang w:val="en-US"/>
        </w:rPr>
        <w:t>NOVA</w:t>
      </w:r>
      <w:r>
        <w:rPr>
          <w:lang w:val="en-US"/>
        </w:rPr>
        <w:t xml:space="preserve"> results for each dimension (Entire population)</w:t>
      </w:r>
      <w:r w:rsidR="007D20EB">
        <w:rPr>
          <w:rStyle w:val="FootnoteReference"/>
          <w:lang w:val="en-US"/>
        </w:rPr>
        <w:footnoteReference w:id="7"/>
      </w:r>
    </w:p>
    <w:tbl>
      <w:tblPr>
        <w:tblW w:w="8499" w:type="dxa"/>
        <w:tblBorders>
          <w:top w:val="single" w:sz="12" w:space="0" w:color="A8A8A8"/>
          <w:bottom w:val="single" w:sz="12" w:space="0" w:color="A8A8A8"/>
        </w:tblBorders>
        <w:shd w:val="clear" w:color="auto" w:fill="FFFFFF"/>
        <w:tblCellMar>
          <w:top w:w="15" w:type="dxa"/>
          <w:left w:w="15" w:type="dxa"/>
          <w:bottom w:w="15" w:type="dxa"/>
          <w:right w:w="15" w:type="dxa"/>
        </w:tblCellMar>
        <w:tblLook w:val="04A0" w:firstRow="1" w:lastRow="0" w:firstColumn="1" w:lastColumn="0" w:noHBand="0" w:noVBand="1"/>
      </w:tblPr>
      <w:tblGrid>
        <w:gridCol w:w="1530"/>
        <w:gridCol w:w="1393"/>
        <w:gridCol w:w="1412"/>
        <w:gridCol w:w="1423"/>
        <w:gridCol w:w="1434"/>
        <w:gridCol w:w="1307"/>
      </w:tblGrid>
      <w:tr w:rsidR="00AB0A72" w:rsidRPr="00AB0A72" w14:paraId="2858AE44" w14:textId="77777777" w:rsidTr="00AB0A72">
        <w:trPr>
          <w:tblHeader/>
        </w:trPr>
        <w:tc>
          <w:tcPr>
            <w:tcW w:w="0" w:type="auto"/>
            <w:tcBorders>
              <w:top w:val="single" w:sz="4" w:space="0" w:color="auto"/>
              <w:left w:val="nil"/>
              <w:bottom w:val="nil"/>
              <w:right w:val="nil"/>
            </w:tcBorders>
            <w:shd w:val="clear" w:color="auto" w:fill="FFFFFF"/>
            <w:tcMar>
              <w:top w:w="75" w:type="dxa"/>
              <w:left w:w="75" w:type="dxa"/>
              <w:bottom w:w="90" w:type="dxa"/>
              <w:right w:w="75" w:type="dxa"/>
            </w:tcMar>
            <w:vAlign w:val="bottom"/>
            <w:hideMark/>
          </w:tcPr>
          <w:p w14:paraId="1603FC7C" w14:textId="77777777" w:rsidR="00AB0A72" w:rsidRPr="00AB0A72" w:rsidRDefault="00AB0A72" w:rsidP="00AB0A72">
            <w:pPr>
              <w:spacing w:line="240" w:lineRule="auto"/>
              <w:rPr>
                <w:rFonts w:ascii="Segoe UI" w:hAnsi="Segoe UI" w:cs="Segoe UI"/>
                <w:b/>
                <w:bCs/>
                <w:color w:val="333333"/>
                <w:sz w:val="18"/>
                <w:szCs w:val="18"/>
                <w:lang w:val="en-US" w:eastAsia="en-US"/>
              </w:rPr>
            </w:pPr>
            <w:r w:rsidRPr="00AB0A72">
              <w:rPr>
                <w:rFonts w:ascii="Segoe UI" w:hAnsi="Segoe UI" w:cs="Segoe UI"/>
                <w:b/>
                <w:bCs/>
                <w:color w:val="333333"/>
                <w:sz w:val="18"/>
                <w:szCs w:val="18"/>
                <w:lang w:val="en-US" w:eastAsia="en-US"/>
              </w:rPr>
              <w:t>Dimension</w:t>
            </w:r>
          </w:p>
        </w:tc>
        <w:tc>
          <w:tcPr>
            <w:tcW w:w="0" w:type="auto"/>
            <w:tcBorders>
              <w:top w:val="single" w:sz="4" w:space="0" w:color="auto"/>
              <w:left w:val="nil"/>
              <w:bottom w:val="nil"/>
              <w:right w:val="nil"/>
            </w:tcBorders>
            <w:shd w:val="clear" w:color="auto" w:fill="FFFFFF"/>
            <w:tcMar>
              <w:top w:w="75" w:type="dxa"/>
              <w:left w:w="75" w:type="dxa"/>
              <w:bottom w:w="90" w:type="dxa"/>
              <w:right w:w="75" w:type="dxa"/>
            </w:tcMar>
            <w:vAlign w:val="bottom"/>
            <w:hideMark/>
          </w:tcPr>
          <w:p w14:paraId="31F9DB91" w14:textId="77777777" w:rsidR="00AB0A72" w:rsidRPr="00AB0A72" w:rsidRDefault="00AB0A72" w:rsidP="00AB0A72">
            <w:pPr>
              <w:spacing w:line="240" w:lineRule="auto"/>
              <w:jc w:val="center"/>
              <w:rPr>
                <w:rFonts w:ascii="Segoe UI" w:hAnsi="Segoe UI" w:cs="Segoe UI"/>
                <w:b/>
                <w:bCs/>
                <w:color w:val="333333"/>
                <w:sz w:val="18"/>
                <w:szCs w:val="18"/>
                <w:lang w:val="en-US" w:eastAsia="en-US"/>
              </w:rPr>
            </w:pPr>
            <w:r w:rsidRPr="00AB0A72">
              <w:rPr>
                <w:rFonts w:ascii="Segoe UI" w:hAnsi="Segoe UI" w:cs="Segoe UI"/>
                <w:b/>
                <w:bCs/>
                <w:color w:val="333333"/>
                <w:sz w:val="18"/>
                <w:szCs w:val="18"/>
                <w:lang w:val="en-US" w:eastAsia="en-US"/>
              </w:rPr>
              <w:t>Inland Terror</w:t>
            </w:r>
          </w:p>
        </w:tc>
        <w:tc>
          <w:tcPr>
            <w:tcW w:w="0" w:type="auto"/>
            <w:tcBorders>
              <w:top w:val="single" w:sz="4" w:space="0" w:color="auto"/>
              <w:left w:val="nil"/>
              <w:bottom w:val="nil"/>
              <w:right w:val="nil"/>
            </w:tcBorders>
            <w:shd w:val="clear" w:color="auto" w:fill="FFFFFF"/>
            <w:tcMar>
              <w:top w:w="75" w:type="dxa"/>
              <w:left w:w="75" w:type="dxa"/>
              <w:bottom w:w="90" w:type="dxa"/>
              <w:right w:w="75" w:type="dxa"/>
            </w:tcMar>
            <w:vAlign w:val="bottom"/>
            <w:hideMark/>
          </w:tcPr>
          <w:p w14:paraId="59691E32" w14:textId="77777777" w:rsidR="00AB0A72" w:rsidRPr="00AB0A72" w:rsidRDefault="00AB0A72" w:rsidP="00AB0A72">
            <w:pPr>
              <w:spacing w:line="240" w:lineRule="auto"/>
              <w:jc w:val="center"/>
              <w:rPr>
                <w:rFonts w:ascii="Segoe UI" w:hAnsi="Segoe UI" w:cs="Segoe UI"/>
                <w:b/>
                <w:bCs/>
                <w:color w:val="333333"/>
                <w:sz w:val="18"/>
                <w:szCs w:val="18"/>
                <w:lang w:val="en-US" w:eastAsia="en-US"/>
              </w:rPr>
            </w:pPr>
            <w:r w:rsidRPr="00AB0A72">
              <w:rPr>
                <w:rFonts w:ascii="Segoe UI" w:hAnsi="Segoe UI" w:cs="Segoe UI"/>
                <w:b/>
                <w:bCs/>
                <w:color w:val="333333"/>
                <w:sz w:val="18"/>
                <w:szCs w:val="18"/>
                <w:lang w:val="en-US" w:eastAsia="en-US"/>
              </w:rPr>
              <w:t>Bennet Gov. Fall</w:t>
            </w:r>
          </w:p>
        </w:tc>
        <w:tc>
          <w:tcPr>
            <w:tcW w:w="0" w:type="auto"/>
            <w:tcBorders>
              <w:top w:val="single" w:sz="4" w:space="0" w:color="auto"/>
              <w:left w:val="nil"/>
              <w:bottom w:val="nil"/>
              <w:right w:val="nil"/>
            </w:tcBorders>
            <w:shd w:val="clear" w:color="auto" w:fill="FFFFFF"/>
            <w:tcMar>
              <w:top w:w="75" w:type="dxa"/>
              <w:left w:w="75" w:type="dxa"/>
              <w:bottom w:w="90" w:type="dxa"/>
              <w:right w:w="75" w:type="dxa"/>
            </w:tcMar>
            <w:vAlign w:val="bottom"/>
            <w:hideMark/>
          </w:tcPr>
          <w:p w14:paraId="30B839CF" w14:textId="05B7EB3A" w:rsidR="00AB0A72" w:rsidRPr="00AB0A72" w:rsidRDefault="00AB0A72" w:rsidP="00AB0A72">
            <w:pPr>
              <w:spacing w:line="240" w:lineRule="auto"/>
              <w:jc w:val="center"/>
              <w:rPr>
                <w:rFonts w:ascii="Segoe UI" w:hAnsi="Segoe UI" w:cs="Segoe UI"/>
                <w:b/>
                <w:bCs/>
                <w:color w:val="333333"/>
                <w:sz w:val="18"/>
                <w:szCs w:val="18"/>
                <w:lang w:val="en-US" w:eastAsia="en-US"/>
              </w:rPr>
            </w:pPr>
            <w:r w:rsidRPr="00AB0A72">
              <w:rPr>
                <w:rFonts w:ascii="Segoe UI" w:hAnsi="Segoe UI" w:cs="Segoe UI"/>
                <w:b/>
                <w:bCs/>
                <w:color w:val="333333"/>
                <w:sz w:val="18"/>
                <w:szCs w:val="18"/>
                <w:lang w:val="en-US" w:eastAsia="en-US"/>
              </w:rPr>
              <w:t xml:space="preserve">Judicial </w:t>
            </w:r>
            <w:r w:rsidR="005A61E4">
              <w:rPr>
                <w:rFonts w:ascii="Segoe UI" w:hAnsi="Segoe UI" w:cs="Segoe UI"/>
                <w:b/>
                <w:bCs/>
                <w:color w:val="333333"/>
                <w:sz w:val="18"/>
                <w:szCs w:val="18"/>
                <w:lang w:val="en-US" w:eastAsia="en-US"/>
              </w:rPr>
              <w:t>r</w:t>
            </w:r>
            <w:r w:rsidRPr="00AB0A72">
              <w:rPr>
                <w:rFonts w:ascii="Segoe UI" w:hAnsi="Segoe UI" w:cs="Segoe UI"/>
                <w:b/>
                <w:bCs/>
                <w:color w:val="333333"/>
                <w:sz w:val="18"/>
                <w:szCs w:val="18"/>
                <w:lang w:val="en-US" w:eastAsia="en-US"/>
              </w:rPr>
              <w:t>eform §</w:t>
            </w:r>
          </w:p>
        </w:tc>
        <w:tc>
          <w:tcPr>
            <w:tcW w:w="0" w:type="auto"/>
            <w:tcBorders>
              <w:top w:val="single" w:sz="4" w:space="0" w:color="auto"/>
              <w:left w:val="nil"/>
              <w:bottom w:val="nil"/>
              <w:right w:val="nil"/>
            </w:tcBorders>
            <w:shd w:val="clear" w:color="auto" w:fill="FFFFFF"/>
            <w:tcMar>
              <w:top w:w="75" w:type="dxa"/>
              <w:left w:w="75" w:type="dxa"/>
              <w:bottom w:w="90" w:type="dxa"/>
              <w:right w:w="75" w:type="dxa"/>
            </w:tcMar>
            <w:vAlign w:val="bottom"/>
            <w:hideMark/>
          </w:tcPr>
          <w:p w14:paraId="268E8547" w14:textId="77777777" w:rsidR="00AB0A72" w:rsidRPr="00AB0A72" w:rsidRDefault="00AB0A72" w:rsidP="00AB0A72">
            <w:pPr>
              <w:spacing w:line="240" w:lineRule="auto"/>
              <w:jc w:val="center"/>
              <w:rPr>
                <w:rFonts w:ascii="Segoe UI" w:hAnsi="Segoe UI" w:cs="Segoe UI"/>
                <w:b/>
                <w:bCs/>
                <w:color w:val="333333"/>
                <w:sz w:val="18"/>
                <w:szCs w:val="18"/>
                <w:lang w:val="en-US" w:eastAsia="en-US"/>
              </w:rPr>
            </w:pPr>
            <w:r w:rsidRPr="00AB0A72">
              <w:rPr>
                <w:rFonts w:ascii="Segoe UI" w:hAnsi="Segoe UI" w:cs="Segoe UI"/>
                <w:b/>
                <w:bCs/>
                <w:color w:val="333333"/>
                <w:sz w:val="18"/>
                <w:szCs w:val="18"/>
                <w:lang w:val="en-US" w:eastAsia="en-US"/>
              </w:rPr>
              <w:t>Gallant Dismissal</w:t>
            </w:r>
          </w:p>
        </w:tc>
        <w:tc>
          <w:tcPr>
            <w:tcW w:w="0" w:type="auto"/>
            <w:tcBorders>
              <w:top w:val="single" w:sz="4" w:space="0" w:color="auto"/>
              <w:left w:val="nil"/>
              <w:bottom w:val="nil"/>
              <w:right w:val="nil"/>
            </w:tcBorders>
            <w:shd w:val="clear" w:color="auto" w:fill="FFFFFF"/>
            <w:tcMar>
              <w:top w:w="75" w:type="dxa"/>
              <w:left w:w="75" w:type="dxa"/>
              <w:bottom w:w="90" w:type="dxa"/>
              <w:right w:w="75" w:type="dxa"/>
            </w:tcMar>
            <w:vAlign w:val="bottom"/>
            <w:hideMark/>
          </w:tcPr>
          <w:p w14:paraId="449BCEC8" w14:textId="77777777" w:rsidR="00AB0A72" w:rsidRPr="00AB0A72" w:rsidRDefault="00AB0A72" w:rsidP="00AB0A72">
            <w:pPr>
              <w:spacing w:line="240" w:lineRule="auto"/>
              <w:jc w:val="center"/>
              <w:rPr>
                <w:rFonts w:ascii="Segoe UI" w:hAnsi="Segoe UI" w:cs="Segoe UI"/>
                <w:b/>
                <w:bCs/>
                <w:color w:val="333333"/>
                <w:sz w:val="18"/>
                <w:szCs w:val="18"/>
                <w:lang w:val="en-US" w:eastAsia="en-US"/>
              </w:rPr>
            </w:pPr>
            <w:r w:rsidRPr="00AB0A72">
              <w:rPr>
                <w:rFonts w:ascii="Segoe UI" w:hAnsi="Segoe UI" w:cs="Segoe UI"/>
                <w:b/>
                <w:bCs/>
                <w:color w:val="333333"/>
                <w:sz w:val="18"/>
                <w:szCs w:val="18"/>
                <w:lang w:val="en-US" w:eastAsia="en-US"/>
              </w:rPr>
              <w:t>Oct. 7th War</w:t>
            </w:r>
          </w:p>
        </w:tc>
      </w:tr>
      <w:tr w:rsidR="00AB0A72" w:rsidRPr="00AB0A72" w14:paraId="3CB0C283" w14:textId="77777777" w:rsidTr="00AB0A72">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D2237D9" w14:textId="77777777" w:rsidR="00AB0A72" w:rsidRPr="00AB0A72" w:rsidRDefault="00AB0A72" w:rsidP="00AB0A72">
            <w:pPr>
              <w:spacing w:line="240" w:lineRule="auto"/>
              <w:ind w:left="150" w:right="150"/>
              <w:rPr>
                <w:rFonts w:ascii="Segoe UI" w:hAnsi="Segoe UI" w:cs="Segoe UI"/>
                <w:color w:val="333333"/>
                <w:sz w:val="18"/>
                <w:szCs w:val="18"/>
                <w:lang w:val="en-US" w:eastAsia="en-US" w:bidi="he-IL"/>
              </w:rPr>
            </w:pPr>
            <w:r w:rsidRPr="00AB0A72">
              <w:rPr>
                <w:rFonts w:ascii="Segoe UI" w:hAnsi="Segoe UI" w:cs="Segoe UI"/>
                <w:color w:val="333333"/>
                <w:sz w:val="18"/>
                <w:szCs w:val="18"/>
                <w:lang w:val="en-US" w:eastAsia="en-US" w:bidi="he-IL"/>
              </w:rPr>
              <w:t>Ideology</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4C5752B" w14:textId="77777777" w:rsidR="00AB0A72" w:rsidRPr="00AB0A72" w:rsidRDefault="00AB0A72" w:rsidP="00AB0A72">
            <w:pPr>
              <w:spacing w:line="240" w:lineRule="auto"/>
              <w:ind w:left="150" w:right="150"/>
              <w:rPr>
                <w:rFonts w:ascii="Segoe UI" w:hAnsi="Segoe UI" w:cs="Segoe UI"/>
                <w:color w:val="333333"/>
                <w:sz w:val="18"/>
                <w:szCs w:val="18"/>
                <w:lang w:val="en-US" w:eastAsia="en-US" w:bidi="he-IL"/>
              </w:rPr>
            </w:pPr>
            <w:r w:rsidRPr="00AB0A72">
              <w:rPr>
                <w:rFonts w:ascii="Segoe UI" w:hAnsi="Segoe UI" w:cs="Segoe UI"/>
                <w:color w:val="333333"/>
                <w:sz w:val="18"/>
                <w:szCs w:val="18"/>
                <w:lang w:val="en-US" w:eastAsia="en-US" w:bidi="he-IL"/>
              </w:rPr>
              <w:t>17.580***</w:t>
            </w:r>
            <w:r w:rsidRPr="00AB0A72">
              <w:rPr>
                <w:rFonts w:ascii="Segoe UI" w:hAnsi="Segoe UI" w:cs="Segoe UI"/>
                <w:color w:val="333333"/>
                <w:sz w:val="18"/>
                <w:szCs w:val="18"/>
                <w:lang w:val="en-US" w:eastAsia="en-US" w:bidi="he-IL"/>
              </w:rPr>
              <w:br/>
              <w:t>(-0.100)</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62CDDD8" w14:textId="77777777" w:rsidR="00AB0A72" w:rsidRPr="00AB0A72" w:rsidRDefault="00AB0A72" w:rsidP="00AB0A72">
            <w:pPr>
              <w:spacing w:line="240" w:lineRule="auto"/>
              <w:ind w:left="150" w:right="150"/>
              <w:rPr>
                <w:rFonts w:ascii="Segoe UI" w:hAnsi="Segoe UI" w:cs="Segoe UI"/>
                <w:color w:val="333333"/>
                <w:sz w:val="18"/>
                <w:szCs w:val="18"/>
                <w:lang w:val="en-US" w:eastAsia="en-US" w:bidi="he-IL"/>
              </w:rPr>
            </w:pPr>
            <w:r w:rsidRPr="00AB0A72">
              <w:rPr>
                <w:rFonts w:ascii="Segoe UI" w:hAnsi="Segoe UI" w:cs="Segoe UI"/>
                <w:color w:val="333333"/>
                <w:sz w:val="18"/>
                <w:szCs w:val="18"/>
                <w:lang w:val="en-US" w:eastAsia="en-US" w:bidi="he-IL"/>
              </w:rPr>
              <w:t>5.255*</w:t>
            </w:r>
            <w:r w:rsidRPr="00AB0A72">
              <w:rPr>
                <w:rFonts w:ascii="Segoe UI" w:hAnsi="Segoe UI" w:cs="Segoe UI"/>
                <w:color w:val="333333"/>
                <w:sz w:val="18"/>
                <w:szCs w:val="18"/>
                <w:lang w:val="en-US" w:eastAsia="en-US" w:bidi="he-IL"/>
              </w:rPr>
              <w:br/>
              <w:t>(+0.233)</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2477E88" w14:textId="77777777" w:rsidR="00AB0A72" w:rsidRPr="00AB0A72" w:rsidRDefault="00AB0A72" w:rsidP="00AB0A72">
            <w:pPr>
              <w:spacing w:line="240" w:lineRule="auto"/>
              <w:ind w:left="150" w:right="150"/>
              <w:rPr>
                <w:rFonts w:ascii="Segoe UI" w:hAnsi="Segoe UI" w:cs="Segoe UI"/>
                <w:color w:val="333333"/>
                <w:sz w:val="18"/>
                <w:szCs w:val="18"/>
                <w:lang w:val="en-US" w:eastAsia="en-US" w:bidi="he-IL"/>
              </w:rPr>
            </w:pPr>
            <w:r w:rsidRPr="00AB0A72">
              <w:rPr>
                <w:rFonts w:ascii="Segoe UI" w:hAnsi="Segoe UI" w:cs="Segoe UI"/>
                <w:color w:val="333333"/>
                <w:sz w:val="18"/>
                <w:szCs w:val="18"/>
                <w:lang w:val="en-US" w:eastAsia="en-US" w:bidi="he-IL"/>
              </w:rPr>
              <w:t>0.261</w:t>
            </w:r>
            <w:r w:rsidRPr="00AB0A72">
              <w:rPr>
                <w:rFonts w:ascii="Segoe UI" w:hAnsi="Segoe UI" w:cs="Segoe UI"/>
                <w:color w:val="333333"/>
                <w:sz w:val="18"/>
                <w:szCs w:val="18"/>
                <w:lang w:val="en-US" w:eastAsia="en-US" w:bidi="he-IL"/>
              </w:rPr>
              <w:br/>
              <w:t>(+0.001)</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BCE2A28" w14:textId="77777777" w:rsidR="00AB0A72" w:rsidRPr="00AB0A72" w:rsidRDefault="00AB0A72" w:rsidP="00AB0A72">
            <w:pPr>
              <w:spacing w:line="240" w:lineRule="auto"/>
              <w:ind w:left="150" w:right="150"/>
              <w:rPr>
                <w:rFonts w:ascii="Segoe UI" w:hAnsi="Segoe UI" w:cs="Segoe UI"/>
                <w:color w:val="333333"/>
                <w:sz w:val="18"/>
                <w:szCs w:val="18"/>
                <w:lang w:val="en-US" w:eastAsia="en-US" w:bidi="he-IL"/>
              </w:rPr>
            </w:pPr>
            <w:r w:rsidRPr="00AB0A72">
              <w:rPr>
                <w:rFonts w:ascii="Segoe UI" w:hAnsi="Segoe UI" w:cs="Segoe UI"/>
                <w:color w:val="333333"/>
                <w:sz w:val="18"/>
                <w:szCs w:val="18"/>
                <w:lang w:val="en-US" w:eastAsia="en-US" w:bidi="he-IL"/>
              </w:rPr>
              <w:t>0.069</w:t>
            </w:r>
            <w:r w:rsidRPr="00AB0A72">
              <w:rPr>
                <w:rFonts w:ascii="Segoe UI" w:hAnsi="Segoe UI" w:cs="Segoe UI"/>
                <w:color w:val="333333"/>
                <w:sz w:val="18"/>
                <w:szCs w:val="18"/>
                <w:lang w:val="en-US" w:eastAsia="en-US" w:bidi="he-IL"/>
              </w:rPr>
              <w:br/>
              <w:t>(-0.026)</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F341905" w14:textId="77777777" w:rsidR="00AB0A72" w:rsidRPr="00AB0A72" w:rsidRDefault="00AB0A72" w:rsidP="00AB0A72">
            <w:pPr>
              <w:spacing w:line="240" w:lineRule="auto"/>
              <w:ind w:left="150" w:right="150"/>
              <w:rPr>
                <w:rFonts w:ascii="Segoe UI" w:hAnsi="Segoe UI" w:cs="Segoe UI"/>
                <w:color w:val="333333"/>
                <w:sz w:val="18"/>
                <w:szCs w:val="18"/>
                <w:lang w:val="en-US" w:eastAsia="en-US" w:bidi="he-IL"/>
              </w:rPr>
            </w:pPr>
            <w:r w:rsidRPr="00AB0A72">
              <w:rPr>
                <w:rFonts w:ascii="Segoe UI" w:hAnsi="Segoe UI" w:cs="Segoe UI"/>
                <w:color w:val="333333"/>
                <w:sz w:val="18"/>
                <w:szCs w:val="18"/>
                <w:lang w:val="en-US" w:eastAsia="en-US" w:bidi="he-IL"/>
              </w:rPr>
              <w:t>4.685*</w:t>
            </w:r>
            <w:r w:rsidRPr="00AB0A72">
              <w:rPr>
                <w:rFonts w:ascii="Segoe UI" w:hAnsi="Segoe UI" w:cs="Segoe UI"/>
                <w:color w:val="333333"/>
                <w:sz w:val="18"/>
                <w:szCs w:val="18"/>
                <w:lang w:val="en-US" w:eastAsia="en-US" w:bidi="he-IL"/>
              </w:rPr>
              <w:br/>
              <w:t>(+0.233)</w:t>
            </w:r>
          </w:p>
        </w:tc>
      </w:tr>
      <w:tr w:rsidR="00AB0A72" w:rsidRPr="00AB0A72" w14:paraId="498E59CF" w14:textId="77777777" w:rsidTr="00AB0A72">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422F26E" w14:textId="77777777" w:rsidR="00AB0A72" w:rsidRPr="00AB0A72" w:rsidRDefault="00AB0A72" w:rsidP="00AB0A72">
            <w:pPr>
              <w:spacing w:line="240" w:lineRule="auto"/>
              <w:ind w:left="150" w:right="150"/>
              <w:rPr>
                <w:rFonts w:ascii="Segoe UI" w:hAnsi="Segoe UI" w:cs="Segoe UI"/>
                <w:color w:val="333333"/>
                <w:sz w:val="18"/>
                <w:szCs w:val="18"/>
                <w:lang w:val="en-US" w:eastAsia="en-US" w:bidi="he-IL"/>
              </w:rPr>
            </w:pPr>
            <w:r w:rsidRPr="00AB0A72">
              <w:rPr>
                <w:rFonts w:ascii="Segoe UI" w:hAnsi="Segoe UI" w:cs="Segoe UI"/>
                <w:color w:val="333333"/>
                <w:sz w:val="18"/>
                <w:szCs w:val="18"/>
                <w:lang w:val="en-US" w:eastAsia="en-US" w:bidi="he-IL"/>
              </w:rPr>
              <w:t>Violence</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BBB53CF" w14:textId="77777777" w:rsidR="00AB0A72" w:rsidRPr="00AB0A72" w:rsidRDefault="00AB0A72" w:rsidP="00AB0A72">
            <w:pPr>
              <w:spacing w:line="240" w:lineRule="auto"/>
              <w:ind w:left="150" w:right="150"/>
              <w:rPr>
                <w:rFonts w:ascii="Segoe UI" w:hAnsi="Segoe UI" w:cs="Segoe UI"/>
                <w:color w:val="333333"/>
                <w:sz w:val="18"/>
                <w:szCs w:val="18"/>
                <w:lang w:val="en-US" w:eastAsia="en-US" w:bidi="he-IL"/>
              </w:rPr>
            </w:pPr>
            <w:r w:rsidRPr="00AB0A72">
              <w:rPr>
                <w:rFonts w:ascii="Segoe UI" w:hAnsi="Segoe UI" w:cs="Segoe UI"/>
                <w:color w:val="333333"/>
                <w:sz w:val="18"/>
                <w:szCs w:val="18"/>
                <w:lang w:val="en-US" w:eastAsia="en-US" w:bidi="he-IL"/>
              </w:rPr>
              <w:t>5.054*</w:t>
            </w:r>
            <w:r w:rsidRPr="00AB0A72">
              <w:rPr>
                <w:rFonts w:ascii="Segoe UI" w:hAnsi="Segoe UI" w:cs="Segoe UI"/>
                <w:color w:val="333333"/>
                <w:sz w:val="18"/>
                <w:szCs w:val="18"/>
                <w:lang w:val="en-US" w:eastAsia="en-US" w:bidi="he-IL"/>
              </w:rPr>
              <w:br/>
              <w:t>(+0.033)</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C8AEA9D" w14:textId="77777777" w:rsidR="00AB0A72" w:rsidRPr="00AB0A72" w:rsidRDefault="00AB0A72" w:rsidP="00AB0A72">
            <w:pPr>
              <w:spacing w:line="240" w:lineRule="auto"/>
              <w:ind w:left="150" w:right="150"/>
              <w:rPr>
                <w:rFonts w:ascii="Segoe UI" w:hAnsi="Segoe UI" w:cs="Segoe UI"/>
                <w:color w:val="333333"/>
                <w:sz w:val="18"/>
                <w:szCs w:val="18"/>
                <w:lang w:val="en-US" w:eastAsia="en-US" w:bidi="he-IL"/>
              </w:rPr>
            </w:pPr>
            <w:r w:rsidRPr="00AB0A72">
              <w:rPr>
                <w:rFonts w:ascii="Segoe UI" w:hAnsi="Segoe UI" w:cs="Segoe UI"/>
                <w:color w:val="333333"/>
                <w:sz w:val="18"/>
                <w:szCs w:val="18"/>
                <w:lang w:val="en-US" w:eastAsia="en-US" w:bidi="he-IL"/>
              </w:rPr>
              <w:t>1.445</w:t>
            </w:r>
            <w:r w:rsidRPr="00AB0A72">
              <w:rPr>
                <w:rFonts w:ascii="Segoe UI" w:hAnsi="Segoe UI" w:cs="Segoe UI"/>
                <w:color w:val="333333"/>
                <w:sz w:val="18"/>
                <w:szCs w:val="18"/>
                <w:lang w:val="en-US" w:eastAsia="en-US" w:bidi="he-IL"/>
              </w:rPr>
              <w:br/>
              <w:t>(-0.038)</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8576EA4" w14:textId="77777777" w:rsidR="00AB0A72" w:rsidRPr="00AB0A72" w:rsidRDefault="00AB0A72" w:rsidP="00AB0A72">
            <w:pPr>
              <w:spacing w:line="240" w:lineRule="auto"/>
              <w:ind w:left="150" w:right="150"/>
              <w:rPr>
                <w:rFonts w:ascii="Segoe UI" w:hAnsi="Segoe UI" w:cs="Segoe UI"/>
                <w:color w:val="333333"/>
                <w:sz w:val="18"/>
                <w:szCs w:val="18"/>
                <w:lang w:val="en-US" w:eastAsia="en-US" w:bidi="he-IL"/>
              </w:rPr>
            </w:pPr>
            <w:r w:rsidRPr="00AB0A72">
              <w:rPr>
                <w:rFonts w:ascii="Segoe UI" w:hAnsi="Segoe UI" w:cs="Segoe UI"/>
                <w:color w:val="333333"/>
                <w:sz w:val="18"/>
                <w:szCs w:val="18"/>
                <w:lang w:val="en-US" w:eastAsia="en-US" w:bidi="he-IL"/>
              </w:rPr>
              <w:t>0.345</w:t>
            </w:r>
            <w:r w:rsidRPr="00AB0A72">
              <w:rPr>
                <w:rFonts w:ascii="Segoe UI" w:hAnsi="Segoe UI" w:cs="Segoe UI"/>
                <w:color w:val="333333"/>
                <w:sz w:val="18"/>
                <w:szCs w:val="18"/>
                <w:lang w:val="en-US" w:eastAsia="en-US" w:bidi="he-IL"/>
              </w:rPr>
              <w:br/>
              <w:t>(+0.089)</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D3C48BF" w14:textId="77777777" w:rsidR="00AB0A72" w:rsidRPr="00AB0A72" w:rsidRDefault="00AB0A72" w:rsidP="00AB0A72">
            <w:pPr>
              <w:spacing w:line="240" w:lineRule="auto"/>
              <w:ind w:left="150" w:right="150"/>
              <w:rPr>
                <w:rFonts w:ascii="Segoe UI" w:hAnsi="Segoe UI" w:cs="Segoe UI"/>
                <w:color w:val="333333"/>
                <w:sz w:val="18"/>
                <w:szCs w:val="18"/>
                <w:lang w:val="en-US" w:eastAsia="en-US" w:bidi="he-IL"/>
              </w:rPr>
            </w:pPr>
            <w:r w:rsidRPr="00AB0A72">
              <w:rPr>
                <w:rFonts w:ascii="Segoe UI" w:hAnsi="Segoe UI" w:cs="Segoe UI"/>
                <w:color w:val="333333"/>
                <w:sz w:val="18"/>
                <w:szCs w:val="18"/>
                <w:lang w:val="en-US" w:eastAsia="en-US" w:bidi="he-IL"/>
              </w:rPr>
              <w:t>0.571</w:t>
            </w:r>
            <w:r w:rsidRPr="00AB0A72">
              <w:rPr>
                <w:rFonts w:ascii="Segoe UI" w:hAnsi="Segoe UI" w:cs="Segoe UI"/>
                <w:color w:val="333333"/>
                <w:sz w:val="18"/>
                <w:szCs w:val="18"/>
                <w:lang w:val="en-US" w:eastAsia="en-US" w:bidi="he-IL"/>
              </w:rPr>
              <w:br/>
              <w:t>(+0.014)</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CBF7F96" w14:textId="77777777" w:rsidR="00AB0A72" w:rsidRPr="00AB0A72" w:rsidRDefault="00AB0A72" w:rsidP="00AB0A72">
            <w:pPr>
              <w:spacing w:line="240" w:lineRule="auto"/>
              <w:ind w:left="150" w:right="150"/>
              <w:rPr>
                <w:rFonts w:ascii="Segoe UI" w:hAnsi="Segoe UI" w:cs="Segoe UI"/>
                <w:color w:val="333333"/>
                <w:sz w:val="18"/>
                <w:szCs w:val="18"/>
                <w:lang w:val="en-US" w:eastAsia="en-US" w:bidi="he-IL"/>
              </w:rPr>
            </w:pPr>
            <w:r w:rsidRPr="00AB0A72">
              <w:rPr>
                <w:rFonts w:ascii="Segoe UI" w:hAnsi="Segoe UI" w:cs="Segoe UI"/>
                <w:color w:val="333333"/>
                <w:sz w:val="18"/>
                <w:szCs w:val="18"/>
                <w:lang w:val="en-US" w:eastAsia="en-US" w:bidi="he-IL"/>
              </w:rPr>
              <w:t>2.103</w:t>
            </w:r>
            <w:r w:rsidRPr="00AB0A72">
              <w:rPr>
                <w:rFonts w:ascii="Segoe UI" w:hAnsi="Segoe UI" w:cs="Segoe UI"/>
                <w:color w:val="333333"/>
                <w:sz w:val="18"/>
                <w:szCs w:val="18"/>
                <w:lang w:val="en-US" w:eastAsia="en-US" w:bidi="he-IL"/>
              </w:rPr>
              <w:br/>
              <w:t>(+0.118)</w:t>
            </w:r>
          </w:p>
        </w:tc>
      </w:tr>
      <w:tr w:rsidR="00AB0A72" w:rsidRPr="00AB0A72" w14:paraId="2173E60C" w14:textId="77777777" w:rsidTr="00AB0A72">
        <w:tc>
          <w:tcPr>
            <w:tcW w:w="0" w:type="auto"/>
            <w:tcBorders>
              <w:top w:val="single" w:sz="6" w:space="0" w:color="D3D3D3"/>
              <w:left w:val="nil"/>
              <w:bottom w:val="single" w:sz="4" w:space="0" w:color="D9D9D9" w:themeColor="background1" w:themeShade="D9"/>
              <w:right w:val="nil"/>
            </w:tcBorders>
            <w:shd w:val="clear" w:color="auto" w:fill="FFFFFF"/>
            <w:tcMar>
              <w:top w:w="120" w:type="dxa"/>
              <w:left w:w="75" w:type="dxa"/>
              <w:bottom w:w="120" w:type="dxa"/>
              <w:right w:w="75" w:type="dxa"/>
            </w:tcMar>
            <w:vAlign w:val="center"/>
            <w:hideMark/>
          </w:tcPr>
          <w:p w14:paraId="75183C81" w14:textId="77777777" w:rsidR="00AB0A72" w:rsidRPr="00AB0A72" w:rsidRDefault="00AB0A72" w:rsidP="00AB0A72">
            <w:pPr>
              <w:spacing w:line="240" w:lineRule="auto"/>
              <w:ind w:left="150" w:right="150"/>
              <w:rPr>
                <w:rFonts w:ascii="Segoe UI" w:hAnsi="Segoe UI" w:cs="Segoe UI"/>
                <w:color w:val="333333"/>
                <w:sz w:val="18"/>
                <w:szCs w:val="18"/>
                <w:lang w:val="en-US" w:eastAsia="en-US" w:bidi="he-IL"/>
              </w:rPr>
            </w:pPr>
            <w:r w:rsidRPr="00AB0A72">
              <w:rPr>
                <w:rFonts w:ascii="Segoe UI" w:hAnsi="Segoe UI" w:cs="Segoe UI"/>
                <w:color w:val="333333"/>
                <w:sz w:val="18"/>
                <w:szCs w:val="18"/>
                <w:lang w:val="en-US" w:eastAsia="en-US" w:bidi="he-IL"/>
              </w:rPr>
              <w:t>Intolerance</w:t>
            </w:r>
          </w:p>
        </w:tc>
        <w:tc>
          <w:tcPr>
            <w:tcW w:w="0" w:type="auto"/>
            <w:tcBorders>
              <w:top w:val="single" w:sz="6" w:space="0" w:color="D3D3D3"/>
              <w:left w:val="nil"/>
              <w:bottom w:val="single" w:sz="4" w:space="0" w:color="D9D9D9" w:themeColor="background1" w:themeShade="D9"/>
              <w:right w:val="nil"/>
            </w:tcBorders>
            <w:shd w:val="clear" w:color="auto" w:fill="FFFFFF"/>
            <w:tcMar>
              <w:top w:w="120" w:type="dxa"/>
              <w:left w:w="75" w:type="dxa"/>
              <w:bottom w:w="120" w:type="dxa"/>
              <w:right w:w="75" w:type="dxa"/>
            </w:tcMar>
            <w:vAlign w:val="center"/>
            <w:hideMark/>
          </w:tcPr>
          <w:p w14:paraId="3DD606B1" w14:textId="77777777" w:rsidR="00AB0A72" w:rsidRPr="00AB0A72" w:rsidRDefault="00AB0A72" w:rsidP="00AB0A72">
            <w:pPr>
              <w:spacing w:line="240" w:lineRule="auto"/>
              <w:ind w:left="150" w:right="150"/>
              <w:rPr>
                <w:rFonts w:ascii="Segoe UI" w:hAnsi="Segoe UI" w:cs="Segoe UI"/>
                <w:color w:val="333333"/>
                <w:sz w:val="18"/>
                <w:szCs w:val="18"/>
                <w:lang w:val="en-US" w:eastAsia="en-US" w:bidi="he-IL"/>
              </w:rPr>
            </w:pPr>
            <w:r w:rsidRPr="00AB0A72">
              <w:rPr>
                <w:rFonts w:ascii="Segoe UI" w:hAnsi="Segoe UI" w:cs="Segoe UI"/>
                <w:color w:val="333333"/>
                <w:sz w:val="18"/>
                <w:szCs w:val="18"/>
                <w:lang w:val="en-US" w:eastAsia="en-US" w:bidi="he-IL"/>
              </w:rPr>
              <w:t>0.000</w:t>
            </w:r>
            <w:r w:rsidRPr="00AB0A72">
              <w:rPr>
                <w:rFonts w:ascii="Segoe UI" w:hAnsi="Segoe UI" w:cs="Segoe UI"/>
                <w:color w:val="333333"/>
                <w:sz w:val="18"/>
                <w:szCs w:val="18"/>
                <w:lang w:val="en-US" w:eastAsia="en-US" w:bidi="he-IL"/>
              </w:rPr>
              <w:br/>
              <w:t>(-0.045)</w:t>
            </w:r>
          </w:p>
        </w:tc>
        <w:tc>
          <w:tcPr>
            <w:tcW w:w="0" w:type="auto"/>
            <w:tcBorders>
              <w:top w:val="single" w:sz="6" w:space="0" w:color="D3D3D3"/>
              <w:left w:val="nil"/>
              <w:bottom w:val="single" w:sz="4" w:space="0" w:color="D9D9D9" w:themeColor="background1" w:themeShade="D9"/>
              <w:right w:val="nil"/>
            </w:tcBorders>
            <w:shd w:val="clear" w:color="auto" w:fill="FFFFFF"/>
            <w:tcMar>
              <w:top w:w="120" w:type="dxa"/>
              <w:left w:w="75" w:type="dxa"/>
              <w:bottom w:w="120" w:type="dxa"/>
              <w:right w:w="75" w:type="dxa"/>
            </w:tcMar>
            <w:vAlign w:val="center"/>
            <w:hideMark/>
          </w:tcPr>
          <w:p w14:paraId="56CB8872" w14:textId="77777777" w:rsidR="00AB0A72" w:rsidRPr="00AB0A72" w:rsidRDefault="00AB0A72" w:rsidP="00AB0A72">
            <w:pPr>
              <w:spacing w:line="240" w:lineRule="auto"/>
              <w:ind w:left="150" w:right="150"/>
              <w:rPr>
                <w:rFonts w:ascii="Segoe UI" w:hAnsi="Segoe UI" w:cs="Segoe UI"/>
                <w:color w:val="333333"/>
                <w:sz w:val="18"/>
                <w:szCs w:val="18"/>
                <w:lang w:val="en-US" w:eastAsia="en-US" w:bidi="he-IL"/>
              </w:rPr>
            </w:pPr>
            <w:r w:rsidRPr="00AB0A72">
              <w:rPr>
                <w:rFonts w:ascii="Segoe UI" w:hAnsi="Segoe UI" w:cs="Segoe UI"/>
                <w:color w:val="333333"/>
                <w:sz w:val="18"/>
                <w:szCs w:val="18"/>
                <w:lang w:val="en-US" w:eastAsia="en-US" w:bidi="he-IL"/>
              </w:rPr>
              <w:t>0.000</w:t>
            </w:r>
            <w:r w:rsidRPr="00AB0A72">
              <w:rPr>
                <w:rFonts w:ascii="Segoe UI" w:hAnsi="Segoe UI" w:cs="Segoe UI"/>
                <w:color w:val="333333"/>
                <w:sz w:val="18"/>
                <w:szCs w:val="18"/>
                <w:lang w:val="en-US" w:eastAsia="en-US" w:bidi="he-IL"/>
              </w:rPr>
              <w:br/>
              <w:t>(-0.005)</w:t>
            </w:r>
          </w:p>
        </w:tc>
        <w:tc>
          <w:tcPr>
            <w:tcW w:w="0" w:type="auto"/>
            <w:tcBorders>
              <w:top w:val="single" w:sz="6" w:space="0" w:color="D3D3D3"/>
              <w:left w:val="nil"/>
              <w:bottom w:val="single" w:sz="4" w:space="0" w:color="D9D9D9" w:themeColor="background1" w:themeShade="D9"/>
              <w:right w:val="nil"/>
            </w:tcBorders>
            <w:shd w:val="clear" w:color="auto" w:fill="FFFFFF"/>
            <w:tcMar>
              <w:top w:w="120" w:type="dxa"/>
              <w:left w:w="75" w:type="dxa"/>
              <w:bottom w:w="120" w:type="dxa"/>
              <w:right w:w="75" w:type="dxa"/>
            </w:tcMar>
            <w:vAlign w:val="center"/>
            <w:hideMark/>
          </w:tcPr>
          <w:p w14:paraId="593E5694" w14:textId="77777777" w:rsidR="00AB0A72" w:rsidRPr="00AB0A72" w:rsidRDefault="00AB0A72" w:rsidP="00AB0A72">
            <w:pPr>
              <w:spacing w:line="240" w:lineRule="auto"/>
              <w:ind w:left="150" w:right="150"/>
              <w:rPr>
                <w:rFonts w:ascii="Segoe UI" w:hAnsi="Segoe UI" w:cs="Segoe UI"/>
                <w:color w:val="333333"/>
                <w:sz w:val="18"/>
                <w:szCs w:val="18"/>
                <w:lang w:val="en-US" w:eastAsia="en-US" w:bidi="he-IL"/>
              </w:rPr>
            </w:pPr>
            <w:r w:rsidRPr="00AB0A72">
              <w:rPr>
                <w:rFonts w:ascii="Segoe UI" w:hAnsi="Segoe UI" w:cs="Segoe UI"/>
                <w:color w:val="333333"/>
                <w:sz w:val="18"/>
                <w:szCs w:val="18"/>
                <w:lang w:val="en-US" w:eastAsia="en-US" w:bidi="he-IL"/>
              </w:rPr>
              <w:t>0.035</w:t>
            </w:r>
            <w:r w:rsidRPr="00AB0A72">
              <w:rPr>
                <w:rFonts w:ascii="Segoe UI" w:hAnsi="Segoe UI" w:cs="Segoe UI"/>
                <w:color w:val="333333"/>
                <w:sz w:val="18"/>
                <w:szCs w:val="18"/>
                <w:lang w:val="en-US" w:eastAsia="en-US" w:bidi="he-IL"/>
              </w:rPr>
              <w:br/>
              <w:t>(+0.019)</w:t>
            </w:r>
          </w:p>
        </w:tc>
        <w:tc>
          <w:tcPr>
            <w:tcW w:w="0" w:type="auto"/>
            <w:tcBorders>
              <w:top w:val="single" w:sz="6" w:space="0" w:color="D3D3D3"/>
              <w:left w:val="nil"/>
              <w:bottom w:val="single" w:sz="4" w:space="0" w:color="D9D9D9" w:themeColor="background1" w:themeShade="D9"/>
              <w:right w:val="nil"/>
            </w:tcBorders>
            <w:shd w:val="clear" w:color="auto" w:fill="FFFFFF"/>
            <w:tcMar>
              <w:top w:w="120" w:type="dxa"/>
              <w:left w:w="75" w:type="dxa"/>
              <w:bottom w:w="120" w:type="dxa"/>
              <w:right w:w="75" w:type="dxa"/>
            </w:tcMar>
            <w:vAlign w:val="center"/>
            <w:hideMark/>
          </w:tcPr>
          <w:p w14:paraId="478C4B73" w14:textId="77777777" w:rsidR="00AB0A72" w:rsidRPr="00AB0A72" w:rsidRDefault="00AB0A72" w:rsidP="00AB0A72">
            <w:pPr>
              <w:spacing w:line="240" w:lineRule="auto"/>
              <w:ind w:left="150" w:right="150"/>
              <w:rPr>
                <w:rFonts w:ascii="Segoe UI" w:hAnsi="Segoe UI" w:cs="Segoe UI"/>
                <w:color w:val="333333"/>
                <w:sz w:val="18"/>
                <w:szCs w:val="18"/>
                <w:lang w:val="en-US" w:eastAsia="en-US" w:bidi="he-IL"/>
              </w:rPr>
            </w:pPr>
            <w:r w:rsidRPr="00AB0A72">
              <w:rPr>
                <w:rFonts w:ascii="Segoe UI" w:hAnsi="Segoe UI" w:cs="Segoe UI"/>
                <w:color w:val="333333"/>
                <w:sz w:val="18"/>
                <w:szCs w:val="18"/>
                <w:lang w:val="en-US" w:eastAsia="en-US" w:bidi="he-IL"/>
              </w:rPr>
              <w:t>0.000</w:t>
            </w:r>
            <w:r w:rsidRPr="00AB0A72">
              <w:rPr>
                <w:rFonts w:ascii="Segoe UI" w:hAnsi="Segoe UI" w:cs="Segoe UI"/>
                <w:color w:val="333333"/>
                <w:sz w:val="18"/>
                <w:szCs w:val="18"/>
                <w:lang w:val="en-US" w:eastAsia="en-US" w:bidi="he-IL"/>
              </w:rPr>
              <w:br/>
              <w:t>(+0.047)</w:t>
            </w:r>
          </w:p>
        </w:tc>
        <w:tc>
          <w:tcPr>
            <w:tcW w:w="0" w:type="auto"/>
            <w:tcBorders>
              <w:top w:val="single" w:sz="6" w:space="0" w:color="D3D3D3"/>
              <w:left w:val="nil"/>
              <w:bottom w:val="single" w:sz="4" w:space="0" w:color="D9D9D9" w:themeColor="background1" w:themeShade="D9"/>
              <w:right w:val="nil"/>
            </w:tcBorders>
            <w:shd w:val="clear" w:color="auto" w:fill="FFFFFF"/>
            <w:tcMar>
              <w:top w:w="120" w:type="dxa"/>
              <w:left w:w="75" w:type="dxa"/>
              <w:bottom w:w="120" w:type="dxa"/>
              <w:right w:w="75" w:type="dxa"/>
            </w:tcMar>
            <w:vAlign w:val="center"/>
            <w:hideMark/>
          </w:tcPr>
          <w:p w14:paraId="6C3752E4" w14:textId="77777777" w:rsidR="00AB0A72" w:rsidRPr="00AB0A72" w:rsidRDefault="00AB0A72" w:rsidP="00AB0A72">
            <w:pPr>
              <w:spacing w:line="240" w:lineRule="auto"/>
              <w:ind w:left="150" w:right="150"/>
              <w:rPr>
                <w:rFonts w:ascii="Segoe UI" w:hAnsi="Segoe UI" w:cs="Segoe UI"/>
                <w:color w:val="333333"/>
                <w:sz w:val="18"/>
                <w:szCs w:val="18"/>
                <w:lang w:val="en-US" w:eastAsia="en-US" w:bidi="he-IL"/>
              </w:rPr>
            </w:pPr>
            <w:r w:rsidRPr="00AB0A72">
              <w:rPr>
                <w:rFonts w:ascii="Segoe UI" w:hAnsi="Segoe UI" w:cs="Segoe UI"/>
                <w:color w:val="333333"/>
                <w:sz w:val="18"/>
                <w:szCs w:val="18"/>
                <w:lang w:val="en-US" w:eastAsia="en-US" w:bidi="he-IL"/>
              </w:rPr>
              <w:t>0.000</w:t>
            </w:r>
            <w:r w:rsidRPr="00AB0A72">
              <w:rPr>
                <w:rFonts w:ascii="Segoe UI" w:hAnsi="Segoe UI" w:cs="Segoe UI"/>
                <w:color w:val="333333"/>
                <w:sz w:val="18"/>
                <w:szCs w:val="18"/>
                <w:lang w:val="en-US" w:eastAsia="en-US" w:bidi="he-IL"/>
              </w:rPr>
              <w:br/>
              <w:t>(+0.001)</w:t>
            </w:r>
          </w:p>
        </w:tc>
      </w:tr>
      <w:tr w:rsidR="00AB0A72" w:rsidRPr="00AB0A72" w14:paraId="07BEFDE6" w14:textId="77777777" w:rsidTr="00AB0A72">
        <w:tc>
          <w:tcPr>
            <w:tcW w:w="0" w:type="auto"/>
            <w:gridSpan w:val="6"/>
            <w:tcBorders>
              <w:top w:val="single" w:sz="4" w:space="0" w:color="D9D9D9" w:themeColor="background1" w:themeShade="D9"/>
              <w:left w:val="nil"/>
              <w:bottom w:val="single" w:sz="4" w:space="0" w:color="auto"/>
              <w:right w:val="nil"/>
            </w:tcBorders>
            <w:shd w:val="clear" w:color="auto" w:fill="FFFFFF"/>
            <w:tcMar>
              <w:top w:w="60" w:type="dxa"/>
              <w:left w:w="75" w:type="dxa"/>
              <w:bottom w:w="60" w:type="dxa"/>
              <w:right w:w="75" w:type="dxa"/>
            </w:tcMar>
            <w:vAlign w:val="center"/>
            <w:hideMark/>
          </w:tcPr>
          <w:p w14:paraId="764D1F84" w14:textId="77777777" w:rsidR="00AB0A72" w:rsidRPr="00AB0A72" w:rsidRDefault="00AB0A72" w:rsidP="00AB0A72">
            <w:pPr>
              <w:spacing w:line="240" w:lineRule="auto"/>
              <w:rPr>
                <w:rFonts w:ascii="Segoe UI" w:hAnsi="Segoe UI" w:cs="Segoe UI"/>
                <w:color w:val="333333"/>
                <w:sz w:val="18"/>
                <w:szCs w:val="18"/>
                <w:lang w:val="en-US" w:eastAsia="en-US"/>
              </w:rPr>
            </w:pPr>
            <w:r w:rsidRPr="00AB0A72">
              <w:rPr>
                <w:rFonts w:ascii="Segoe UI" w:hAnsi="Segoe UI" w:cs="Segoe UI"/>
                <w:color w:val="333333"/>
                <w:sz w:val="18"/>
                <w:szCs w:val="18"/>
                <w:lang w:val="en-US" w:eastAsia="en-US"/>
              </w:rPr>
              <w:t>Values are F-statistics with significance stars. Mean shifts (Wave 2 - Wave 1) on the 1–7 scale are provided in parentheses for event effects. *** p &lt; .001; ** p &lt; .01; * p &lt; .05; † p &lt; .10.</w:t>
            </w:r>
          </w:p>
        </w:tc>
      </w:tr>
    </w:tbl>
    <w:bookmarkEnd w:id="28"/>
    <w:p w14:paraId="1AE4F603" w14:textId="6DEC7322" w:rsidR="00AB0A72" w:rsidRPr="00AB0A72" w:rsidRDefault="00AB0A72" w:rsidP="009D201A">
      <w:pPr>
        <w:pStyle w:val="Newparagraph"/>
        <w:spacing w:before="240"/>
        <w:rPr>
          <w:shd w:val="clear" w:color="auto" w:fill="FFFFFF"/>
          <w:lang w:val="en-US"/>
        </w:rPr>
      </w:pPr>
      <w:r w:rsidRPr="00AB0A72">
        <w:rPr>
          <w:shd w:val="clear" w:color="auto" w:fill="FFFFFF"/>
          <w:lang w:val="en-US"/>
        </w:rPr>
        <w:lastRenderedPageBreak/>
        <w:t xml:space="preserve">When narrowing the analysis to the more extreme population (those extreme in at least two dimensions), the results </w:t>
      </w:r>
      <w:r w:rsidR="00A949E9">
        <w:rPr>
          <w:shd w:val="clear" w:color="auto" w:fill="FFFFFF"/>
          <w:lang w:val="en-US"/>
        </w:rPr>
        <w:t>(</w:t>
      </w:r>
      <w:r w:rsidR="00A949E9">
        <w:rPr>
          <w:shd w:val="clear" w:color="auto" w:fill="FFFFFF"/>
          <w:lang w:val="en-US"/>
        </w:rPr>
        <w:fldChar w:fldCharType="begin"/>
      </w:r>
      <w:r w:rsidR="00A949E9">
        <w:rPr>
          <w:shd w:val="clear" w:color="auto" w:fill="FFFFFF"/>
          <w:lang w:val="en-US"/>
        </w:rPr>
        <w:instrText xml:space="preserve"> REF _Ref218506410 \h </w:instrText>
      </w:r>
      <w:r w:rsidR="000C545C">
        <w:rPr>
          <w:shd w:val="clear" w:color="auto" w:fill="FFFFFF"/>
          <w:lang w:val="en-US"/>
        </w:rPr>
        <w:instrText xml:space="preserve"> \* MERGEFORMAT </w:instrText>
      </w:r>
      <w:r w:rsidR="00A949E9">
        <w:rPr>
          <w:shd w:val="clear" w:color="auto" w:fill="FFFFFF"/>
          <w:lang w:val="en-US"/>
        </w:rPr>
      </w:r>
      <w:r w:rsidR="00A949E9">
        <w:rPr>
          <w:shd w:val="clear" w:color="auto" w:fill="FFFFFF"/>
          <w:lang w:val="en-US"/>
        </w:rPr>
        <w:fldChar w:fldCharType="separate"/>
      </w:r>
      <w:r w:rsidR="00A949E9">
        <w:t xml:space="preserve">Table </w:t>
      </w:r>
      <w:r w:rsidR="00A949E9">
        <w:rPr>
          <w:noProof/>
        </w:rPr>
        <w:t>3</w:t>
      </w:r>
      <w:r w:rsidR="00A949E9">
        <w:rPr>
          <w:shd w:val="clear" w:color="auto" w:fill="FFFFFF"/>
          <w:lang w:val="en-US"/>
        </w:rPr>
        <w:fldChar w:fldCharType="end"/>
      </w:r>
      <w:r w:rsidR="00A949E9">
        <w:rPr>
          <w:shd w:val="clear" w:color="auto" w:fill="FFFFFF"/>
          <w:lang w:val="en-US"/>
        </w:rPr>
        <w:t xml:space="preserve">) </w:t>
      </w:r>
      <w:r w:rsidRPr="00AB0A72">
        <w:rPr>
          <w:shd w:val="clear" w:color="auto" w:fill="FFFFFF"/>
          <w:lang w:val="en-US"/>
        </w:rPr>
        <w:t xml:space="preserve">change substantially, </w:t>
      </w:r>
      <w:r>
        <w:rPr>
          <w:shd w:val="clear" w:color="auto" w:fill="FFFFFF"/>
          <w:lang w:val="en-US"/>
        </w:rPr>
        <w:t>indicating much greater</w:t>
      </w:r>
      <w:r w:rsidRPr="00AB0A72">
        <w:rPr>
          <w:shd w:val="clear" w:color="auto" w:fill="FFFFFF"/>
          <w:lang w:val="en-US"/>
        </w:rPr>
        <w:t xml:space="preserve"> sensitivity to destabilizing events. During the </w:t>
      </w:r>
      <w:r w:rsidR="005A61E4">
        <w:rPr>
          <w:shd w:val="clear" w:color="auto" w:fill="FFFFFF"/>
          <w:lang w:val="en-US"/>
        </w:rPr>
        <w:t>i</w:t>
      </w:r>
      <w:r w:rsidRPr="00AB0A72">
        <w:rPr>
          <w:shd w:val="clear" w:color="auto" w:fill="FFFFFF"/>
          <w:lang w:val="en-US"/>
        </w:rPr>
        <w:t xml:space="preserve">nland </w:t>
      </w:r>
      <w:r w:rsidR="005A61E4">
        <w:rPr>
          <w:shd w:val="clear" w:color="auto" w:fill="FFFFFF"/>
          <w:lang w:val="en-US"/>
        </w:rPr>
        <w:t>t</w:t>
      </w:r>
      <w:r w:rsidRPr="00AB0A72">
        <w:rPr>
          <w:shd w:val="clear" w:color="auto" w:fill="FFFFFF"/>
          <w:lang w:val="en-US"/>
        </w:rPr>
        <w:t xml:space="preserve">error event, all three dimensions showed highly significant shifts: </w:t>
      </w:r>
      <w:r w:rsidR="00E97633">
        <w:rPr>
          <w:shd w:val="clear" w:color="auto" w:fill="FFFFFF"/>
          <w:lang w:val="en-US"/>
        </w:rPr>
        <w:t>i</w:t>
      </w:r>
      <w:r w:rsidRPr="00AB0A72">
        <w:rPr>
          <w:shd w:val="clear" w:color="auto" w:fill="FFFFFF"/>
          <w:lang w:val="en-US"/>
        </w:rPr>
        <w:t xml:space="preserve">deology (F = 32.186, p &lt; .001), </w:t>
      </w:r>
      <w:r w:rsidR="00E97633">
        <w:rPr>
          <w:shd w:val="clear" w:color="auto" w:fill="FFFFFF"/>
          <w:lang w:val="en-US"/>
        </w:rPr>
        <w:t>v</w:t>
      </w:r>
      <w:r w:rsidRPr="00AB0A72">
        <w:rPr>
          <w:shd w:val="clear" w:color="auto" w:fill="FFFFFF"/>
          <w:lang w:val="en-US"/>
        </w:rPr>
        <w:t xml:space="preserve">iolence (F = 8.849, p &lt; .01), and </w:t>
      </w:r>
      <w:r w:rsidR="00E97633">
        <w:rPr>
          <w:shd w:val="clear" w:color="auto" w:fill="FFFFFF"/>
          <w:lang w:val="en-US"/>
        </w:rPr>
        <w:t>i</w:t>
      </w:r>
      <w:r w:rsidRPr="00AB0A72">
        <w:rPr>
          <w:shd w:val="clear" w:color="auto" w:fill="FFFFFF"/>
          <w:lang w:val="en-US"/>
        </w:rPr>
        <w:t xml:space="preserve">ntolerance (F = 18.831, p &lt; .001). Compared to the entire population, the mean shifts among extremists were far more pronounced. </w:t>
      </w:r>
      <w:r w:rsidR="009D201A" w:rsidRPr="009D201A">
        <w:rPr>
          <w:shd w:val="clear" w:color="auto" w:fill="FFFFFF"/>
        </w:rPr>
        <w:t xml:space="preserve">For example, the </w:t>
      </w:r>
      <w:r w:rsidR="00E97633">
        <w:rPr>
          <w:shd w:val="clear" w:color="auto" w:fill="FFFFFF"/>
        </w:rPr>
        <w:t>i</w:t>
      </w:r>
      <w:r w:rsidR="009D201A" w:rsidRPr="009D201A">
        <w:rPr>
          <w:shd w:val="clear" w:color="auto" w:fill="FFFFFF"/>
        </w:rPr>
        <w:t xml:space="preserve">deology mean shift was -0.954 among extremists, compared to -0.100 among the general population. The larger magnitude of change among extremists confirms that focusing on the </w:t>
      </w:r>
      <w:r w:rsidR="005A61E4">
        <w:rPr>
          <w:shd w:val="clear" w:color="auto" w:fill="FFFFFF"/>
        </w:rPr>
        <w:t>"</w:t>
      </w:r>
      <w:r w:rsidR="009D201A" w:rsidRPr="009D201A">
        <w:rPr>
          <w:shd w:val="clear" w:color="auto" w:fill="FFFFFF"/>
        </w:rPr>
        <w:t>extreme tail</w:t>
      </w:r>
      <w:r w:rsidR="005A61E4">
        <w:rPr>
          <w:shd w:val="clear" w:color="auto" w:fill="FFFFFF"/>
        </w:rPr>
        <w:t>"</w:t>
      </w:r>
      <w:r w:rsidR="009D201A" w:rsidRPr="009D201A">
        <w:rPr>
          <w:shd w:val="clear" w:color="auto" w:fill="FFFFFF"/>
        </w:rPr>
        <w:t xml:space="preserve"> uncovers radicalization processes—specifically in behavioral support for violence and social intolerance—that are masked when only observing population medians.</w:t>
      </w:r>
    </w:p>
    <w:p w14:paraId="0E66C4E0" w14:textId="72449EA3" w:rsidR="008C4CC5" w:rsidRDefault="008C4CC5" w:rsidP="008C4CC5">
      <w:pPr>
        <w:pStyle w:val="Tabletitle"/>
        <w:rPr>
          <w:lang w:val="en-US"/>
        </w:rPr>
      </w:pPr>
      <w:bookmarkStart w:id="31" w:name="_Ref218506410"/>
      <w:r>
        <w:t xml:space="preserve">Table </w:t>
      </w:r>
      <w:fldSimple w:instr=" SEQ Table \* ARABIC ">
        <w:r w:rsidR="00823ED9">
          <w:rPr>
            <w:noProof/>
          </w:rPr>
          <w:t>3</w:t>
        </w:r>
      </w:fldSimple>
      <w:bookmarkEnd w:id="31"/>
      <w:r>
        <w:rPr>
          <w:lang w:val="en-US"/>
        </w:rPr>
        <w:t xml:space="preserve">: </w:t>
      </w:r>
      <w:r w:rsidRPr="007901A8">
        <w:rPr>
          <w:lang w:val="en-US"/>
        </w:rPr>
        <w:t>A</w:t>
      </w:r>
      <w:r w:rsidR="00AC22B3">
        <w:rPr>
          <w:lang w:val="en-US"/>
        </w:rPr>
        <w:t>NOVA</w:t>
      </w:r>
      <w:r w:rsidRPr="007901A8">
        <w:rPr>
          <w:lang w:val="en-US"/>
        </w:rPr>
        <w:t xml:space="preserve"> results for each dimension (</w:t>
      </w:r>
      <w:r>
        <w:rPr>
          <w:lang w:val="en-US"/>
        </w:rPr>
        <w:t>Extremists</w:t>
      </w:r>
      <w:r w:rsidRPr="007901A8">
        <w:rPr>
          <w:lang w:val="en-US"/>
        </w:rPr>
        <w:t xml:space="preserve"> population)</w:t>
      </w:r>
    </w:p>
    <w:tbl>
      <w:tblPr>
        <w:tblW w:w="8499" w:type="dxa"/>
        <w:tblBorders>
          <w:top w:val="single" w:sz="12" w:space="0" w:color="A8A8A8"/>
          <w:bottom w:val="single" w:sz="12" w:space="0" w:color="A8A8A8"/>
        </w:tblBorders>
        <w:shd w:val="clear" w:color="auto" w:fill="FFFFFF"/>
        <w:tblCellMar>
          <w:top w:w="15" w:type="dxa"/>
          <w:left w:w="15" w:type="dxa"/>
          <w:bottom w:w="15" w:type="dxa"/>
          <w:right w:w="15" w:type="dxa"/>
        </w:tblCellMar>
        <w:tblLook w:val="04A0" w:firstRow="1" w:lastRow="0" w:firstColumn="1" w:lastColumn="0" w:noHBand="0" w:noVBand="1"/>
      </w:tblPr>
      <w:tblGrid>
        <w:gridCol w:w="1530"/>
        <w:gridCol w:w="1393"/>
        <w:gridCol w:w="1412"/>
        <w:gridCol w:w="1423"/>
        <w:gridCol w:w="1434"/>
        <w:gridCol w:w="1307"/>
      </w:tblGrid>
      <w:tr w:rsidR="00A949E9" w:rsidRPr="00A949E9" w14:paraId="6C36127F" w14:textId="77777777" w:rsidTr="00A949E9">
        <w:trPr>
          <w:tblHeader/>
        </w:trPr>
        <w:tc>
          <w:tcPr>
            <w:tcW w:w="0" w:type="auto"/>
            <w:tcBorders>
              <w:top w:val="single" w:sz="4" w:space="0" w:color="auto"/>
              <w:left w:val="nil"/>
              <w:bottom w:val="nil"/>
              <w:right w:val="nil"/>
            </w:tcBorders>
            <w:shd w:val="clear" w:color="auto" w:fill="FFFFFF"/>
            <w:tcMar>
              <w:top w:w="75" w:type="dxa"/>
              <w:left w:w="75" w:type="dxa"/>
              <w:bottom w:w="90" w:type="dxa"/>
              <w:right w:w="75" w:type="dxa"/>
            </w:tcMar>
            <w:vAlign w:val="bottom"/>
            <w:hideMark/>
          </w:tcPr>
          <w:p w14:paraId="3653086C" w14:textId="77777777" w:rsidR="00A949E9" w:rsidRPr="00A949E9" w:rsidRDefault="00A949E9" w:rsidP="00A949E9">
            <w:pPr>
              <w:spacing w:line="240" w:lineRule="auto"/>
              <w:rPr>
                <w:rFonts w:ascii="Segoe UI" w:hAnsi="Segoe UI" w:cs="Segoe UI"/>
                <w:b/>
                <w:bCs/>
                <w:color w:val="333333"/>
                <w:sz w:val="18"/>
                <w:szCs w:val="18"/>
                <w:lang w:val="en-US" w:eastAsia="en-US"/>
              </w:rPr>
            </w:pPr>
            <w:r w:rsidRPr="00A949E9">
              <w:rPr>
                <w:rFonts w:ascii="Segoe UI" w:hAnsi="Segoe UI" w:cs="Segoe UI"/>
                <w:b/>
                <w:bCs/>
                <w:color w:val="333333"/>
                <w:sz w:val="18"/>
                <w:szCs w:val="18"/>
                <w:lang w:val="en-US" w:eastAsia="en-US"/>
              </w:rPr>
              <w:t>Dimension</w:t>
            </w:r>
          </w:p>
        </w:tc>
        <w:tc>
          <w:tcPr>
            <w:tcW w:w="0" w:type="auto"/>
            <w:tcBorders>
              <w:top w:val="single" w:sz="4" w:space="0" w:color="auto"/>
              <w:left w:val="nil"/>
              <w:bottom w:val="nil"/>
              <w:right w:val="nil"/>
            </w:tcBorders>
            <w:shd w:val="clear" w:color="auto" w:fill="FFFFFF"/>
            <w:tcMar>
              <w:top w:w="75" w:type="dxa"/>
              <w:left w:w="75" w:type="dxa"/>
              <w:bottom w:w="90" w:type="dxa"/>
              <w:right w:w="75" w:type="dxa"/>
            </w:tcMar>
            <w:vAlign w:val="bottom"/>
            <w:hideMark/>
          </w:tcPr>
          <w:p w14:paraId="2A76D906" w14:textId="77777777" w:rsidR="00A949E9" w:rsidRPr="00A949E9" w:rsidRDefault="00A949E9" w:rsidP="00A949E9">
            <w:pPr>
              <w:spacing w:line="240" w:lineRule="auto"/>
              <w:jc w:val="center"/>
              <w:rPr>
                <w:rFonts w:ascii="Segoe UI" w:hAnsi="Segoe UI" w:cs="Segoe UI"/>
                <w:b/>
                <w:bCs/>
                <w:color w:val="333333"/>
                <w:sz w:val="18"/>
                <w:szCs w:val="18"/>
                <w:lang w:val="en-US" w:eastAsia="en-US"/>
              </w:rPr>
            </w:pPr>
            <w:r w:rsidRPr="00A949E9">
              <w:rPr>
                <w:rFonts w:ascii="Segoe UI" w:hAnsi="Segoe UI" w:cs="Segoe UI"/>
                <w:b/>
                <w:bCs/>
                <w:color w:val="333333"/>
                <w:sz w:val="18"/>
                <w:szCs w:val="18"/>
                <w:lang w:val="en-US" w:eastAsia="en-US"/>
              </w:rPr>
              <w:t>Inland Terror</w:t>
            </w:r>
          </w:p>
        </w:tc>
        <w:tc>
          <w:tcPr>
            <w:tcW w:w="0" w:type="auto"/>
            <w:tcBorders>
              <w:top w:val="single" w:sz="4" w:space="0" w:color="auto"/>
              <w:left w:val="nil"/>
              <w:bottom w:val="nil"/>
              <w:right w:val="nil"/>
            </w:tcBorders>
            <w:shd w:val="clear" w:color="auto" w:fill="FFFFFF"/>
            <w:tcMar>
              <w:top w:w="75" w:type="dxa"/>
              <w:left w:w="75" w:type="dxa"/>
              <w:bottom w:w="90" w:type="dxa"/>
              <w:right w:w="75" w:type="dxa"/>
            </w:tcMar>
            <w:vAlign w:val="bottom"/>
            <w:hideMark/>
          </w:tcPr>
          <w:p w14:paraId="2C708117" w14:textId="77777777" w:rsidR="00A949E9" w:rsidRPr="00A949E9" w:rsidRDefault="00A949E9" w:rsidP="00A949E9">
            <w:pPr>
              <w:spacing w:line="240" w:lineRule="auto"/>
              <w:jc w:val="center"/>
              <w:rPr>
                <w:rFonts w:ascii="Segoe UI" w:hAnsi="Segoe UI" w:cs="Segoe UI"/>
                <w:b/>
                <w:bCs/>
                <w:color w:val="333333"/>
                <w:sz w:val="18"/>
                <w:szCs w:val="18"/>
                <w:lang w:val="en-US" w:eastAsia="en-US"/>
              </w:rPr>
            </w:pPr>
            <w:r w:rsidRPr="00A949E9">
              <w:rPr>
                <w:rFonts w:ascii="Segoe UI" w:hAnsi="Segoe UI" w:cs="Segoe UI"/>
                <w:b/>
                <w:bCs/>
                <w:color w:val="333333"/>
                <w:sz w:val="18"/>
                <w:szCs w:val="18"/>
                <w:lang w:val="en-US" w:eastAsia="en-US"/>
              </w:rPr>
              <w:t>Bennet Gov. Fall</w:t>
            </w:r>
          </w:p>
        </w:tc>
        <w:tc>
          <w:tcPr>
            <w:tcW w:w="0" w:type="auto"/>
            <w:tcBorders>
              <w:top w:val="single" w:sz="4" w:space="0" w:color="auto"/>
              <w:left w:val="nil"/>
              <w:bottom w:val="nil"/>
              <w:right w:val="nil"/>
            </w:tcBorders>
            <w:shd w:val="clear" w:color="auto" w:fill="FFFFFF"/>
            <w:tcMar>
              <w:top w:w="75" w:type="dxa"/>
              <w:left w:w="75" w:type="dxa"/>
              <w:bottom w:w="90" w:type="dxa"/>
              <w:right w:w="75" w:type="dxa"/>
            </w:tcMar>
            <w:vAlign w:val="bottom"/>
            <w:hideMark/>
          </w:tcPr>
          <w:p w14:paraId="731514E3" w14:textId="3BFB88A2" w:rsidR="00A949E9" w:rsidRPr="00A949E9" w:rsidRDefault="00A949E9" w:rsidP="00A949E9">
            <w:pPr>
              <w:spacing w:line="240" w:lineRule="auto"/>
              <w:jc w:val="center"/>
              <w:rPr>
                <w:rFonts w:ascii="Segoe UI" w:hAnsi="Segoe UI" w:cs="Segoe UI"/>
                <w:b/>
                <w:bCs/>
                <w:color w:val="333333"/>
                <w:sz w:val="18"/>
                <w:szCs w:val="18"/>
                <w:lang w:val="en-US" w:eastAsia="en-US"/>
              </w:rPr>
            </w:pPr>
            <w:r w:rsidRPr="00A949E9">
              <w:rPr>
                <w:rFonts w:ascii="Segoe UI" w:hAnsi="Segoe UI" w:cs="Segoe UI"/>
                <w:b/>
                <w:bCs/>
                <w:color w:val="333333"/>
                <w:sz w:val="18"/>
                <w:szCs w:val="18"/>
                <w:lang w:val="en-US" w:eastAsia="en-US"/>
              </w:rPr>
              <w:t xml:space="preserve">Judicial </w:t>
            </w:r>
            <w:r w:rsidR="005A61E4">
              <w:rPr>
                <w:rFonts w:ascii="Segoe UI" w:hAnsi="Segoe UI" w:cs="Segoe UI"/>
                <w:b/>
                <w:bCs/>
                <w:color w:val="333333"/>
                <w:sz w:val="18"/>
                <w:szCs w:val="18"/>
                <w:lang w:val="en-US" w:eastAsia="en-US"/>
              </w:rPr>
              <w:t>r</w:t>
            </w:r>
            <w:r w:rsidRPr="00A949E9">
              <w:rPr>
                <w:rFonts w:ascii="Segoe UI" w:hAnsi="Segoe UI" w:cs="Segoe UI"/>
                <w:b/>
                <w:bCs/>
                <w:color w:val="333333"/>
                <w:sz w:val="18"/>
                <w:szCs w:val="18"/>
                <w:lang w:val="en-US" w:eastAsia="en-US"/>
              </w:rPr>
              <w:t>eform §</w:t>
            </w:r>
          </w:p>
        </w:tc>
        <w:tc>
          <w:tcPr>
            <w:tcW w:w="0" w:type="auto"/>
            <w:tcBorders>
              <w:top w:val="single" w:sz="4" w:space="0" w:color="auto"/>
              <w:left w:val="nil"/>
              <w:bottom w:val="nil"/>
              <w:right w:val="nil"/>
            </w:tcBorders>
            <w:shd w:val="clear" w:color="auto" w:fill="FFFFFF"/>
            <w:tcMar>
              <w:top w:w="75" w:type="dxa"/>
              <w:left w:w="75" w:type="dxa"/>
              <w:bottom w:w="90" w:type="dxa"/>
              <w:right w:w="75" w:type="dxa"/>
            </w:tcMar>
            <w:vAlign w:val="bottom"/>
            <w:hideMark/>
          </w:tcPr>
          <w:p w14:paraId="0ACF37E3" w14:textId="77777777" w:rsidR="00A949E9" w:rsidRPr="00A949E9" w:rsidRDefault="00A949E9" w:rsidP="00A949E9">
            <w:pPr>
              <w:spacing w:line="240" w:lineRule="auto"/>
              <w:jc w:val="center"/>
              <w:rPr>
                <w:rFonts w:ascii="Segoe UI" w:hAnsi="Segoe UI" w:cs="Segoe UI"/>
                <w:b/>
                <w:bCs/>
                <w:color w:val="333333"/>
                <w:sz w:val="18"/>
                <w:szCs w:val="18"/>
                <w:lang w:val="en-US" w:eastAsia="en-US"/>
              </w:rPr>
            </w:pPr>
            <w:r w:rsidRPr="00A949E9">
              <w:rPr>
                <w:rFonts w:ascii="Segoe UI" w:hAnsi="Segoe UI" w:cs="Segoe UI"/>
                <w:b/>
                <w:bCs/>
                <w:color w:val="333333"/>
                <w:sz w:val="18"/>
                <w:szCs w:val="18"/>
                <w:lang w:val="en-US" w:eastAsia="en-US"/>
              </w:rPr>
              <w:t>Gallant Dismissal</w:t>
            </w:r>
          </w:p>
        </w:tc>
        <w:tc>
          <w:tcPr>
            <w:tcW w:w="0" w:type="auto"/>
            <w:tcBorders>
              <w:top w:val="single" w:sz="4" w:space="0" w:color="auto"/>
              <w:left w:val="nil"/>
              <w:bottom w:val="nil"/>
              <w:right w:val="nil"/>
            </w:tcBorders>
            <w:shd w:val="clear" w:color="auto" w:fill="FFFFFF"/>
            <w:tcMar>
              <w:top w:w="75" w:type="dxa"/>
              <w:left w:w="75" w:type="dxa"/>
              <w:bottom w:w="90" w:type="dxa"/>
              <w:right w:w="75" w:type="dxa"/>
            </w:tcMar>
            <w:vAlign w:val="bottom"/>
            <w:hideMark/>
          </w:tcPr>
          <w:p w14:paraId="4A9FB6D6" w14:textId="77777777" w:rsidR="00A949E9" w:rsidRPr="00A949E9" w:rsidRDefault="00A949E9" w:rsidP="00A949E9">
            <w:pPr>
              <w:spacing w:line="240" w:lineRule="auto"/>
              <w:jc w:val="center"/>
              <w:rPr>
                <w:rFonts w:ascii="Segoe UI" w:hAnsi="Segoe UI" w:cs="Segoe UI"/>
                <w:b/>
                <w:bCs/>
                <w:color w:val="333333"/>
                <w:sz w:val="18"/>
                <w:szCs w:val="18"/>
                <w:lang w:val="en-US" w:eastAsia="en-US"/>
              </w:rPr>
            </w:pPr>
            <w:r w:rsidRPr="00A949E9">
              <w:rPr>
                <w:rFonts w:ascii="Segoe UI" w:hAnsi="Segoe UI" w:cs="Segoe UI"/>
                <w:b/>
                <w:bCs/>
                <w:color w:val="333333"/>
                <w:sz w:val="18"/>
                <w:szCs w:val="18"/>
                <w:lang w:val="en-US" w:eastAsia="en-US"/>
              </w:rPr>
              <w:t>Oct. 7th War</w:t>
            </w:r>
          </w:p>
        </w:tc>
      </w:tr>
      <w:tr w:rsidR="00A949E9" w:rsidRPr="00A949E9" w14:paraId="00956A31" w14:textId="77777777" w:rsidTr="00A949E9">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1707B69" w14:textId="77777777" w:rsidR="00A949E9" w:rsidRPr="00A949E9" w:rsidRDefault="00A949E9" w:rsidP="00A949E9">
            <w:pPr>
              <w:spacing w:line="240" w:lineRule="auto"/>
              <w:ind w:left="150" w:right="150"/>
              <w:rPr>
                <w:rFonts w:ascii="Segoe UI" w:hAnsi="Segoe UI" w:cs="Segoe UI"/>
                <w:color w:val="333333"/>
                <w:sz w:val="18"/>
                <w:szCs w:val="18"/>
                <w:lang w:val="en-US" w:eastAsia="en-US" w:bidi="he-IL"/>
              </w:rPr>
            </w:pPr>
            <w:r w:rsidRPr="00A949E9">
              <w:rPr>
                <w:rFonts w:ascii="Segoe UI" w:hAnsi="Segoe UI" w:cs="Segoe UI"/>
                <w:color w:val="333333"/>
                <w:sz w:val="18"/>
                <w:szCs w:val="18"/>
                <w:lang w:val="en-US" w:eastAsia="en-US" w:bidi="he-IL"/>
              </w:rPr>
              <w:t>Ideology</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33B4CEE" w14:textId="77777777" w:rsidR="00A949E9" w:rsidRPr="00A949E9" w:rsidRDefault="00A949E9" w:rsidP="00A949E9">
            <w:pPr>
              <w:spacing w:line="240" w:lineRule="auto"/>
              <w:ind w:left="150" w:right="150"/>
              <w:rPr>
                <w:rFonts w:ascii="Segoe UI" w:hAnsi="Segoe UI" w:cs="Segoe UI"/>
                <w:color w:val="333333"/>
                <w:sz w:val="18"/>
                <w:szCs w:val="18"/>
                <w:lang w:val="en-US" w:eastAsia="en-US" w:bidi="he-IL"/>
              </w:rPr>
            </w:pPr>
            <w:r w:rsidRPr="00A949E9">
              <w:rPr>
                <w:rFonts w:ascii="Segoe UI" w:hAnsi="Segoe UI" w:cs="Segoe UI"/>
                <w:color w:val="333333"/>
                <w:sz w:val="18"/>
                <w:szCs w:val="18"/>
                <w:lang w:val="en-US" w:eastAsia="en-US" w:bidi="he-IL"/>
              </w:rPr>
              <w:t>32.186***</w:t>
            </w:r>
            <w:r w:rsidRPr="00A949E9">
              <w:rPr>
                <w:rFonts w:ascii="Segoe UI" w:hAnsi="Segoe UI" w:cs="Segoe UI"/>
                <w:color w:val="333333"/>
                <w:sz w:val="18"/>
                <w:szCs w:val="18"/>
                <w:lang w:val="en-US" w:eastAsia="en-US" w:bidi="he-IL"/>
              </w:rPr>
              <w:br/>
              <w:t>(-0.954)</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502FB97" w14:textId="77777777" w:rsidR="00A949E9" w:rsidRPr="00A949E9" w:rsidRDefault="00A949E9" w:rsidP="00A949E9">
            <w:pPr>
              <w:spacing w:line="240" w:lineRule="auto"/>
              <w:ind w:left="150" w:right="150"/>
              <w:rPr>
                <w:rFonts w:ascii="Segoe UI" w:hAnsi="Segoe UI" w:cs="Segoe UI"/>
                <w:color w:val="333333"/>
                <w:sz w:val="18"/>
                <w:szCs w:val="18"/>
                <w:lang w:val="en-US" w:eastAsia="en-US" w:bidi="he-IL"/>
              </w:rPr>
            </w:pPr>
            <w:r w:rsidRPr="00A949E9">
              <w:rPr>
                <w:rFonts w:ascii="Segoe UI" w:hAnsi="Segoe UI" w:cs="Segoe UI"/>
                <w:color w:val="333333"/>
                <w:sz w:val="18"/>
                <w:szCs w:val="18"/>
                <w:lang w:val="en-US" w:eastAsia="en-US" w:bidi="he-IL"/>
              </w:rPr>
              <w:t>3.953*</w:t>
            </w:r>
            <w:r w:rsidRPr="00A949E9">
              <w:rPr>
                <w:rFonts w:ascii="Segoe UI" w:hAnsi="Segoe UI" w:cs="Segoe UI"/>
                <w:color w:val="333333"/>
                <w:sz w:val="18"/>
                <w:szCs w:val="18"/>
                <w:lang w:val="en-US" w:eastAsia="en-US" w:bidi="he-IL"/>
              </w:rPr>
              <w:br/>
              <w:t>(+0.398)</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E7A7B05" w14:textId="77777777" w:rsidR="00A949E9" w:rsidRPr="00A949E9" w:rsidRDefault="00A949E9" w:rsidP="00A949E9">
            <w:pPr>
              <w:spacing w:line="240" w:lineRule="auto"/>
              <w:ind w:left="150" w:right="150"/>
              <w:rPr>
                <w:rFonts w:ascii="Segoe UI" w:hAnsi="Segoe UI" w:cs="Segoe UI"/>
                <w:color w:val="333333"/>
                <w:sz w:val="18"/>
                <w:szCs w:val="18"/>
                <w:lang w:val="en-US" w:eastAsia="en-US" w:bidi="he-IL"/>
              </w:rPr>
            </w:pPr>
            <w:r w:rsidRPr="00A949E9">
              <w:rPr>
                <w:rFonts w:ascii="Segoe UI" w:hAnsi="Segoe UI" w:cs="Segoe UI"/>
                <w:color w:val="333333"/>
                <w:sz w:val="18"/>
                <w:szCs w:val="18"/>
                <w:lang w:val="en-US" w:eastAsia="en-US" w:bidi="he-IL"/>
              </w:rPr>
              <w:t>0.676</w:t>
            </w:r>
            <w:r w:rsidRPr="00A949E9">
              <w:rPr>
                <w:rFonts w:ascii="Segoe UI" w:hAnsi="Segoe UI" w:cs="Segoe UI"/>
                <w:color w:val="333333"/>
                <w:sz w:val="18"/>
                <w:szCs w:val="18"/>
                <w:lang w:val="en-US" w:eastAsia="en-US" w:bidi="he-IL"/>
              </w:rPr>
              <w:br/>
              <w:t>(-0.381)</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BCE2AE9" w14:textId="77777777" w:rsidR="00A949E9" w:rsidRPr="00A949E9" w:rsidRDefault="00A949E9" w:rsidP="00A949E9">
            <w:pPr>
              <w:spacing w:line="240" w:lineRule="auto"/>
              <w:ind w:left="150" w:right="150"/>
              <w:rPr>
                <w:rFonts w:ascii="Segoe UI" w:hAnsi="Segoe UI" w:cs="Segoe UI"/>
                <w:color w:val="333333"/>
                <w:sz w:val="18"/>
                <w:szCs w:val="18"/>
                <w:lang w:val="en-US" w:eastAsia="en-US" w:bidi="he-IL"/>
              </w:rPr>
            </w:pPr>
            <w:r w:rsidRPr="00A949E9">
              <w:rPr>
                <w:rFonts w:ascii="Segoe UI" w:hAnsi="Segoe UI" w:cs="Segoe UI"/>
                <w:color w:val="333333"/>
                <w:sz w:val="18"/>
                <w:szCs w:val="18"/>
                <w:lang w:val="en-US" w:eastAsia="en-US" w:bidi="he-IL"/>
              </w:rPr>
              <w:t>0.002</w:t>
            </w:r>
            <w:r w:rsidRPr="00A949E9">
              <w:rPr>
                <w:rFonts w:ascii="Segoe UI" w:hAnsi="Segoe UI" w:cs="Segoe UI"/>
                <w:color w:val="333333"/>
                <w:sz w:val="18"/>
                <w:szCs w:val="18"/>
                <w:lang w:val="en-US" w:eastAsia="en-US" w:bidi="he-IL"/>
              </w:rPr>
              <w:br/>
              <w:t>(+0.097)</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F50FA0C" w14:textId="77777777" w:rsidR="00A949E9" w:rsidRPr="00A949E9" w:rsidRDefault="00A949E9" w:rsidP="00A949E9">
            <w:pPr>
              <w:spacing w:line="240" w:lineRule="auto"/>
              <w:ind w:left="150" w:right="150"/>
              <w:rPr>
                <w:rFonts w:ascii="Segoe UI" w:hAnsi="Segoe UI" w:cs="Segoe UI"/>
                <w:color w:val="333333"/>
                <w:sz w:val="18"/>
                <w:szCs w:val="18"/>
                <w:lang w:val="en-US" w:eastAsia="en-US" w:bidi="he-IL"/>
              </w:rPr>
            </w:pPr>
            <w:r w:rsidRPr="00A949E9">
              <w:rPr>
                <w:rFonts w:ascii="Segoe UI" w:hAnsi="Segoe UI" w:cs="Segoe UI"/>
                <w:color w:val="333333"/>
                <w:sz w:val="18"/>
                <w:szCs w:val="18"/>
                <w:lang w:val="en-US" w:eastAsia="en-US" w:bidi="he-IL"/>
              </w:rPr>
              <w:t>1.125</w:t>
            </w:r>
            <w:r w:rsidRPr="00A949E9">
              <w:rPr>
                <w:rFonts w:ascii="Segoe UI" w:hAnsi="Segoe UI" w:cs="Segoe UI"/>
                <w:color w:val="333333"/>
                <w:sz w:val="18"/>
                <w:szCs w:val="18"/>
                <w:lang w:val="en-US" w:eastAsia="en-US" w:bidi="he-IL"/>
              </w:rPr>
              <w:br/>
              <w:t>(+0.321)</w:t>
            </w:r>
          </w:p>
        </w:tc>
      </w:tr>
      <w:tr w:rsidR="00A949E9" w:rsidRPr="00A949E9" w14:paraId="731904CB" w14:textId="77777777" w:rsidTr="00A949E9">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7F178661" w14:textId="77777777" w:rsidR="00A949E9" w:rsidRPr="00A949E9" w:rsidRDefault="00A949E9" w:rsidP="00A949E9">
            <w:pPr>
              <w:spacing w:line="240" w:lineRule="auto"/>
              <w:ind w:left="150" w:right="150"/>
              <w:rPr>
                <w:rFonts w:ascii="Segoe UI" w:hAnsi="Segoe UI" w:cs="Segoe UI"/>
                <w:color w:val="333333"/>
                <w:sz w:val="18"/>
                <w:szCs w:val="18"/>
                <w:lang w:val="en-US" w:eastAsia="en-US" w:bidi="he-IL"/>
              </w:rPr>
            </w:pPr>
            <w:r w:rsidRPr="00A949E9">
              <w:rPr>
                <w:rFonts w:ascii="Segoe UI" w:hAnsi="Segoe UI" w:cs="Segoe UI"/>
                <w:color w:val="333333"/>
                <w:sz w:val="18"/>
                <w:szCs w:val="18"/>
                <w:lang w:val="en-US" w:eastAsia="en-US" w:bidi="he-IL"/>
              </w:rPr>
              <w:t>Violence</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48B3A5D" w14:textId="77777777" w:rsidR="00A949E9" w:rsidRPr="00A949E9" w:rsidRDefault="00A949E9" w:rsidP="00A949E9">
            <w:pPr>
              <w:spacing w:line="240" w:lineRule="auto"/>
              <w:ind w:left="150" w:right="150"/>
              <w:rPr>
                <w:rFonts w:ascii="Segoe UI" w:hAnsi="Segoe UI" w:cs="Segoe UI"/>
                <w:color w:val="333333"/>
                <w:sz w:val="18"/>
                <w:szCs w:val="18"/>
                <w:lang w:val="en-US" w:eastAsia="en-US" w:bidi="he-IL"/>
              </w:rPr>
            </w:pPr>
            <w:r w:rsidRPr="00A949E9">
              <w:rPr>
                <w:rFonts w:ascii="Segoe UI" w:hAnsi="Segoe UI" w:cs="Segoe UI"/>
                <w:color w:val="333333"/>
                <w:sz w:val="18"/>
                <w:szCs w:val="18"/>
                <w:lang w:val="en-US" w:eastAsia="en-US" w:bidi="he-IL"/>
              </w:rPr>
              <w:t>8.849**</w:t>
            </w:r>
            <w:r w:rsidRPr="00A949E9">
              <w:rPr>
                <w:rFonts w:ascii="Segoe UI" w:hAnsi="Segoe UI" w:cs="Segoe UI"/>
                <w:color w:val="333333"/>
                <w:sz w:val="18"/>
                <w:szCs w:val="18"/>
                <w:lang w:val="en-US" w:eastAsia="en-US" w:bidi="he-IL"/>
              </w:rPr>
              <w:br/>
              <w:t>(+0.361)</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C4AE238" w14:textId="77777777" w:rsidR="00A949E9" w:rsidRPr="00A949E9" w:rsidRDefault="00A949E9" w:rsidP="00A949E9">
            <w:pPr>
              <w:spacing w:line="240" w:lineRule="auto"/>
              <w:ind w:left="150" w:right="150"/>
              <w:rPr>
                <w:rFonts w:ascii="Segoe UI" w:hAnsi="Segoe UI" w:cs="Segoe UI"/>
                <w:color w:val="333333"/>
                <w:sz w:val="18"/>
                <w:szCs w:val="18"/>
                <w:lang w:val="en-US" w:eastAsia="en-US" w:bidi="he-IL"/>
              </w:rPr>
            </w:pPr>
            <w:r w:rsidRPr="00A949E9">
              <w:rPr>
                <w:rFonts w:ascii="Segoe UI" w:hAnsi="Segoe UI" w:cs="Segoe UI"/>
                <w:color w:val="333333"/>
                <w:sz w:val="18"/>
                <w:szCs w:val="18"/>
                <w:lang w:val="en-US" w:eastAsia="en-US" w:bidi="he-IL"/>
              </w:rPr>
              <w:t>2.740†</w:t>
            </w:r>
            <w:r w:rsidRPr="00A949E9">
              <w:rPr>
                <w:rFonts w:ascii="Segoe UI" w:hAnsi="Segoe UI" w:cs="Segoe UI"/>
                <w:color w:val="333333"/>
                <w:sz w:val="18"/>
                <w:szCs w:val="18"/>
                <w:lang w:val="en-US" w:eastAsia="en-US" w:bidi="he-IL"/>
              </w:rPr>
              <w:br/>
              <w:t>(-0.427)</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FD54F6A" w14:textId="77777777" w:rsidR="00A949E9" w:rsidRPr="00A949E9" w:rsidRDefault="00A949E9" w:rsidP="00A949E9">
            <w:pPr>
              <w:spacing w:line="240" w:lineRule="auto"/>
              <w:ind w:left="150" w:right="150"/>
              <w:rPr>
                <w:rFonts w:ascii="Segoe UI" w:hAnsi="Segoe UI" w:cs="Segoe UI"/>
                <w:color w:val="333333"/>
                <w:sz w:val="18"/>
                <w:szCs w:val="18"/>
                <w:lang w:val="en-US" w:eastAsia="en-US" w:bidi="he-IL"/>
              </w:rPr>
            </w:pPr>
            <w:r w:rsidRPr="00A949E9">
              <w:rPr>
                <w:rFonts w:ascii="Segoe UI" w:hAnsi="Segoe UI" w:cs="Segoe UI"/>
                <w:color w:val="333333"/>
                <w:sz w:val="18"/>
                <w:szCs w:val="18"/>
                <w:lang w:val="en-US" w:eastAsia="en-US" w:bidi="he-IL"/>
              </w:rPr>
              <w:t>0.240</w:t>
            </w:r>
            <w:r w:rsidRPr="00A949E9">
              <w:rPr>
                <w:rFonts w:ascii="Segoe UI" w:hAnsi="Segoe UI" w:cs="Segoe UI"/>
                <w:color w:val="333333"/>
                <w:sz w:val="18"/>
                <w:szCs w:val="18"/>
                <w:lang w:val="en-US" w:eastAsia="en-US" w:bidi="he-IL"/>
              </w:rPr>
              <w:br/>
              <w:t>(+0.298)</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55483E1" w14:textId="77777777" w:rsidR="00A949E9" w:rsidRPr="00A949E9" w:rsidRDefault="00A949E9" w:rsidP="00A949E9">
            <w:pPr>
              <w:spacing w:line="240" w:lineRule="auto"/>
              <w:ind w:left="150" w:right="150"/>
              <w:rPr>
                <w:rFonts w:ascii="Segoe UI" w:hAnsi="Segoe UI" w:cs="Segoe UI"/>
                <w:color w:val="333333"/>
                <w:sz w:val="18"/>
                <w:szCs w:val="18"/>
                <w:lang w:val="en-US" w:eastAsia="en-US" w:bidi="he-IL"/>
              </w:rPr>
            </w:pPr>
            <w:r w:rsidRPr="00A949E9">
              <w:rPr>
                <w:rFonts w:ascii="Segoe UI" w:hAnsi="Segoe UI" w:cs="Segoe UI"/>
                <w:color w:val="333333"/>
                <w:sz w:val="18"/>
                <w:szCs w:val="18"/>
                <w:lang w:val="en-US" w:eastAsia="en-US" w:bidi="he-IL"/>
              </w:rPr>
              <w:t>1.537</w:t>
            </w:r>
            <w:r w:rsidRPr="00A949E9">
              <w:rPr>
                <w:rFonts w:ascii="Segoe UI" w:hAnsi="Segoe UI" w:cs="Segoe UI"/>
                <w:color w:val="333333"/>
                <w:sz w:val="18"/>
                <w:szCs w:val="18"/>
                <w:lang w:val="en-US" w:eastAsia="en-US" w:bidi="he-IL"/>
              </w:rPr>
              <w:br/>
              <w:t>(+0.114)</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6541791" w14:textId="77777777" w:rsidR="00A949E9" w:rsidRPr="00A949E9" w:rsidRDefault="00A949E9" w:rsidP="00A949E9">
            <w:pPr>
              <w:spacing w:line="240" w:lineRule="auto"/>
              <w:ind w:left="150" w:right="150"/>
              <w:rPr>
                <w:rFonts w:ascii="Segoe UI" w:hAnsi="Segoe UI" w:cs="Segoe UI"/>
                <w:color w:val="333333"/>
                <w:sz w:val="18"/>
                <w:szCs w:val="18"/>
                <w:lang w:val="en-US" w:eastAsia="en-US" w:bidi="he-IL"/>
              </w:rPr>
            </w:pPr>
            <w:r w:rsidRPr="00A949E9">
              <w:rPr>
                <w:rFonts w:ascii="Segoe UI" w:hAnsi="Segoe UI" w:cs="Segoe UI"/>
                <w:color w:val="333333"/>
                <w:sz w:val="18"/>
                <w:szCs w:val="18"/>
                <w:lang w:val="en-US" w:eastAsia="en-US" w:bidi="he-IL"/>
              </w:rPr>
              <w:t>0.233</w:t>
            </w:r>
            <w:r w:rsidRPr="00A949E9">
              <w:rPr>
                <w:rFonts w:ascii="Segoe UI" w:hAnsi="Segoe UI" w:cs="Segoe UI"/>
                <w:color w:val="333333"/>
                <w:sz w:val="18"/>
                <w:szCs w:val="18"/>
                <w:lang w:val="en-US" w:eastAsia="en-US" w:bidi="he-IL"/>
              </w:rPr>
              <w:br/>
              <w:t>(+0.088)</w:t>
            </w:r>
          </w:p>
        </w:tc>
      </w:tr>
      <w:tr w:rsidR="00A949E9" w:rsidRPr="00A949E9" w14:paraId="3915EB35" w14:textId="77777777" w:rsidTr="00A949E9">
        <w:tc>
          <w:tcPr>
            <w:tcW w:w="0" w:type="auto"/>
            <w:tcBorders>
              <w:top w:val="single" w:sz="6" w:space="0" w:color="D3D3D3"/>
              <w:left w:val="nil"/>
              <w:bottom w:val="single" w:sz="4" w:space="0" w:color="D9D9D9" w:themeColor="background1" w:themeShade="D9"/>
              <w:right w:val="nil"/>
            </w:tcBorders>
            <w:shd w:val="clear" w:color="auto" w:fill="FFFFFF"/>
            <w:tcMar>
              <w:top w:w="120" w:type="dxa"/>
              <w:left w:w="75" w:type="dxa"/>
              <w:bottom w:w="120" w:type="dxa"/>
              <w:right w:w="75" w:type="dxa"/>
            </w:tcMar>
            <w:vAlign w:val="center"/>
            <w:hideMark/>
          </w:tcPr>
          <w:p w14:paraId="21D9C7E6" w14:textId="77777777" w:rsidR="00A949E9" w:rsidRPr="00A949E9" w:rsidRDefault="00A949E9" w:rsidP="00A949E9">
            <w:pPr>
              <w:spacing w:line="240" w:lineRule="auto"/>
              <w:ind w:left="150" w:right="150"/>
              <w:rPr>
                <w:rFonts w:ascii="Segoe UI" w:hAnsi="Segoe UI" w:cs="Segoe UI"/>
                <w:color w:val="333333"/>
                <w:sz w:val="18"/>
                <w:szCs w:val="18"/>
                <w:lang w:val="en-US" w:eastAsia="en-US" w:bidi="he-IL"/>
              </w:rPr>
            </w:pPr>
            <w:r w:rsidRPr="00A949E9">
              <w:rPr>
                <w:rFonts w:ascii="Segoe UI" w:hAnsi="Segoe UI" w:cs="Segoe UI"/>
                <w:color w:val="333333"/>
                <w:sz w:val="18"/>
                <w:szCs w:val="18"/>
                <w:lang w:val="en-US" w:eastAsia="en-US" w:bidi="he-IL"/>
              </w:rPr>
              <w:t>Intolerance</w:t>
            </w:r>
          </w:p>
        </w:tc>
        <w:tc>
          <w:tcPr>
            <w:tcW w:w="0" w:type="auto"/>
            <w:tcBorders>
              <w:top w:val="single" w:sz="6" w:space="0" w:color="D3D3D3"/>
              <w:left w:val="nil"/>
              <w:bottom w:val="single" w:sz="4" w:space="0" w:color="D9D9D9" w:themeColor="background1" w:themeShade="D9"/>
              <w:right w:val="nil"/>
            </w:tcBorders>
            <w:shd w:val="clear" w:color="auto" w:fill="FFFFFF"/>
            <w:tcMar>
              <w:top w:w="120" w:type="dxa"/>
              <w:left w:w="75" w:type="dxa"/>
              <w:bottom w:w="120" w:type="dxa"/>
              <w:right w:w="75" w:type="dxa"/>
            </w:tcMar>
            <w:vAlign w:val="center"/>
            <w:hideMark/>
          </w:tcPr>
          <w:p w14:paraId="3AD6889D" w14:textId="77777777" w:rsidR="00A949E9" w:rsidRPr="00A949E9" w:rsidRDefault="00A949E9" w:rsidP="00A949E9">
            <w:pPr>
              <w:spacing w:line="240" w:lineRule="auto"/>
              <w:ind w:left="150" w:right="150"/>
              <w:rPr>
                <w:rFonts w:ascii="Segoe UI" w:hAnsi="Segoe UI" w:cs="Segoe UI"/>
                <w:color w:val="333333"/>
                <w:sz w:val="18"/>
                <w:szCs w:val="18"/>
                <w:lang w:val="en-US" w:eastAsia="en-US" w:bidi="he-IL"/>
              </w:rPr>
            </w:pPr>
            <w:r w:rsidRPr="00A949E9">
              <w:rPr>
                <w:rFonts w:ascii="Segoe UI" w:hAnsi="Segoe UI" w:cs="Segoe UI"/>
                <w:color w:val="333333"/>
                <w:sz w:val="18"/>
                <w:szCs w:val="18"/>
                <w:lang w:val="en-US" w:eastAsia="en-US" w:bidi="he-IL"/>
              </w:rPr>
              <w:t>18.831***</w:t>
            </w:r>
            <w:r w:rsidRPr="00A949E9">
              <w:rPr>
                <w:rFonts w:ascii="Segoe UI" w:hAnsi="Segoe UI" w:cs="Segoe UI"/>
                <w:color w:val="333333"/>
                <w:sz w:val="18"/>
                <w:szCs w:val="18"/>
                <w:lang w:val="en-US" w:eastAsia="en-US" w:bidi="he-IL"/>
              </w:rPr>
              <w:br/>
              <w:t>(+0.557)</w:t>
            </w:r>
          </w:p>
        </w:tc>
        <w:tc>
          <w:tcPr>
            <w:tcW w:w="0" w:type="auto"/>
            <w:tcBorders>
              <w:top w:val="single" w:sz="6" w:space="0" w:color="D3D3D3"/>
              <w:left w:val="nil"/>
              <w:bottom w:val="single" w:sz="4" w:space="0" w:color="D9D9D9" w:themeColor="background1" w:themeShade="D9"/>
              <w:right w:val="nil"/>
            </w:tcBorders>
            <w:shd w:val="clear" w:color="auto" w:fill="FFFFFF"/>
            <w:tcMar>
              <w:top w:w="120" w:type="dxa"/>
              <w:left w:w="75" w:type="dxa"/>
              <w:bottom w:w="120" w:type="dxa"/>
              <w:right w:w="75" w:type="dxa"/>
            </w:tcMar>
            <w:vAlign w:val="center"/>
            <w:hideMark/>
          </w:tcPr>
          <w:p w14:paraId="5343C281" w14:textId="77777777" w:rsidR="00A949E9" w:rsidRPr="00A949E9" w:rsidRDefault="00A949E9" w:rsidP="00A949E9">
            <w:pPr>
              <w:spacing w:line="240" w:lineRule="auto"/>
              <w:ind w:left="150" w:right="150"/>
              <w:rPr>
                <w:rFonts w:ascii="Segoe UI" w:hAnsi="Segoe UI" w:cs="Segoe UI"/>
                <w:color w:val="333333"/>
                <w:sz w:val="18"/>
                <w:szCs w:val="18"/>
                <w:lang w:val="en-US" w:eastAsia="en-US" w:bidi="he-IL"/>
              </w:rPr>
            </w:pPr>
            <w:r w:rsidRPr="00A949E9">
              <w:rPr>
                <w:rFonts w:ascii="Segoe UI" w:hAnsi="Segoe UI" w:cs="Segoe UI"/>
                <w:color w:val="333333"/>
                <w:sz w:val="18"/>
                <w:szCs w:val="18"/>
                <w:lang w:val="en-US" w:eastAsia="en-US" w:bidi="he-IL"/>
              </w:rPr>
              <w:t>1.656</w:t>
            </w:r>
            <w:r w:rsidRPr="00A949E9">
              <w:rPr>
                <w:rFonts w:ascii="Segoe UI" w:hAnsi="Segoe UI" w:cs="Segoe UI"/>
                <w:color w:val="333333"/>
                <w:sz w:val="18"/>
                <w:szCs w:val="18"/>
                <w:lang w:val="en-US" w:eastAsia="en-US" w:bidi="he-IL"/>
              </w:rPr>
              <w:br/>
              <w:t>(-0.186)</w:t>
            </w:r>
          </w:p>
        </w:tc>
        <w:tc>
          <w:tcPr>
            <w:tcW w:w="0" w:type="auto"/>
            <w:tcBorders>
              <w:top w:val="single" w:sz="6" w:space="0" w:color="D3D3D3"/>
              <w:left w:val="nil"/>
              <w:bottom w:val="single" w:sz="4" w:space="0" w:color="D9D9D9" w:themeColor="background1" w:themeShade="D9"/>
              <w:right w:val="nil"/>
            </w:tcBorders>
            <w:shd w:val="clear" w:color="auto" w:fill="FFFFFF"/>
            <w:tcMar>
              <w:top w:w="120" w:type="dxa"/>
              <w:left w:w="75" w:type="dxa"/>
              <w:bottom w:w="120" w:type="dxa"/>
              <w:right w:w="75" w:type="dxa"/>
            </w:tcMar>
            <w:vAlign w:val="center"/>
            <w:hideMark/>
          </w:tcPr>
          <w:p w14:paraId="6989B60A" w14:textId="77777777" w:rsidR="00A949E9" w:rsidRPr="00A949E9" w:rsidRDefault="00A949E9" w:rsidP="00A949E9">
            <w:pPr>
              <w:spacing w:line="240" w:lineRule="auto"/>
              <w:ind w:left="150" w:right="150"/>
              <w:rPr>
                <w:rFonts w:ascii="Segoe UI" w:hAnsi="Segoe UI" w:cs="Segoe UI"/>
                <w:color w:val="333333"/>
                <w:sz w:val="18"/>
                <w:szCs w:val="18"/>
                <w:lang w:val="en-US" w:eastAsia="en-US" w:bidi="he-IL"/>
              </w:rPr>
            </w:pPr>
            <w:r w:rsidRPr="00A949E9">
              <w:rPr>
                <w:rFonts w:ascii="Segoe UI" w:hAnsi="Segoe UI" w:cs="Segoe UI"/>
                <w:color w:val="333333"/>
                <w:sz w:val="18"/>
                <w:szCs w:val="18"/>
                <w:lang w:val="en-US" w:eastAsia="en-US" w:bidi="he-IL"/>
              </w:rPr>
              <w:t>0.383</w:t>
            </w:r>
            <w:r w:rsidRPr="00A949E9">
              <w:rPr>
                <w:rFonts w:ascii="Segoe UI" w:hAnsi="Segoe UI" w:cs="Segoe UI"/>
                <w:color w:val="333333"/>
                <w:sz w:val="18"/>
                <w:szCs w:val="18"/>
                <w:lang w:val="en-US" w:eastAsia="en-US" w:bidi="he-IL"/>
              </w:rPr>
              <w:br/>
              <w:t>(+0.182)</w:t>
            </w:r>
          </w:p>
        </w:tc>
        <w:tc>
          <w:tcPr>
            <w:tcW w:w="0" w:type="auto"/>
            <w:tcBorders>
              <w:top w:val="single" w:sz="6" w:space="0" w:color="D3D3D3"/>
              <w:left w:val="nil"/>
              <w:bottom w:val="single" w:sz="4" w:space="0" w:color="D9D9D9" w:themeColor="background1" w:themeShade="D9"/>
              <w:right w:val="nil"/>
            </w:tcBorders>
            <w:shd w:val="clear" w:color="auto" w:fill="FFFFFF"/>
            <w:tcMar>
              <w:top w:w="120" w:type="dxa"/>
              <w:left w:w="75" w:type="dxa"/>
              <w:bottom w:w="120" w:type="dxa"/>
              <w:right w:w="75" w:type="dxa"/>
            </w:tcMar>
            <w:vAlign w:val="center"/>
            <w:hideMark/>
          </w:tcPr>
          <w:p w14:paraId="63197C0A" w14:textId="77777777" w:rsidR="00A949E9" w:rsidRPr="00A949E9" w:rsidRDefault="00A949E9" w:rsidP="00A949E9">
            <w:pPr>
              <w:spacing w:line="240" w:lineRule="auto"/>
              <w:ind w:left="150" w:right="150"/>
              <w:rPr>
                <w:rFonts w:ascii="Segoe UI" w:hAnsi="Segoe UI" w:cs="Segoe UI"/>
                <w:color w:val="333333"/>
                <w:sz w:val="18"/>
                <w:szCs w:val="18"/>
                <w:lang w:val="en-US" w:eastAsia="en-US" w:bidi="he-IL"/>
              </w:rPr>
            </w:pPr>
            <w:r w:rsidRPr="00A949E9">
              <w:rPr>
                <w:rFonts w:ascii="Segoe UI" w:hAnsi="Segoe UI" w:cs="Segoe UI"/>
                <w:color w:val="333333"/>
                <w:sz w:val="18"/>
                <w:szCs w:val="18"/>
                <w:lang w:val="en-US" w:eastAsia="en-US" w:bidi="he-IL"/>
              </w:rPr>
              <w:t>0.193</w:t>
            </w:r>
            <w:r w:rsidRPr="00A949E9">
              <w:rPr>
                <w:rFonts w:ascii="Segoe UI" w:hAnsi="Segoe UI" w:cs="Segoe UI"/>
                <w:color w:val="333333"/>
                <w:sz w:val="18"/>
                <w:szCs w:val="18"/>
                <w:lang w:val="en-US" w:eastAsia="en-US" w:bidi="he-IL"/>
              </w:rPr>
              <w:br/>
              <w:t>(-0.067)</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3B886BD" w14:textId="77777777" w:rsidR="00A949E9" w:rsidRPr="00A949E9" w:rsidRDefault="00A949E9" w:rsidP="00A949E9">
            <w:pPr>
              <w:spacing w:line="240" w:lineRule="auto"/>
              <w:ind w:left="150" w:right="150"/>
              <w:rPr>
                <w:rFonts w:ascii="Segoe UI" w:hAnsi="Segoe UI" w:cs="Segoe UI"/>
                <w:color w:val="333333"/>
                <w:sz w:val="18"/>
                <w:szCs w:val="18"/>
                <w:lang w:val="en-US" w:eastAsia="en-US" w:bidi="he-IL"/>
              </w:rPr>
            </w:pPr>
            <w:r w:rsidRPr="00A949E9">
              <w:rPr>
                <w:rFonts w:ascii="Segoe UI" w:hAnsi="Segoe UI" w:cs="Segoe UI"/>
                <w:color w:val="333333"/>
                <w:sz w:val="18"/>
                <w:szCs w:val="18"/>
                <w:lang w:val="en-US" w:eastAsia="en-US" w:bidi="he-IL"/>
              </w:rPr>
              <w:t>0.115</w:t>
            </w:r>
            <w:r w:rsidRPr="00A949E9">
              <w:rPr>
                <w:rFonts w:ascii="Segoe UI" w:hAnsi="Segoe UI" w:cs="Segoe UI"/>
                <w:color w:val="333333"/>
                <w:sz w:val="18"/>
                <w:szCs w:val="18"/>
                <w:lang w:val="en-US" w:eastAsia="en-US" w:bidi="he-IL"/>
              </w:rPr>
              <w:br/>
              <w:t>(-0.059)</w:t>
            </w:r>
          </w:p>
        </w:tc>
      </w:tr>
      <w:tr w:rsidR="00A949E9" w:rsidRPr="00A949E9" w14:paraId="5F23D8FD" w14:textId="77777777" w:rsidTr="00A949E9">
        <w:tc>
          <w:tcPr>
            <w:tcW w:w="0" w:type="auto"/>
            <w:gridSpan w:val="6"/>
            <w:tcBorders>
              <w:top w:val="single" w:sz="4" w:space="0" w:color="D9D9D9" w:themeColor="background1" w:themeShade="D9"/>
              <w:left w:val="nil"/>
              <w:bottom w:val="single" w:sz="4" w:space="0" w:color="auto"/>
              <w:right w:val="nil"/>
            </w:tcBorders>
            <w:shd w:val="clear" w:color="auto" w:fill="FFFFFF"/>
            <w:tcMar>
              <w:top w:w="60" w:type="dxa"/>
              <w:left w:w="75" w:type="dxa"/>
              <w:bottom w:w="60" w:type="dxa"/>
              <w:right w:w="75" w:type="dxa"/>
            </w:tcMar>
            <w:vAlign w:val="center"/>
            <w:hideMark/>
          </w:tcPr>
          <w:p w14:paraId="18ED3556" w14:textId="77777777" w:rsidR="00A949E9" w:rsidRPr="00A949E9" w:rsidRDefault="00A949E9" w:rsidP="00A949E9">
            <w:pPr>
              <w:spacing w:line="240" w:lineRule="auto"/>
              <w:rPr>
                <w:rFonts w:ascii="Segoe UI" w:hAnsi="Segoe UI" w:cs="Segoe UI"/>
                <w:color w:val="333333"/>
                <w:sz w:val="18"/>
                <w:szCs w:val="18"/>
                <w:lang w:val="en-US" w:eastAsia="en-US"/>
              </w:rPr>
            </w:pPr>
            <w:r w:rsidRPr="00A949E9">
              <w:rPr>
                <w:rFonts w:ascii="Segoe UI" w:hAnsi="Segoe UI" w:cs="Segoe UI"/>
                <w:color w:val="333333"/>
                <w:sz w:val="18"/>
                <w:szCs w:val="18"/>
                <w:lang w:val="en-US" w:eastAsia="en-US"/>
              </w:rPr>
              <w:t>Values are F-statistics with significance stars. Mean shifts (Wave 2 - Wave 1) on the 1–7 scale are provided in parentheses for event effects. *** p &lt; .001; ** p &lt; .01; * p &lt; .05; † p &lt; .10.</w:t>
            </w:r>
          </w:p>
        </w:tc>
      </w:tr>
    </w:tbl>
    <w:p w14:paraId="73E8D6E3" w14:textId="4F82B895" w:rsidR="00A401F3" w:rsidRDefault="00A949E9" w:rsidP="00A949E9">
      <w:pPr>
        <w:pStyle w:val="Newparagraph"/>
        <w:spacing w:before="240"/>
        <w:rPr>
          <w:rFonts w:cs="Arial"/>
          <w:b/>
          <w:bCs/>
          <w:i/>
          <w:iCs/>
          <w:szCs w:val="28"/>
          <w:lang w:val="en-US"/>
        </w:rPr>
      </w:pPr>
      <w:r w:rsidRPr="00A949E9">
        <w:rPr>
          <w:rFonts w:asciiTheme="majorBidi" w:hAnsiTheme="majorBidi" w:cstheme="majorBidi"/>
          <w:shd w:val="clear" w:color="auto" w:fill="FFFFFF"/>
        </w:rPr>
        <w:t>The findings provide strong support for the three primary hypotheses. First, the dimensions of extremism respond heterogeneously</w:t>
      </w:r>
      <w:r w:rsidR="009D201A">
        <w:rPr>
          <w:rFonts w:asciiTheme="majorBidi" w:hAnsiTheme="majorBidi" w:cstheme="majorBidi"/>
          <w:shd w:val="clear" w:color="auto" w:fill="FFFFFF"/>
        </w:rPr>
        <w:t>. At the same time,</w:t>
      </w:r>
      <w:r w:rsidRPr="00A949E9">
        <w:rPr>
          <w:rFonts w:asciiTheme="majorBidi" w:hAnsiTheme="majorBidi" w:cstheme="majorBidi"/>
          <w:shd w:val="clear" w:color="auto" w:fill="FFFFFF"/>
        </w:rPr>
        <w:t xml:space="preserve"> </w:t>
      </w:r>
      <w:r w:rsidR="009D201A">
        <w:rPr>
          <w:rFonts w:asciiTheme="majorBidi" w:hAnsiTheme="majorBidi" w:cstheme="majorBidi"/>
          <w:shd w:val="clear" w:color="auto" w:fill="FFFFFF"/>
        </w:rPr>
        <w:t>i</w:t>
      </w:r>
      <w:r w:rsidRPr="00A949E9">
        <w:rPr>
          <w:rFonts w:asciiTheme="majorBidi" w:hAnsiTheme="majorBidi" w:cstheme="majorBidi"/>
          <w:shd w:val="clear" w:color="auto" w:fill="FFFFFF"/>
        </w:rPr>
        <w:t>deology is sensitive across the board</w:t>
      </w:r>
      <w:r w:rsidR="009D201A">
        <w:rPr>
          <w:rFonts w:asciiTheme="majorBidi" w:hAnsiTheme="majorBidi" w:cstheme="majorBidi"/>
          <w:shd w:val="clear" w:color="auto" w:fill="FFFFFF"/>
        </w:rPr>
        <w:t>, and</w:t>
      </w:r>
      <w:r w:rsidRPr="00A949E9">
        <w:rPr>
          <w:rFonts w:asciiTheme="majorBidi" w:hAnsiTheme="majorBidi" w:cstheme="majorBidi"/>
          <w:shd w:val="clear" w:color="auto" w:fill="FFFFFF"/>
        </w:rPr>
        <w:t xml:space="preserve"> the </w:t>
      </w:r>
      <w:r w:rsidR="00E97633">
        <w:rPr>
          <w:rFonts w:asciiTheme="majorBidi" w:hAnsiTheme="majorBidi" w:cstheme="majorBidi"/>
          <w:shd w:val="clear" w:color="auto" w:fill="FFFFFF"/>
        </w:rPr>
        <w:t>s</w:t>
      </w:r>
      <w:r w:rsidRPr="00A949E9">
        <w:rPr>
          <w:rFonts w:asciiTheme="majorBidi" w:hAnsiTheme="majorBidi" w:cstheme="majorBidi"/>
          <w:shd w:val="clear" w:color="auto" w:fill="FFFFFF"/>
        </w:rPr>
        <w:t>ocial (</w:t>
      </w:r>
      <w:r w:rsidR="00E97633">
        <w:rPr>
          <w:rFonts w:asciiTheme="majorBidi" w:hAnsiTheme="majorBidi" w:cstheme="majorBidi"/>
          <w:shd w:val="clear" w:color="auto" w:fill="FFFFFF"/>
        </w:rPr>
        <w:t>i</w:t>
      </w:r>
      <w:r w:rsidRPr="00A949E9">
        <w:rPr>
          <w:rFonts w:asciiTheme="majorBidi" w:hAnsiTheme="majorBidi" w:cstheme="majorBidi"/>
          <w:shd w:val="clear" w:color="auto" w:fill="FFFFFF"/>
        </w:rPr>
        <w:t xml:space="preserve">ntolerance) and </w:t>
      </w:r>
      <w:r w:rsidR="00E97633">
        <w:rPr>
          <w:rFonts w:asciiTheme="majorBidi" w:hAnsiTheme="majorBidi" w:cstheme="majorBidi"/>
          <w:shd w:val="clear" w:color="auto" w:fill="FFFFFF"/>
        </w:rPr>
        <w:t>b</w:t>
      </w:r>
      <w:r w:rsidRPr="00A949E9">
        <w:rPr>
          <w:rFonts w:asciiTheme="majorBidi" w:hAnsiTheme="majorBidi" w:cstheme="majorBidi"/>
          <w:shd w:val="clear" w:color="auto" w:fill="FFFFFF"/>
        </w:rPr>
        <w:t>ehavioral (</w:t>
      </w:r>
      <w:r w:rsidR="00E97633">
        <w:rPr>
          <w:rFonts w:asciiTheme="majorBidi" w:hAnsiTheme="majorBidi" w:cstheme="majorBidi"/>
          <w:shd w:val="clear" w:color="auto" w:fill="FFFFFF"/>
        </w:rPr>
        <w:t>v</w:t>
      </w:r>
      <w:r w:rsidRPr="00A949E9">
        <w:rPr>
          <w:rFonts w:asciiTheme="majorBidi" w:hAnsiTheme="majorBidi" w:cstheme="majorBidi"/>
          <w:shd w:val="clear" w:color="auto" w:fill="FFFFFF"/>
        </w:rPr>
        <w:t xml:space="preserve">iolence) dimensions </w:t>
      </w:r>
      <w:r>
        <w:rPr>
          <w:rFonts w:asciiTheme="majorBidi" w:hAnsiTheme="majorBidi" w:cstheme="majorBidi"/>
          <w:shd w:val="clear" w:color="auto" w:fill="FFFFFF"/>
        </w:rPr>
        <w:t>fluctuate significantly only within</w:t>
      </w:r>
      <w:r w:rsidRPr="00A949E9">
        <w:rPr>
          <w:rFonts w:asciiTheme="majorBidi" w:hAnsiTheme="majorBidi" w:cstheme="majorBidi"/>
          <w:shd w:val="clear" w:color="auto" w:fill="FFFFFF"/>
        </w:rPr>
        <w:t xml:space="preserve"> the extremist subset during major security threats. Second, the significant MANOVA interactions confirm that political orientation moderates how citizens react to these crises. Finally, the stark differences between the whole population and the extremist subset validate the research framework: analyzing the </w:t>
      </w:r>
      <w:r w:rsidRPr="00A949E9">
        <w:rPr>
          <w:rFonts w:asciiTheme="majorBidi" w:hAnsiTheme="majorBidi" w:cstheme="majorBidi"/>
          <w:shd w:val="clear" w:color="auto" w:fill="FFFFFF"/>
        </w:rPr>
        <w:lastRenderedPageBreak/>
        <w:t xml:space="preserve">extreme tail is essential for a nuanced understanding of radicalization. While the general population </w:t>
      </w:r>
      <w:r>
        <w:rPr>
          <w:rFonts w:asciiTheme="majorBidi" w:hAnsiTheme="majorBidi" w:cstheme="majorBidi"/>
          <w:shd w:val="clear" w:color="auto" w:fill="FFFFFF"/>
        </w:rPr>
        <w:t>may show only slight ideological shifts, the extremist subset exhibits significant fluctuations across all dimensions, particularly during periods of heightened</w:t>
      </w:r>
      <w:r w:rsidRPr="00A949E9">
        <w:rPr>
          <w:rFonts w:asciiTheme="majorBidi" w:hAnsiTheme="majorBidi" w:cstheme="majorBidi"/>
          <w:shd w:val="clear" w:color="auto" w:fill="FFFFFF"/>
        </w:rPr>
        <w:t xml:space="preserve"> security or political instability.</w:t>
      </w:r>
    </w:p>
    <w:p w14:paraId="4BA3015F" w14:textId="76213B32" w:rsidR="001D5B55" w:rsidRDefault="00BD2FEB" w:rsidP="004074B0">
      <w:pPr>
        <w:pStyle w:val="Heading2"/>
      </w:pPr>
      <w:r>
        <w:t>Dynamics of Political Extremism</w:t>
      </w:r>
    </w:p>
    <w:p w14:paraId="0D73B22D" w14:textId="401C624A" w:rsidR="00EC43DA" w:rsidRPr="00EC43DA" w:rsidRDefault="00A949E9" w:rsidP="00595251">
      <w:pPr>
        <w:pStyle w:val="Paragraph"/>
        <w:rPr>
          <w:lang w:val="en-US"/>
        </w:rPr>
      </w:pPr>
      <w:r>
        <w:t>To better understand the dynamics of political extremism associated with destabilizing events, this study conducted</w:t>
      </w:r>
      <w:r w:rsidR="00595251">
        <w:t xml:space="preserve"> a</w:t>
      </w:r>
      <w:r w:rsidR="00595251" w:rsidRPr="004043DC">
        <w:rPr>
          <w:lang w:val="en-US" w:eastAsia="en-US" w:bidi="he-IL"/>
        </w:rPr>
        <w:t xml:space="preserve"> </w:t>
      </w:r>
      <w:r w:rsidR="00595251">
        <w:rPr>
          <w:lang w:val="en-US" w:eastAsia="en-US" w:bidi="he-IL"/>
        </w:rPr>
        <w:t xml:space="preserve">longitudinal analysis of multiple gauge indices (Extremism Level, Extremism Intensity, and Extremism Rank). </w:t>
      </w:r>
      <w:bookmarkStart w:id="32" w:name="_Ref207305302"/>
      <w:r w:rsidR="007A13C8">
        <w:fldChar w:fldCharType="begin"/>
      </w:r>
      <w:r w:rsidR="007A13C8">
        <w:instrText xml:space="preserve"> REF _Ref217826120 \h </w:instrText>
      </w:r>
      <w:r w:rsidR="007A13C8">
        <w:fldChar w:fldCharType="separate"/>
      </w:r>
      <w:r w:rsidR="00823ED9">
        <w:t xml:space="preserve">Figure </w:t>
      </w:r>
      <w:r w:rsidR="00823ED9">
        <w:rPr>
          <w:noProof/>
        </w:rPr>
        <w:t>5</w:t>
      </w:r>
      <w:r w:rsidR="007A13C8">
        <w:fldChar w:fldCharType="end"/>
      </w:r>
      <w:r w:rsidR="007A13C8">
        <w:t xml:space="preserve"> </w:t>
      </w:r>
      <w:r w:rsidR="007A13C8" w:rsidRPr="007A13C8">
        <w:t>show</w:t>
      </w:r>
      <w:r w:rsidR="003354BB">
        <w:t>s</w:t>
      </w:r>
      <w:r w:rsidR="007A13C8" w:rsidRPr="007A13C8">
        <w:t xml:space="preserve"> </w:t>
      </w:r>
      <w:r w:rsidR="004B2CF1">
        <w:t xml:space="preserve">political extremism across the six waves and for each dimension, examining the </w:t>
      </w:r>
      <w:r>
        <w:t xml:space="preserve">percentage of the population </w:t>
      </w:r>
      <w:r w:rsidR="004B2CF1">
        <w:t>in</w:t>
      </w:r>
      <w:r w:rsidR="003F42BF">
        <w:t xml:space="preserve"> the extreme tail (EL)</w:t>
      </w:r>
      <w:r w:rsidR="00EC43DA">
        <w:t xml:space="preserve">. </w:t>
      </w:r>
      <w:r w:rsidR="00EC43DA" w:rsidRPr="00EC43DA">
        <w:rPr>
          <w:lang w:val="en-US"/>
        </w:rPr>
        <w:t xml:space="preserve">In the </w:t>
      </w:r>
      <w:r w:rsidR="00E97633">
        <w:rPr>
          <w:bCs/>
          <w:lang w:val="en-US"/>
        </w:rPr>
        <w:t>c</w:t>
      </w:r>
      <w:r w:rsidR="00EC43DA" w:rsidRPr="00EC43DA">
        <w:rPr>
          <w:bCs/>
          <w:lang w:val="en-US"/>
        </w:rPr>
        <w:t>ognitive dimension</w:t>
      </w:r>
      <w:r w:rsidR="00EC43DA" w:rsidRPr="00EC43DA">
        <w:rPr>
          <w:lang w:val="en-US"/>
        </w:rPr>
        <w:t xml:space="preserve">, the </w:t>
      </w:r>
      <w:r w:rsidR="009D201A">
        <w:rPr>
          <w:lang w:val="en-US"/>
        </w:rPr>
        <w:t>l</w:t>
      </w:r>
      <w:r w:rsidR="00EC43DA" w:rsidRPr="00EC43DA">
        <w:rPr>
          <w:lang w:val="en-US"/>
        </w:rPr>
        <w:t>eft exhibits the most volatile trend, with EL scores climbing sharply from 34</w:t>
      </w:r>
      <w:r w:rsidR="00EC43DA">
        <w:rPr>
          <w:lang w:val="en-US"/>
        </w:rPr>
        <w:t>%</w:t>
      </w:r>
      <w:r w:rsidR="00EC43DA" w:rsidRPr="00EC43DA">
        <w:rPr>
          <w:lang w:val="en-US"/>
        </w:rPr>
        <w:t xml:space="preserve"> in the </w:t>
      </w:r>
      <w:r w:rsidR="00E97633">
        <w:rPr>
          <w:lang w:val="en-US"/>
        </w:rPr>
        <w:t>f</w:t>
      </w:r>
      <w:r w:rsidR="00EC43DA" w:rsidRPr="00EC43DA">
        <w:rPr>
          <w:lang w:val="en-US"/>
        </w:rPr>
        <w:t>irst wave to a peak of 6</w:t>
      </w:r>
      <w:r w:rsidR="00EC43DA">
        <w:rPr>
          <w:lang w:val="en-US"/>
        </w:rPr>
        <w:t>2%</w:t>
      </w:r>
      <w:r w:rsidR="00EC43DA" w:rsidRPr="00EC43DA">
        <w:rPr>
          <w:lang w:val="en-US"/>
        </w:rPr>
        <w:t xml:space="preserve"> in the </w:t>
      </w:r>
      <w:r w:rsidR="00E97633">
        <w:rPr>
          <w:lang w:val="en-US"/>
        </w:rPr>
        <w:t>t</w:t>
      </w:r>
      <w:r w:rsidR="00EC43DA" w:rsidRPr="00EC43DA">
        <w:rPr>
          <w:lang w:val="en-US"/>
        </w:rPr>
        <w:t xml:space="preserve">hird wave (Judicial Reform), before settling at </w:t>
      </w:r>
      <w:r w:rsidR="00EC43DA">
        <w:rPr>
          <w:lang w:val="en-US"/>
        </w:rPr>
        <w:t>50%</w:t>
      </w:r>
      <w:r w:rsidR="00EC43DA" w:rsidRPr="00EC43DA">
        <w:rPr>
          <w:lang w:val="en-US"/>
        </w:rPr>
        <w:t xml:space="preserve"> in the </w:t>
      </w:r>
      <w:r w:rsidR="00E97633">
        <w:rPr>
          <w:lang w:val="en-US"/>
        </w:rPr>
        <w:t>s</w:t>
      </w:r>
      <w:r w:rsidR="00EC43DA" w:rsidRPr="00EC43DA">
        <w:rPr>
          <w:lang w:val="en-US"/>
        </w:rPr>
        <w:t xml:space="preserve">ixth wave (October 7 </w:t>
      </w:r>
      <w:r w:rsidR="005A61E4">
        <w:rPr>
          <w:lang w:val="en-US"/>
        </w:rPr>
        <w:t>w</w:t>
      </w:r>
      <w:r w:rsidR="00EC43DA" w:rsidRPr="00EC43DA">
        <w:rPr>
          <w:lang w:val="en-US"/>
        </w:rPr>
        <w:t xml:space="preserve">ar). In contrast, the </w:t>
      </w:r>
      <w:r w:rsidR="009D201A">
        <w:rPr>
          <w:lang w:val="en-US"/>
        </w:rPr>
        <w:t>r</w:t>
      </w:r>
      <w:r w:rsidR="00EC43DA" w:rsidRPr="00EC43DA">
        <w:rPr>
          <w:lang w:val="en-US"/>
        </w:rPr>
        <w:t xml:space="preserve">ight shows a steady decline in ideological extremism, starting at </w:t>
      </w:r>
      <w:r w:rsidR="00EC43DA">
        <w:rPr>
          <w:lang w:val="en-US"/>
        </w:rPr>
        <w:t>22%</w:t>
      </w:r>
      <w:r w:rsidR="00EC43DA" w:rsidRPr="00EC43DA">
        <w:rPr>
          <w:lang w:val="en-US"/>
        </w:rPr>
        <w:t xml:space="preserve"> and reaching its lowest point of 1</w:t>
      </w:r>
      <w:r w:rsidR="00EC43DA">
        <w:rPr>
          <w:lang w:val="en-US"/>
        </w:rPr>
        <w:t>1%</w:t>
      </w:r>
      <w:r w:rsidR="00EC43DA" w:rsidRPr="00EC43DA">
        <w:rPr>
          <w:lang w:val="en-US"/>
        </w:rPr>
        <w:t xml:space="preserve"> by the </w:t>
      </w:r>
      <w:r w:rsidR="00E97633">
        <w:rPr>
          <w:lang w:val="en-US"/>
        </w:rPr>
        <w:t>s</w:t>
      </w:r>
      <w:r w:rsidR="00EC43DA" w:rsidRPr="00EC43DA">
        <w:rPr>
          <w:lang w:val="en-US"/>
        </w:rPr>
        <w:t xml:space="preserve">ixth wave. The </w:t>
      </w:r>
      <w:r w:rsidR="009D201A">
        <w:rPr>
          <w:lang w:val="en-US"/>
        </w:rPr>
        <w:t>c</w:t>
      </w:r>
      <w:r w:rsidR="00EC43DA" w:rsidRPr="00EC43DA">
        <w:rPr>
          <w:lang w:val="en-US"/>
        </w:rPr>
        <w:t>enter remains relatively stable but low, fluctuating between 1</w:t>
      </w:r>
      <w:r w:rsidR="00EC43DA">
        <w:rPr>
          <w:lang w:val="en-US"/>
        </w:rPr>
        <w:t>3%</w:t>
      </w:r>
      <w:r w:rsidR="00EC43DA" w:rsidRPr="00EC43DA">
        <w:rPr>
          <w:lang w:val="en-US"/>
        </w:rPr>
        <w:t xml:space="preserve"> and 19</w:t>
      </w:r>
      <w:r w:rsidR="00EC43DA">
        <w:rPr>
          <w:lang w:val="en-US"/>
        </w:rPr>
        <w:t>%</w:t>
      </w:r>
      <w:r w:rsidR="00EC43DA" w:rsidRPr="00EC43DA">
        <w:rPr>
          <w:lang w:val="en-US"/>
        </w:rPr>
        <w:t xml:space="preserve">. In the </w:t>
      </w:r>
      <w:r w:rsidR="00E97633">
        <w:rPr>
          <w:bCs/>
          <w:lang w:val="en-US"/>
        </w:rPr>
        <w:t>b</w:t>
      </w:r>
      <w:r w:rsidR="00EC43DA" w:rsidRPr="00EC43DA">
        <w:rPr>
          <w:bCs/>
          <w:lang w:val="en-US"/>
        </w:rPr>
        <w:t>ehavioral dimension</w:t>
      </w:r>
      <w:r w:rsidR="00EC43DA" w:rsidRPr="00EC43DA">
        <w:rPr>
          <w:lang w:val="en-US"/>
        </w:rPr>
        <w:t xml:space="preserve">, both the </w:t>
      </w:r>
      <w:r w:rsidR="009D201A">
        <w:rPr>
          <w:lang w:val="en-US"/>
        </w:rPr>
        <w:t>l</w:t>
      </w:r>
      <w:r w:rsidR="00EC43DA" w:rsidRPr="00EC43DA">
        <w:rPr>
          <w:lang w:val="en-US"/>
        </w:rPr>
        <w:t xml:space="preserve">eft and </w:t>
      </w:r>
      <w:r w:rsidR="009D201A">
        <w:rPr>
          <w:lang w:val="en-US"/>
        </w:rPr>
        <w:t xml:space="preserve">the center show a long-term upward trajectory in support for violence; the left rises from 20% in the </w:t>
      </w:r>
      <w:r w:rsidR="00E97633">
        <w:rPr>
          <w:lang w:val="en-US"/>
        </w:rPr>
        <w:t>s</w:t>
      </w:r>
      <w:r w:rsidR="009D201A">
        <w:rPr>
          <w:lang w:val="en-US"/>
        </w:rPr>
        <w:t xml:space="preserve">econd wave to 39% in the </w:t>
      </w:r>
      <w:r w:rsidR="00E97633">
        <w:rPr>
          <w:lang w:val="en-US"/>
        </w:rPr>
        <w:t>s</w:t>
      </w:r>
      <w:r w:rsidR="009D201A">
        <w:rPr>
          <w:lang w:val="en-US"/>
        </w:rPr>
        <w:t>ixth, while the c</w:t>
      </w:r>
      <w:r w:rsidR="00EC43DA" w:rsidRPr="00EC43DA">
        <w:rPr>
          <w:lang w:val="en-US"/>
        </w:rPr>
        <w:t>enter follows a similar path, ending at 39</w:t>
      </w:r>
      <w:r w:rsidR="00EC43DA">
        <w:rPr>
          <w:lang w:val="en-US"/>
        </w:rPr>
        <w:t>%</w:t>
      </w:r>
      <w:r w:rsidR="00EC43DA" w:rsidRPr="00EC43DA">
        <w:rPr>
          <w:lang w:val="en-US"/>
        </w:rPr>
        <w:t xml:space="preserve">. Conversely, the </w:t>
      </w:r>
      <w:r w:rsidR="009D201A">
        <w:rPr>
          <w:lang w:val="en-US"/>
        </w:rPr>
        <w:t>r</w:t>
      </w:r>
      <w:r w:rsidR="00EC43DA" w:rsidRPr="00EC43DA">
        <w:rPr>
          <w:lang w:val="en-US"/>
        </w:rPr>
        <w:t>ight</w:t>
      </w:r>
      <w:r w:rsidR="005A61E4">
        <w:rPr>
          <w:lang w:val="en-US"/>
        </w:rPr>
        <w:t>'</w:t>
      </w:r>
      <w:r w:rsidR="00EC43DA" w:rsidRPr="00EC43DA">
        <w:rPr>
          <w:lang w:val="en-US"/>
        </w:rPr>
        <w:t xml:space="preserve">s behavioral extremism decreases significantly from </w:t>
      </w:r>
      <w:r w:rsidR="00EC43DA">
        <w:rPr>
          <w:lang w:val="en-US"/>
        </w:rPr>
        <w:t>40%</w:t>
      </w:r>
      <w:r w:rsidR="00EC43DA" w:rsidRPr="00EC43DA">
        <w:rPr>
          <w:lang w:val="en-US"/>
        </w:rPr>
        <w:t xml:space="preserve"> in the </w:t>
      </w:r>
      <w:r w:rsidR="00E97633">
        <w:rPr>
          <w:lang w:val="en-US"/>
        </w:rPr>
        <w:t>f</w:t>
      </w:r>
      <w:r w:rsidR="00EC43DA" w:rsidRPr="00EC43DA">
        <w:rPr>
          <w:lang w:val="en-US"/>
        </w:rPr>
        <w:t>irst wave to 2</w:t>
      </w:r>
      <w:r w:rsidR="00EC43DA">
        <w:rPr>
          <w:lang w:val="en-US"/>
        </w:rPr>
        <w:t>8%</w:t>
      </w:r>
      <w:r w:rsidR="00EC43DA" w:rsidRPr="00EC43DA">
        <w:rPr>
          <w:lang w:val="en-US"/>
        </w:rPr>
        <w:t xml:space="preserve"> in the </w:t>
      </w:r>
      <w:r w:rsidR="00E97633">
        <w:rPr>
          <w:lang w:val="en-US"/>
        </w:rPr>
        <w:t>s</w:t>
      </w:r>
      <w:r w:rsidR="00EC43DA" w:rsidRPr="00EC43DA">
        <w:rPr>
          <w:lang w:val="en-US"/>
        </w:rPr>
        <w:t xml:space="preserve">ixth. The </w:t>
      </w:r>
      <w:r w:rsidR="00E97633">
        <w:rPr>
          <w:bCs/>
          <w:lang w:val="en-US"/>
        </w:rPr>
        <w:t>s</w:t>
      </w:r>
      <w:r w:rsidR="00EC43DA" w:rsidRPr="00EC43DA">
        <w:rPr>
          <w:bCs/>
          <w:lang w:val="en-US"/>
        </w:rPr>
        <w:t>ocial dimension</w:t>
      </w:r>
      <w:r w:rsidR="00EC43DA" w:rsidRPr="00EC43DA">
        <w:rPr>
          <w:lang w:val="en-US"/>
        </w:rPr>
        <w:t xml:space="preserve"> reveals a persistent divide: the </w:t>
      </w:r>
      <w:r w:rsidR="009D201A">
        <w:rPr>
          <w:lang w:val="en-US"/>
        </w:rPr>
        <w:t>r</w:t>
      </w:r>
      <w:r w:rsidR="00EC43DA" w:rsidRPr="00EC43DA">
        <w:rPr>
          <w:lang w:val="en-US"/>
        </w:rPr>
        <w:t>ight maintains high levels of intolerance throughout, peaking at 28</w:t>
      </w:r>
      <w:r w:rsidR="00EC43DA">
        <w:rPr>
          <w:lang w:val="en-US"/>
        </w:rPr>
        <w:t>%</w:t>
      </w:r>
      <w:r w:rsidR="00EC43DA" w:rsidRPr="00EC43DA">
        <w:rPr>
          <w:lang w:val="en-US"/>
        </w:rPr>
        <w:t xml:space="preserve"> in the </w:t>
      </w:r>
      <w:r w:rsidR="00E97633">
        <w:rPr>
          <w:lang w:val="en-US"/>
        </w:rPr>
        <w:t>s</w:t>
      </w:r>
      <w:r w:rsidR="00EC43DA" w:rsidRPr="00EC43DA">
        <w:rPr>
          <w:lang w:val="en-US"/>
        </w:rPr>
        <w:t>econd wave and ending at 23</w:t>
      </w:r>
      <w:r w:rsidR="00EC43DA">
        <w:rPr>
          <w:lang w:val="en-US"/>
        </w:rPr>
        <w:t>%</w:t>
      </w:r>
      <w:r w:rsidR="00EC43DA" w:rsidRPr="00EC43DA">
        <w:rPr>
          <w:lang w:val="en-US"/>
        </w:rPr>
        <w:t xml:space="preserve">, while the </w:t>
      </w:r>
      <w:r w:rsidR="009D201A">
        <w:rPr>
          <w:lang w:val="en-US"/>
        </w:rPr>
        <w:t>l</w:t>
      </w:r>
      <w:r w:rsidR="00EC43DA" w:rsidRPr="00EC43DA">
        <w:rPr>
          <w:lang w:val="en-US"/>
        </w:rPr>
        <w:t>eft remains consistently low, even hitting 0</w:t>
      </w:r>
      <w:r w:rsidR="009D201A">
        <w:rPr>
          <w:lang w:val="en-US"/>
        </w:rPr>
        <w:t>%</w:t>
      </w:r>
      <w:r w:rsidR="00EC43DA" w:rsidRPr="00EC43DA">
        <w:rPr>
          <w:lang w:val="en-US"/>
        </w:rPr>
        <w:t xml:space="preserve"> in the Fourth wave</w:t>
      </w:r>
      <w:r w:rsidR="004B2CF1">
        <w:rPr>
          <w:lang w:val="en-US"/>
        </w:rPr>
        <w:t>.</w:t>
      </w:r>
      <w:r w:rsidR="00EC43DA" w:rsidRPr="00EC43DA">
        <w:rPr>
          <w:lang w:val="en-US"/>
        </w:rPr>
        <w:t xml:space="preserve"> </w:t>
      </w:r>
    </w:p>
    <w:p w14:paraId="18F3783B" w14:textId="0CE8BBA5" w:rsidR="005719F7" w:rsidRDefault="005719F7" w:rsidP="005719F7">
      <w:pPr>
        <w:pStyle w:val="Tabletitle"/>
      </w:pPr>
      <w:r>
        <w:t xml:space="preserve">Figure </w:t>
      </w:r>
      <w:fldSimple w:instr=" SEQ Figure \* ARABIC ">
        <w:r w:rsidR="00823ED9">
          <w:rPr>
            <w:noProof/>
          </w:rPr>
          <w:t>4</w:t>
        </w:r>
      </w:fldSimple>
      <w:r>
        <w:rPr>
          <w:lang w:val="en-US"/>
        </w:rPr>
        <w:t>: Dynamics of Extremism Levels</w:t>
      </w:r>
    </w:p>
    <w:p w14:paraId="39B80D95" w14:textId="77777777" w:rsidR="00EC43DA" w:rsidRDefault="005719F7" w:rsidP="005719F7">
      <w:r>
        <w:rPr>
          <w:noProof/>
        </w:rPr>
        <w:lastRenderedPageBreak/>
        <w:drawing>
          <wp:inline distT="0" distB="0" distL="0" distR="0" wp14:anchorId="64A2B1BD" wp14:editId="40ABC5CF">
            <wp:extent cx="5396865" cy="4867275"/>
            <wp:effectExtent l="0" t="0" r="0" b="9525"/>
            <wp:docPr id="2040950658"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50658" name="Picture 1" descr="A graph of different colored lines&#10;&#10;AI-generated content may be incorrect."/>
                    <pic:cNvPicPr>
                      <a:picLocks noChangeAspect="1" noChangeArrowheads="1"/>
                    </pic:cNvPicPr>
                  </pic:nvPicPr>
                  <pic:blipFill rotWithShape="1">
                    <a:blip r:embed="rId12">
                      <a:extLst>
                        <a:ext uri="{28A0092B-C50C-407E-A947-70E740481C1C}">
                          <a14:useLocalDpi xmlns:a14="http://schemas.microsoft.com/office/drawing/2010/main" val="0"/>
                        </a:ext>
                      </a:extLst>
                    </a:blip>
                    <a:srcRect t="3001" b="6812"/>
                    <a:stretch>
                      <a:fillRect/>
                    </a:stretch>
                  </pic:blipFill>
                  <pic:spPr bwMode="auto">
                    <a:xfrm>
                      <a:off x="0" y="0"/>
                      <a:ext cx="5396865" cy="4867275"/>
                    </a:xfrm>
                    <a:prstGeom prst="rect">
                      <a:avLst/>
                    </a:prstGeom>
                    <a:noFill/>
                    <a:ln>
                      <a:noFill/>
                    </a:ln>
                    <a:extLst>
                      <a:ext uri="{53640926-AAD7-44D8-BBD7-CCE9431645EC}">
                        <a14:shadowObscured xmlns:a14="http://schemas.microsoft.com/office/drawing/2010/main"/>
                      </a:ext>
                    </a:extLst>
                  </pic:spPr>
                </pic:pic>
              </a:graphicData>
            </a:graphic>
          </wp:inline>
        </w:drawing>
      </w:r>
    </w:p>
    <w:p w14:paraId="42E0137A" w14:textId="5B6E48D8" w:rsidR="00683AB6" w:rsidRPr="00EC43DA" w:rsidRDefault="00683AB6" w:rsidP="00683AB6">
      <w:pPr>
        <w:pStyle w:val="Newparagraph"/>
        <w:rPr>
          <w:lang w:val="en-US"/>
        </w:rPr>
      </w:pPr>
      <w:r w:rsidRPr="00EC43DA">
        <w:rPr>
          <w:lang w:val="en-US"/>
        </w:rPr>
        <w:t xml:space="preserve">Comparing these trends across orientations highlights a </w:t>
      </w:r>
      <w:r w:rsidR="005A61E4">
        <w:rPr>
          <w:lang w:val="en-US"/>
        </w:rPr>
        <w:t>"</w:t>
      </w:r>
      <w:r w:rsidRPr="00EC43DA">
        <w:rPr>
          <w:lang w:val="en-US"/>
        </w:rPr>
        <w:t>crisscross</w:t>
      </w:r>
      <w:r w:rsidR="005A61E4">
        <w:rPr>
          <w:lang w:val="en-US"/>
        </w:rPr>
        <w:t>"</w:t>
      </w:r>
      <w:r w:rsidRPr="00EC43DA">
        <w:rPr>
          <w:lang w:val="en-US"/>
        </w:rPr>
        <w:t xml:space="preserve"> effect between the </w:t>
      </w:r>
      <w:r w:rsidR="00BB2F23">
        <w:rPr>
          <w:lang w:val="en-US"/>
        </w:rPr>
        <w:t>l</w:t>
      </w:r>
      <w:r w:rsidRPr="00EC43DA">
        <w:rPr>
          <w:lang w:val="en-US"/>
        </w:rPr>
        <w:t xml:space="preserve">eft and </w:t>
      </w:r>
      <w:r w:rsidR="00BB2F23">
        <w:rPr>
          <w:lang w:val="en-US"/>
        </w:rPr>
        <w:t>r</w:t>
      </w:r>
      <w:r w:rsidRPr="00EC43DA">
        <w:rPr>
          <w:lang w:val="en-US"/>
        </w:rPr>
        <w:t>ight</w:t>
      </w:r>
      <w:r>
        <w:rPr>
          <w:lang w:val="en-US"/>
        </w:rPr>
        <w:t>,</w:t>
      </w:r>
      <w:r w:rsidRPr="00EC43DA">
        <w:rPr>
          <w:lang w:val="en-US"/>
        </w:rPr>
        <w:t xml:space="preserve"> depending on the dimension and event. For instance, while the </w:t>
      </w:r>
      <w:r w:rsidR="009D201A">
        <w:rPr>
          <w:lang w:val="en-US"/>
        </w:rPr>
        <w:t>l</w:t>
      </w:r>
      <w:r w:rsidRPr="00EC43DA">
        <w:rPr>
          <w:lang w:val="en-US"/>
        </w:rPr>
        <w:t xml:space="preserve">eft reacted to the </w:t>
      </w:r>
      <w:r w:rsidR="00BB2F23">
        <w:rPr>
          <w:lang w:val="en-US"/>
        </w:rPr>
        <w:t>j</w:t>
      </w:r>
      <w:r w:rsidRPr="00EC43DA">
        <w:rPr>
          <w:lang w:val="en-US"/>
        </w:rPr>
        <w:t xml:space="preserve">udicial </w:t>
      </w:r>
      <w:r w:rsidR="00BB2F23">
        <w:rPr>
          <w:lang w:val="en-US"/>
        </w:rPr>
        <w:t>r</w:t>
      </w:r>
      <w:r w:rsidRPr="00EC43DA">
        <w:rPr>
          <w:lang w:val="en-US"/>
        </w:rPr>
        <w:t>eform (</w:t>
      </w:r>
      <w:r w:rsidR="00BB2F23">
        <w:rPr>
          <w:lang w:val="en-US"/>
        </w:rPr>
        <w:t>t</w:t>
      </w:r>
      <w:r w:rsidRPr="00EC43DA">
        <w:rPr>
          <w:lang w:val="en-US"/>
        </w:rPr>
        <w:t xml:space="preserve">hird wave) with a massive surge in </w:t>
      </w:r>
      <w:r w:rsidR="00BB2F23">
        <w:rPr>
          <w:lang w:val="en-US"/>
        </w:rPr>
        <w:t>c</w:t>
      </w:r>
      <w:r w:rsidRPr="00EC43DA">
        <w:rPr>
          <w:lang w:val="en-US"/>
        </w:rPr>
        <w:t>ognitive extremism (6</w:t>
      </w:r>
      <w:r>
        <w:rPr>
          <w:lang w:val="en-US"/>
        </w:rPr>
        <w:t>2%</w:t>
      </w:r>
      <w:r w:rsidRPr="00EC43DA">
        <w:rPr>
          <w:lang w:val="en-US"/>
        </w:rPr>
        <w:t xml:space="preserve">), the </w:t>
      </w:r>
      <w:r w:rsidR="009D201A">
        <w:rPr>
          <w:lang w:val="en-US"/>
        </w:rPr>
        <w:t>r</w:t>
      </w:r>
      <w:r w:rsidRPr="00EC43DA">
        <w:rPr>
          <w:lang w:val="en-US"/>
        </w:rPr>
        <w:t>ight actually saw a slight decrease in that same dimension (1</w:t>
      </w:r>
      <w:r>
        <w:rPr>
          <w:lang w:val="en-US"/>
        </w:rPr>
        <w:t>4%</w:t>
      </w:r>
      <w:r w:rsidRPr="00EC43DA">
        <w:rPr>
          <w:lang w:val="en-US"/>
        </w:rPr>
        <w:t xml:space="preserve">). However, in the </w:t>
      </w:r>
      <w:r w:rsidR="00BB2F23">
        <w:rPr>
          <w:lang w:val="en-US"/>
        </w:rPr>
        <w:t>s</w:t>
      </w:r>
      <w:r w:rsidRPr="00EC43DA">
        <w:rPr>
          <w:lang w:val="en-US"/>
        </w:rPr>
        <w:t xml:space="preserve">ocial dimension, the </w:t>
      </w:r>
      <w:r w:rsidR="009D201A">
        <w:rPr>
          <w:lang w:val="en-US"/>
        </w:rPr>
        <w:t>r</w:t>
      </w:r>
      <w:r w:rsidRPr="00EC43DA">
        <w:rPr>
          <w:lang w:val="en-US"/>
        </w:rPr>
        <w:t>ight</w:t>
      </w:r>
      <w:r w:rsidR="005A61E4">
        <w:rPr>
          <w:lang w:val="en-US"/>
        </w:rPr>
        <w:t>'</w:t>
      </w:r>
      <w:r w:rsidRPr="00EC43DA">
        <w:rPr>
          <w:lang w:val="en-US"/>
        </w:rPr>
        <w:t xml:space="preserve">s extremism levels are consistently double or triple those of the </w:t>
      </w:r>
      <w:r w:rsidR="005A61E4">
        <w:rPr>
          <w:lang w:val="en-US"/>
        </w:rPr>
        <w:t>c</w:t>
      </w:r>
      <w:r w:rsidRPr="00EC43DA">
        <w:rPr>
          <w:lang w:val="en-US"/>
        </w:rPr>
        <w:t xml:space="preserve">enter and </w:t>
      </w:r>
      <w:r w:rsidR="00BB2F23">
        <w:rPr>
          <w:lang w:val="en-US"/>
        </w:rPr>
        <w:t>l</w:t>
      </w:r>
      <w:r w:rsidRPr="00EC43DA">
        <w:rPr>
          <w:lang w:val="en-US"/>
        </w:rPr>
        <w:t xml:space="preserve">eft across all waves. </w:t>
      </w:r>
      <w:r w:rsidR="00E97633">
        <w:rPr>
          <w:lang w:val="en-US"/>
        </w:rPr>
        <w:t>b</w:t>
      </w:r>
      <w:r w:rsidRPr="00EC43DA">
        <w:rPr>
          <w:lang w:val="en-US"/>
        </w:rPr>
        <w:t xml:space="preserve">ehavioral extremism shows a unique convergence by the </w:t>
      </w:r>
      <w:r w:rsidR="00BB2F23">
        <w:rPr>
          <w:lang w:val="en-US"/>
        </w:rPr>
        <w:t>s</w:t>
      </w:r>
      <w:r w:rsidRPr="00EC43DA">
        <w:rPr>
          <w:lang w:val="en-US"/>
        </w:rPr>
        <w:t xml:space="preserve">ixth wave, where the </w:t>
      </w:r>
      <w:r w:rsidR="00BB2F23">
        <w:rPr>
          <w:lang w:val="en-US"/>
        </w:rPr>
        <w:t>l</w:t>
      </w:r>
      <w:r w:rsidRPr="00EC43DA">
        <w:rPr>
          <w:lang w:val="en-US"/>
        </w:rPr>
        <w:t>eft (39</w:t>
      </w:r>
      <w:r>
        <w:rPr>
          <w:lang w:val="en-US"/>
        </w:rPr>
        <w:t>%</w:t>
      </w:r>
      <w:r w:rsidRPr="00EC43DA">
        <w:rPr>
          <w:lang w:val="en-US"/>
        </w:rPr>
        <w:t xml:space="preserve">) and </w:t>
      </w:r>
      <w:r w:rsidR="00BB2F23">
        <w:rPr>
          <w:lang w:val="en-US"/>
        </w:rPr>
        <w:t>the c</w:t>
      </w:r>
      <w:r w:rsidRPr="00EC43DA">
        <w:rPr>
          <w:lang w:val="en-US"/>
        </w:rPr>
        <w:t>enter (39</w:t>
      </w:r>
      <w:r>
        <w:rPr>
          <w:lang w:val="en-US"/>
        </w:rPr>
        <w:t>%</w:t>
      </w:r>
      <w:r w:rsidRPr="00EC43DA">
        <w:rPr>
          <w:lang w:val="en-US"/>
        </w:rPr>
        <w:t xml:space="preserve">) surpassed the </w:t>
      </w:r>
      <w:r w:rsidR="009D201A">
        <w:rPr>
          <w:lang w:val="en-US"/>
        </w:rPr>
        <w:t>r</w:t>
      </w:r>
      <w:r w:rsidRPr="00EC43DA">
        <w:rPr>
          <w:lang w:val="en-US"/>
        </w:rPr>
        <w:t>ight (2</w:t>
      </w:r>
      <w:r>
        <w:rPr>
          <w:lang w:val="en-US"/>
        </w:rPr>
        <w:t>8%</w:t>
      </w:r>
      <w:r w:rsidRPr="00EC43DA">
        <w:rPr>
          <w:lang w:val="en-US"/>
        </w:rPr>
        <w:t xml:space="preserve">) in their support for violence against the state or outgroups, suggesting that the October 7 </w:t>
      </w:r>
      <w:r w:rsidR="005A61E4">
        <w:rPr>
          <w:lang w:val="en-US"/>
        </w:rPr>
        <w:t>w</w:t>
      </w:r>
      <w:r w:rsidRPr="00EC43DA">
        <w:rPr>
          <w:lang w:val="en-US"/>
        </w:rPr>
        <w:t xml:space="preserve">ar and the preceding constitutional crises impacted the political </w:t>
      </w:r>
      <w:r>
        <w:rPr>
          <w:lang w:val="en-US"/>
        </w:rPr>
        <w:t>center</w:t>
      </w:r>
      <w:r w:rsidRPr="00EC43DA">
        <w:rPr>
          <w:lang w:val="en-US"/>
        </w:rPr>
        <w:t xml:space="preserve"> and left more aggressively in terms of behavioral radicalization.</w:t>
      </w:r>
    </w:p>
    <w:p w14:paraId="51E8EC51" w14:textId="1E22593C" w:rsidR="00683AB6" w:rsidRDefault="005719F7" w:rsidP="00683AB6">
      <w:pPr>
        <w:pStyle w:val="Newparagraph"/>
        <w:rPr>
          <w:lang w:val="en-US"/>
        </w:rPr>
      </w:pPr>
      <w:r>
        <w:lastRenderedPageBreak/>
        <w:fldChar w:fldCharType="begin"/>
      </w:r>
      <w:r>
        <w:instrText xml:space="preserve"> REF _Ref217826120 \h </w:instrText>
      </w:r>
      <w:r w:rsidR="00683AB6">
        <w:instrText xml:space="preserve"> \* MERGEFORMAT </w:instrText>
      </w:r>
      <w:r>
        <w:fldChar w:fldCharType="separate"/>
      </w:r>
      <w:r w:rsidR="00823ED9">
        <w:t xml:space="preserve">Figure </w:t>
      </w:r>
      <w:r w:rsidR="00823ED9">
        <w:rPr>
          <w:noProof/>
        </w:rPr>
        <w:t>5</w:t>
      </w:r>
      <w:r>
        <w:fldChar w:fldCharType="end"/>
      </w:r>
      <w:r>
        <w:t xml:space="preserve"> shows the mean extremism score of the extreme tail (EIN). </w:t>
      </w:r>
      <w:r w:rsidRPr="005719F7">
        <w:rPr>
          <w:lang w:val="en-US"/>
        </w:rPr>
        <w:t xml:space="preserve">In the </w:t>
      </w:r>
      <w:r w:rsidR="00BB2F23">
        <w:rPr>
          <w:bCs/>
          <w:lang w:val="en-US"/>
        </w:rPr>
        <w:t>c</w:t>
      </w:r>
      <w:r w:rsidRPr="005719F7">
        <w:rPr>
          <w:bCs/>
          <w:lang w:val="en-US"/>
        </w:rPr>
        <w:t>ognitive dimension</w:t>
      </w:r>
      <w:r w:rsidRPr="005719F7">
        <w:rPr>
          <w:lang w:val="en-US"/>
        </w:rPr>
        <w:t xml:space="preserve">, the intensity of extremism remains high and remarkably stable across all groups, with the </w:t>
      </w:r>
      <w:r w:rsidR="009D201A">
        <w:rPr>
          <w:lang w:val="en-US"/>
        </w:rPr>
        <w:t>l</w:t>
      </w:r>
      <w:r w:rsidRPr="005719F7">
        <w:rPr>
          <w:lang w:val="en-US"/>
        </w:rPr>
        <w:t xml:space="preserve">eft </w:t>
      </w:r>
      <w:r w:rsidR="003758AF">
        <w:rPr>
          <w:lang w:val="en-US"/>
        </w:rPr>
        <w:t>ranging from 6.81 to</w:t>
      </w:r>
      <w:r w:rsidRPr="005719F7">
        <w:rPr>
          <w:lang w:val="en-US"/>
        </w:rPr>
        <w:t xml:space="preserve"> 6.84</w:t>
      </w:r>
      <w:r>
        <w:rPr>
          <w:lang w:val="en-US"/>
        </w:rPr>
        <w:t>. At the same time,</w:t>
      </w:r>
      <w:r w:rsidRPr="005719F7">
        <w:rPr>
          <w:lang w:val="en-US"/>
        </w:rPr>
        <w:t xml:space="preserve"> the </w:t>
      </w:r>
      <w:r w:rsidR="009D201A">
        <w:rPr>
          <w:lang w:val="en-US"/>
        </w:rPr>
        <w:t>r</w:t>
      </w:r>
      <w:r w:rsidRPr="005719F7">
        <w:rPr>
          <w:lang w:val="en-US"/>
        </w:rPr>
        <w:t xml:space="preserve">ight shows a slight recovery from a low of 6.04 in the </w:t>
      </w:r>
      <w:r w:rsidR="00BB2F23">
        <w:rPr>
          <w:lang w:val="en-US"/>
        </w:rPr>
        <w:t>s</w:t>
      </w:r>
      <w:r w:rsidRPr="005719F7">
        <w:rPr>
          <w:lang w:val="en-US"/>
        </w:rPr>
        <w:t xml:space="preserve">econd wave to 6.73 in the </w:t>
      </w:r>
      <w:r w:rsidR="00BB2F23">
        <w:rPr>
          <w:lang w:val="en-US"/>
        </w:rPr>
        <w:t>s</w:t>
      </w:r>
      <w:r w:rsidRPr="005719F7">
        <w:rPr>
          <w:lang w:val="en-US"/>
        </w:rPr>
        <w:t xml:space="preserve">ixth. </w:t>
      </w:r>
      <w:bookmarkStart w:id="33" w:name="_Ref217826120"/>
    </w:p>
    <w:p w14:paraId="74974585" w14:textId="7BAB3D4A" w:rsidR="005719F7" w:rsidRDefault="005719F7" w:rsidP="00683AB6">
      <w:pPr>
        <w:pStyle w:val="Newparagraph"/>
      </w:pPr>
      <w:r>
        <w:t xml:space="preserve">Figure </w:t>
      </w:r>
      <w:fldSimple w:instr=" SEQ Figure \* ARABIC ">
        <w:r w:rsidR="00823ED9">
          <w:rPr>
            <w:noProof/>
          </w:rPr>
          <w:t>5</w:t>
        </w:r>
      </w:fldSimple>
      <w:bookmarkEnd w:id="33"/>
      <w:r>
        <w:rPr>
          <w:lang w:val="en-US"/>
        </w:rPr>
        <w:t xml:space="preserve">: Dynamics of </w:t>
      </w:r>
      <w:r w:rsidR="00BB2F23">
        <w:rPr>
          <w:lang w:val="en-US"/>
        </w:rPr>
        <w:t>e</w:t>
      </w:r>
      <w:r>
        <w:rPr>
          <w:lang w:val="en-US"/>
        </w:rPr>
        <w:t xml:space="preserve">xtremism </w:t>
      </w:r>
      <w:r w:rsidR="00BB2F23">
        <w:rPr>
          <w:lang w:val="en-US"/>
        </w:rPr>
        <w:t>i</w:t>
      </w:r>
      <w:r>
        <w:rPr>
          <w:lang w:val="en-US"/>
        </w:rPr>
        <w:t>ntensity</w:t>
      </w:r>
    </w:p>
    <w:p w14:paraId="6A530237" w14:textId="77777777" w:rsidR="005719F7" w:rsidRDefault="005719F7" w:rsidP="005719F7">
      <w:pPr>
        <w:jc w:val="center"/>
        <w:rPr>
          <w:lang w:val="en-US"/>
        </w:rPr>
      </w:pPr>
      <w:r>
        <w:rPr>
          <w:noProof/>
        </w:rPr>
        <w:drawing>
          <wp:inline distT="0" distB="0" distL="0" distR="0" wp14:anchorId="0D88DE69" wp14:editId="56C9213C">
            <wp:extent cx="5396865" cy="4886325"/>
            <wp:effectExtent l="0" t="0" r="0" b="9525"/>
            <wp:docPr id="1646654186"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54186" name="Picture 3" descr="A graph of different colored lines&#10;&#10;AI-generated content may be incorrect."/>
                    <pic:cNvPicPr>
                      <a:picLocks noChangeAspect="1" noChangeArrowheads="1"/>
                    </pic:cNvPicPr>
                  </pic:nvPicPr>
                  <pic:blipFill rotWithShape="1">
                    <a:blip r:embed="rId13">
                      <a:extLst>
                        <a:ext uri="{28A0092B-C50C-407E-A947-70E740481C1C}">
                          <a14:useLocalDpi xmlns:a14="http://schemas.microsoft.com/office/drawing/2010/main" val="0"/>
                        </a:ext>
                      </a:extLst>
                    </a:blip>
                    <a:srcRect t="3001" b="6460"/>
                    <a:stretch>
                      <a:fillRect/>
                    </a:stretch>
                  </pic:blipFill>
                  <pic:spPr bwMode="auto">
                    <a:xfrm>
                      <a:off x="0" y="0"/>
                      <a:ext cx="5396865" cy="4886325"/>
                    </a:xfrm>
                    <a:prstGeom prst="rect">
                      <a:avLst/>
                    </a:prstGeom>
                    <a:noFill/>
                    <a:ln>
                      <a:noFill/>
                    </a:ln>
                    <a:extLst>
                      <a:ext uri="{53640926-AAD7-44D8-BBD7-CCE9431645EC}">
                        <a14:shadowObscured xmlns:a14="http://schemas.microsoft.com/office/drawing/2010/main"/>
                      </a:ext>
                    </a:extLst>
                  </pic:spPr>
                </pic:pic>
              </a:graphicData>
            </a:graphic>
          </wp:inline>
        </w:drawing>
      </w:r>
    </w:p>
    <w:p w14:paraId="578FD34E" w14:textId="087C57B1" w:rsidR="00683AB6" w:rsidRDefault="00683AB6" w:rsidP="00683AB6">
      <w:pPr>
        <w:pStyle w:val="Paragraph"/>
        <w:rPr>
          <w:lang w:val="en-US"/>
        </w:rPr>
      </w:pPr>
      <w:r w:rsidRPr="005719F7">
        <w:rPr>
          <w:lang w:val="en-US"/>
        </w:rPr>
        <w:t xml:space="preserve">The </w:t>
      </w:r>
      <w:r w:rsidR="00BB2F23">
        <w:rPr>
          <w:bCs/>
          <w:lang w:val="en-US"/>
        </w:rPr>
        <w:t>b</w:t>
      </w:r>
      <w:r w:rsidRPr="005719F7">
        <w:rPr>
          <w:bCs/>
          <w:lang w:val="en-US"/>
        </w:rPr>
        <w:t>ehavioral dimension</w:t>
      </w:r>
      <w:r w:rsidRPr="005719F7">
        <w:rPr>
          <w:lang w:val="en-US"/>
        </w:rPr>
        <w:t xml:space="preserve"> shows more movement, particularly for the </w:t>
      </w:r>
      <w:r w:rsidR="009D201A">
        <w:rPr>
          <w:lang w:val="en-US"/>
        </w:rPr>
        <w:t>l</w:t>
      </w:r>
      <w:r w:rsidRPr="005719F7">
        <w:rPr>
          <w:lang w:val="en-US"/>
        </w:rPr>
        <w:t xml:space="preserve">eft, where intensity peaks at 2.90 in the </w:t>
      </w:r>
      <w:r w:rsidR="00BB2F23">
        <w:rPr>
          <w:lang w:val="en-US"/>
        </w:rPr>
        <w:t>s</w:t>
      </w:r>
      <w:r w:rsidRPr="005719F7">
        <w:rPr>
          <w:lang w:val="en-US"/>
        </w:rPr>
        <w:t xml:space="preserve">ixth wave (October 7 </w:t>
      </w:r>
      <w:r w:rsidR="005A61E4">
        <w:rPr>
          <w:lang w:val="en-US"/>
        </w:rPr>
        <w:t>w</w:t>
      </w:r>
      <w:r w:rsidRPr="005719F7">
        <w:rPr>
          <w:lang w:val="en-US"/>
        </w:rPr>
        <w:t xml:space="preserve">ar) after a period of fluctuation. The </w:t>
      </w:r>
      <w:r w:rsidR="00BB2F23">
        <w:rPr>
          <w:lang w:val="en-US"/>
        </w:rPr>
        <w:t>c</w:t>
      </w:r>
      <w:r w:rsidRPr="005719F7">
        <w:rPr>
          <w:lang w:val="en-US"/>
        </w:rPr>
        <w:t xml:space="preserve">enter and </w:t>
      </w:r>
      <w:r w:rsidR="00BB2F23">
        <w:rPr>
          <w:lang w:val="en-US"/>
        </w:rPr>
        <w:t>r</w:t>
      </w:r>
      <w:r w:rsidRPr="005719F7">
        <w:rPr>
          <w:lang w:val="en-US"/>
        </w:rPr>
        <w:t xml:space="preserve">ight show more consistent intensity levels, with the </w:t>
      </w:r>
      <w:r w:rsidR="009D201A">
        <w:rPr>
          <w:lang w:val="en-US"/>
        </w:rPr>
        <w:t>r</w:t>
      </w:r>
      <w:r w:rsidRPr="005719F7">
        <w:rPr>
          <w:lang w:val="en-US"/>
        </w:rPr>
        <w:t xml:space="preserve">ight maintaining a score of 2.72 and the </w:t>
      </w:r>
      <w:r w:rsidR="009D201A">
        <w:rPr>
          <w:lang w:val="en-US"/>
        </w:rPr>
        <w:t>c</w:t>
      </w:r>
      <w:r w:rsidRPr="005719F7">
        <w:rPr>
          <w:lang w:val="en-US"/>
        </w:rPr>
        <w:t xml:space="preserve">enter at 2.58 by the final wave. In the </w:t>
      </w:r>
      <w:r w:rsidR="00BB2F23">
        <w:rPr>
          <w:bCs/>
          <w:lang w:val="en-US"/>
        </w:rPr>
        <w:t>s</w:t>
      </w:r>
      <w:r w:rsidRPr="005719F7">
        <w:rPr>
          <w:bCs/>
          <w:lang w:val="en-US"/>
        </w:rPr>
        <w:t>ocial dimension</w:t>
      </w:r>
      <w:r w:rsidRPr="005719F7">
        <w:rPr>
          <w:lang w:val="en-US"/>
        </w:rPr>
        <w:t xml:space="preserve">, </w:t>
      </w:r>
      <w:r>
        <w:rPr>
          <w:lang w:val="en-US"/>
        </w:rPr>
        <w:t>t</w:t>
      </w:r>
      <w:r w:rsidRPr="005719F7">
        <w:rPr>
          <w:lang w:val="en-US"/>
        </w:rPr>
        <w:t xml:space="preserve">he </w:t>
      </w:r>
      <w:r w:rsidR="009D201A">
        <w:rPr>
          <w:lang w:val="en-US"/>
        </w:rPr>
        <w:t>r</w:t>
      </w:r>
      <w:r w:rsidRPr="005719F7">
        <w:rPr>
          <w:lang w:val="en-US"/>
        </w:rPr>
        <w:t xml:space="preserve">ight remains the most intense group </w:t>
      </w:r>
      <w:r>
        <w:rPr>
          <w:lang w:val="en-US"/>
        </w:rPr>
        <w:t>throughout most</w:t>
      </w:r>
      <w:r w:rsidRPr="005719F7">
        <w:rPr>
          <w:lang w:val="en-US"/>
        </w:rPr>
        <w:t xml:space="preserve"> of the study, peaking at 6.26 in the </w:t>
      </w:r>
      <w:r w:rsidR="00BB2F23">
        <w:rPr>
          <w:lang w:val="en-US"/>
        </w:rPr>
        <w:t>t</w:t>
      </w:r>
      <w:r w:rsidRPr="005719F7">
        <w:rPr>
          <w:lang w:val="en-US"/>
        </w:rPr>
        <w:t>hird wave</w:t>
      </w:r>
      <w:r>
        <w:rPr>
          <w:lang w:val="en-US"/>
        </w:rPr>
        <w:t xml:space="preserve">. Following the Bennet </w:t>
      </w:r>
      <w:r w:rsidR="005A61E4">
        <w:rPr>
          <w:lang w:val="en-US"/>
        </w:rPr>
        <w:t>g</w:t>
      </w:r>
      <w:r>
        <w:rPr>
          <w:lang w:val="en-US"/>
        </w:rPr>
        <w:t>ov</w:t>
      </w:r>
      <w:r w:rsidR="005A61E4">
        <w:rPr>
          <w:lang w:val="en-US"/>
        </w:rPr>
        <w:t>ernment's fall, all three groups exhibit high,</w:t>
      </w:r>
      <w:r w:rsidRPr="005719F7">
        <w:rPr>
          <w:lang w:val="en-US"/>
        </w:rPr>
        <w:t xml:space="preserve"> tightly clustered </w:t>
      </w:r>
      <w:r w:rsidRPr="005719F7">
        <w:rPr>
          <w:lang w:val="en-US"/>
        </w:rPr>
        <w:lastRenderedPageBreak/>
        <w:t>intensity scores</w:t>
      </w:r>
      <w:r>
        <w:rPr>
          <w:lang w:val="en-US"/>
        </w:rPr>
        <w:t xml:space="preserve"> </w:t>
      </w:r>
      <w:r w:rsidRPr="005719F7">
        <w:rPr>
          <w:lang w:val="en-US"/>
        </w:rPr>
        <w:t>around 6.1–6.</w:t>
      </w:r>
      <w:r>
        <w:rPr>
          <w:lang w:val="en-US"/>
        </w:rPr>
        <w:t>25</w:t>
      </w:r>
      <w:r w:rsidRPr="005719F7">
        <w:rPr>
          <w:lang w:val="en-US"/>
        </w:rPr>
        <w:t>.</w:t>
      </w:r>
    </w:p>
    <w:p w14:paraId="09D4FA48" w14:textId="3E942F53" w:rsidR="005719F7" w:rsidRDefault="005719F7" w:rsidP="005719F7">
      <w:pPr>
        <w:rPr>
          <w:lang w:val="en-US"/>
        </w:rPr>
      </w:pPr>
      <w:r w:rsidRPr="005719F7">
        <w:rPr>
          <w:lang w:val="en-US"/>
        </w:rPr>
        <w:t xml:space="preserve">Comparing these trends reveals that while the </w:t>
      </w:r>
      <w:r w:rsidRPr="00BB2F23">
        <w:rPr>
          <w:lang w:val="en-US"/>
        </w:rPr>
        <w:t>number</w:t>
      </w:r>
      <w:r w:rsidRPr="005719F7">
        <w:rPr>
          <w:lang w:val="en-US"/>
        </w:rPr>
        <w:t xml:space="preserve"> of extremists (EL) varies significantly by event, the </w:t>
      </w:r>
      <w:r w:rsidRPr="00BB2F23">
        <w:rPr>
          <w:lang w:val="en-US"/>
        </w:rPr>
        <w:t>intensity</w:t>
      </w:r>
      <w:r w:rsidRPr="005719F7">
        <w:rPr>
          <w:lang w:val="en-US"/>
        </w:rPr>
        <w:t xml:space="preserve"> (EIN) of those who are extreme is relatively high and uniform across orientations. For example, in the </w:t>
      </w:r>
      <w:r w:rsidR="00E97633">
        <w:rPr>
          <w:lang w:val="en-US"/>
        </w:rPr>
        <w:t>s</w:t>
      </w:r>
      <w:r w:rsidRPr="005719F7">
        <w:rPr>
          <w:lang w:val="en-US"/>
        </w:rPr>
        <w:t xml:space="preserve">ocial dimension, although the </w:t>
      </w:r>
      <w:r w:rsidR="009D201A">
        <w:rPr>
          <w:lang w:val="en-US"/>
        </w:rPr>
        <w:t>r</w:t>
      </w:r>
      <w:r w:rsidRPr="005719F7">
        <w:rPr>
          <w:lang w:val="en-US"/>
        </w:rPr>
        <w:t xml:space="preserve">ight has a much higher percentage of extremists than the </w:t>
      </w:r>
      <w:r w:rsidR="009D201A">
        <w:rPr>
          <w:lang w:val="en-US"/>
        </w:rPr>
        <w:t>l</w:t>
      </w:r>
      <w:r w:rsidRPr="005719F7">
        <w:rPr>
          <w:lang w:val="en-US"/>
        </w:rPr>
        <w:t xml:space="preserve">eft, those individuals on the </w:t>
      </w:r>
      <w:r w:rsidR="009D201A">
        <w:rPr>
          <w:lang w:val="en-US"/>
        </w:rPr>
        <w:t>l</w:t>
      </w:r>
      <w:r w:rsidRPr="005719F7">
        <w:rPr>
          <w:lang w:val="en-US"/>
        </w:rPr>
        <w:t xml:space="preserve">eft who are extreme are nearly as intense (6.17) as those on the </w:t>
      </w:r>
      <w:r w:rsidR="009D201A">
        <w:rPr>
          <w:lang w:val="en-US"/>
        </w:rPr>
        <w:t>r</w:t>
      </w:r>
      <w:r w:rsidRPr="005719F7">
        <w:rPr>
          <w:lang w:val="en-US"/>
        </w:rPr>
        <w:t xml:space="preserve">ight (6.10). In the </w:t>
      </w:r>
      <w:r w:rsidR="00BB2F23">
        <w:rPr>
          <w:lang w:val="en-US"/>
        </w:rPr>
        <w:t>b</w:t>
      </w:r>
      <w:r w:rsidRPr="005719F7">
        <w:rPr>
          <w:lang w:val="en-US"/>
        </w:rPr>
        <w:t xml:space="preserve">ehavioral dimension, a notable shift occurs in the </w:t>
      </w:r>
      <w:r w:rsidR="00BB2F23">
        <w:rPr>
          <w:lang w:val="en-US"/>
        </w:rPr>
        <w:t>s</w:t>
      </w:r>
      <w:r w:rsidRPr="005719F7">
        <w:rPr>
          <w:lang w:val="en-US"/>
        </w:rPr>
        <w:t xml:space="preserve">ixth wave; the </w:t>
      </w:r>
      <w:r w:rsidR="009D201A">
        <w:rPr>
          <w:lang w:val="en-US"/>
        </w:rPr>
        <w:t>l</w:t>
      </w:r>
      <w:r w:rsidRPr="005719F7">
        <w:rPr>
          <w:lang w:val="en-US"/>
        </w:rPr>
        <w:t>eft</w:t>
      </w:r>
      <w:r w:rsidR="005A61E4">
        <w:rPr>
          <w:lang w:val="en-US"/>
        </w:rPr>
        <w:t>'</w:t>
      </w:r>
      <w:r w:rsidRPr="005719F7">
        <w:rPr>
          <w:lang w:val="en-US"/>
        </w:rPr>
        <w:t xml:space="preserve">s intensity (2.90) surpasses both the </w:t>
      </w:r>
      <w:r w:rsidR="009D201A">
        <w:rPr>
          <w:lang w:val="en-US"/>
        </w:rPr>
        <w:t>c</w:t>
      </w:r>
      <w:r w:rsidRPr="005719F7">
        <w:rPr>
          <w:lang w:val="en-US"/>
        </w:rPr>
        <w:t xml:space="preserve">enter (2.58) and the </w:t>
      </w:r>
      <w:r w:rsidR="009D201A">
        <w:rPr>
          <w:lang w:val="en-US"/>
        </w:rPr>
        <w:t>r</w:t>
      </w:r>
      <w:r w:rsidRPr="005719F7">
        <w:rPr>
          <w:lang w:val="en-US"/>
        </w:rPr>
        <w:t xml:space="preserve">ight (2.72), suggesting that the October 7 </w:t>
      </w:r>
      <w:r w:rsidR="005A61E4">
        <w:rPr>
          <w:lang w:val="en-US"/>
        </w:rPr>
        <w:t>w</w:t>
      </w:r>
      <w:r w:rsidRPr="005719F7">
        <w:rPr>
          <w:lang w:val="en-US"/>
        </w:rPr>
        <w:t xml:space="preserve">ar not only increased the number of extreme individuals on the </w:t>
      </w:r>
      <w:r w:rsidR="009D201A">
        <w:rPr>
          <w:lang w:val="en-US"/>
        </w:rPr>
        <w:t>l</w:t>
      </w:r>
      <w:r w:rsidRPr="005719F7">
        <w:rPr>
          <w:lang w:val="en-US"/>
        </w:rPr>
        <w:t>eft but also deepened the severity of their support for violence.</w:t>
      </w:r>
    </w:p>
    <w:p w14:paraId="71E2B2A2" w14:textId="0CCC4D57" w:rsidR="00B30B36" w:rsidRDefault="00B30B36" w:rsidP="00B30B36">
      <w:pPr>
        <w:rPr>
          <w:lang w:val="en-US"/>
        </w:rPr>
      </w:pPr>
      <w:r w:rsidRPr="00B30B36">
        <w:rPr>
          <w:lang w:val="en-US"/>
        </w:rPr>
        <w:t>The Extremism Rank 2 (ER2) data</w:t>
      </w:r>
      <w:r>
        <w:rPr>
          <w:lang w:val="en-US"/>
        </w:rPr>
        <w:t xml:space="preserve"> (</w:t>
      </w:r>
      <w:r>
        <w:rPr>
          <w:lang w:val="en-US"/>
        </w:rPr>
        <w:fldChar w:fldCharType="begin"/>
      </w:r>
      <w:r>
        <w:rPr>
          <w:lang w:val="en-US"/>
        </w:rPr>
        <w:instrText xml:space="preserve"> REF _Ref218075982 \h </w:instrText>
      </w:r>
      <w:r>
        <w:rPr>
          <w:lang w:val="en-US"/>
        </w:rPr>
      </w:r>
      <w:r>
        <w:rPr>
          <w:lang w:val="en-US"/>
        </w:rPr>
        <w:fldChar w:fldCharType="separate"/>
      </w:r>
      <w:r w:rsidR="00823ED9">
        <w:t xml:space="preserve">Figure </w:t>
      </w:r>
      <w:r w:rsidR="00823ED9">
        <w:rPr>
          <w:noProof/>
        </w:rPr>
        <w:t>6</w:t>
      </w:r>
      <w:r>
        <w:rPr>
          <w:lang w:val="en-US"/>
        </w:rPr>
        <w:fldChar w:fldCharType="end"/>
      </w:r>
      <w:r>
        <w:rPr>
          <w:lang w:val="en-US"/>
        </w:rPr>
        <w:t>)</w:t>
      </w:r>
      <w:r w:rsidRPr="00B30B36">
        <w:rPr>
          <w:lang w:val="en-US"/>
        </w:rPr>
        <w:t xml:space="preserve">, which tracks the percentage of respondents </w:t>
      </w:r>
      <w:r w:rsidR="009D201A">
        <w:rPr>
          <w:lang w:val="en-US"/>
        </w:rPr>
        <w:t xml:space="preserve">who are </w:t>
      </w:r>
      <w:r w:rsidRPr="00B30B36">
        <w:rPr>
          <w:lang w:val="en-US"/>
        </w:rPr>
        <w:t xml:space="preserve">extreme in at least two dimensions, reveals distinct trajectories for each political orientation. The </w:t>
      </w:r>
      <w:r w:rsidR="009D201A">
        <w:rPr>
          <w:lang w:val="en-US"/>
        </w:rPr>
        <w:t>l</w:t>
      </w:r>
      <w:r w:rsidRPr="00B30B36">
        <w:rPr>
          <w:lang w:val="en-US"/>
        </w:rPr>
        <w:t xml:space="preserve">eft shows an overall upward trend in </w:t>
      </w:r>
      <w:r w:rsidR="003758AF">
        <w:rPr>
          <w:lang w:val="en-US"/>
        </w:rPr>
        <w:t xml:space="preserve">multidimensional extremism, rising from 13% in the </w:t>
      </w:r>
      <w:r w:rsidR="00BB2F23">
        <w:rPr>
          <w:lang w:val="en-US"/>
        </w:rPr>
        <w:t>f</w:t>
      </w:r>
      <w:r w:rsidR="003758AF">
        <w:rPr>
          <w:lang w:val="en-US"/>
        </w:rPr>
        <w:t xml:space="preserve">irst wave to a peak of 19% in the </w:t>
      </w:r>
      <w:r w:rsidR="00BB2F23">
        <w:rPr>
          <w:lang w:val="en-US"/>
        </w:rPr>
        <w:t>f</w:t>
      </w:r>
      <w:r w:rsidR="003758AF">
        <w:rPr>
          <w:lang w:val="en-US"/>
        </w:rPr>
        <w:t xml:space="preserve">ifth wave (Gallant </w:t>
      </w:r>
      <w:r w:rsidR="00BB2F23">
        <w:rPr>
          <w:lang w:val="en-US"/>
        </w:rPr>
        <w:t>d</w:t>
      </w:r>
      <w:r w:rsidR="003758AF">
        <w:rPr>
          <w:lang w:val="en-US"/>
        </w:rPr>
        <w:t>ismissal), then declining</w:t>
      </w:r>
      <w:r w:rsidRPr="00B30B36">
        <w:rPr>
          <w:lang w:val="en-US"/>
        </w:rPr>
        <w:t xml:space="preserve"> to 1</w:t>
      </w:r>
      <w:r>
        <w:rPr>
          <w:lang w:val="en-US"/>
        </w:rPr>
        <w:t>4%</w:t>
      </w:r>
      <w:r w:rsidRPr="00B30B36">
        <w:rPr>
          <w:lang w:val="en-US"/>
        </w:rPr>
        <w:t xml:space="preserve"> in the </w:t>
      </w:r>
      <w:r w:rsidR="00BB2F23">
        <w:rPr>
          <w:lang w:val="en-US"/>
        </w:rPr>
        <w:t>s</w:t>
      </w:r>
      <w:r w:rsidRPr="00B30B36">
        <w:rPr>
          <w:lang w:val="en-US"/>
        </w:rPr>
        <w:t xml:space="preserve">ixth wave. The </w:t>
      </w:r>
      <w:r w:rsidR="009D201A">
        <w:rPr>
          <w:lang w:val="en-US"/>
        </w:rPr>
        <w:t>c</w:t>
      </w:r>
      <w:r w:rsidRPr="00B30B36">
        <w:rPr>
          <w:lang w:val="en-US"/>
        </w:rPr>
        <w:t xml:space="preserve">enter follows a similar </w:t>
      </w:r>
      <w:r w:rsidR="005A61E4">
        <w:rPr>
          <w:lang w:val="en-US"/>
        </w:rPr>
        <w:t>"</w:t>
      </w:r>
      <w:r w:rsidRPr="00B30B36">
        <w:rPr>
          <w:lang w:val="en-US"/>
        </w:rPr>
        <w:t>hump</w:t>
      </w:r>
      <w:r w:rsidR="005A61E4">
        <w:rPr>
          <w:lang w:val="en-US"/>
        </w:rPr>
        <w:t>"</w:t>
      </w:r>
      <w:r w:rsidRPr="00B30B36">
        <w:rPr>
          <w:lang w:val="en-US"/>
        </w:rPr>
        <w:t xml:space="preserve"> pattern</w:t>
      </w:r>
      <w:r w:rsidR="003758AF">
        <w:rPr>
          <w:lang w:val="en-US"/>
        </w:rPr>
        <w:t xml:space="preserve">, but at lower levels: starting at 7%, dipping to 3% during the </w:t>
      </w:r>
      <w:r w:rsidR="00BB2F23">
        <w:rPr>
          <w:lang w:val="en-US"/>
        </w:rPr>
        <w:t>j</w:t>
      </w:r>
      <w:r w:rsidR="003758AF">
        <w:rPr>
          <w:lang w:val="en-US"/>
        </w:rPr>
        <w:t xml:space="preserve">udicial </w:t>
      </w:r>
      <w:r w:rsidR="00BB2F23">
        <w:rPr>
          <w:lang w:val="en-US"/>
        </w:rPr>
        <w:t>r</w:t>
      </w:r>
      <w:r w:rsidR="003758AF">
        <w:rPr>
          <w:lang w:val="en-US"/>
        </w:rPr>
        <w:t xml:space="preserve">eform, then jumping significantly to 10% in the </w:t>
      </w:r>
      <w:r w:rsidR="00BB2F23">
        <w:rPr>
          <w:lang w:val="en-US"/>
        </w:rPr>
        <w:t>f</w:t>
      </w:r>
      <w:r w:rsidR="003758AF">
        <w:rPr>
          <w:lang w:val="en-US"/>
        </w:rPr>
        <w:t xml:space="preserve">ourth wave, and </w:t>
      </w:r>
      <w:r w:rsidRPr="00B30B36">
        <w:rPr>
          <w:lang w:val="en-US"/>
        </w:rPr>
        <w:t xml:space="preserve">ending at </w:t>
      </w:r>
      <w:r>
        <w:rPr>
          <w:lang w:val="en-US"/>
        </w:rPr>
        <w:t>9%</w:t>
      </w:r>
      <w:r w:rsidRPr="00B30B36">
        <w:rPr>
          <w:lang w:val="en-US"/>
        </w:rPr>
        <w:t xml:space="preserve">. In contrast, the </w:t>
      </w:r>
      <w:r w:rsidR="009D201A">
        <w:rPr>
          <w:lang w:val="en-US"/>
        </w:rPr>
        <w:t>r</w:t>
      </w:r>
      <w:r w:rsidRPr="00B30B36">
        <w:rPr>
          <w:lang w:val="en-US"/>
        </w:rPr>
        <w:t xml:space="preserve">ight exhibits a consistent and sharp decline in multidimensional extremism. The </w:t>
      </w:r>
      <w:r w:rsidR="009D201A">
        <w:rPr>
          <w:lang w:val="en-US"/>
        </w:rPr>
        <w:t>r</w:t>
      </w:r>
      <w:r w:rsidRPr="00B30B36">
        <w:rPr>
          <w:lang w:val="en-US"/>
        </w:rPr>
        <w:t>ight began as the most extreme group at 1</w:t>
      </w:r>
      <w:r>
        <w:rPr>
          <w:lang w:val="en-US"/>
        </w:rPr>
        <w:t>9%</w:t>
      </w:r>
      <w:r w:rsidRPr="00B30B36">
        <w:rPr>
          <w:lang w:val="en-US"/>
        </w:rPr>
        <w:t xml:space="preserve"> and peaked at 20</w:t>
      </w:r>
      <w:r>
        <w:rPr>
          <w:lang w:val="en-US"/>
        </w:rPr>
        <w:t>%</w:t>
      </w:r>
      <w:r w:rsidRPr="00B30B36">
        <w:rPr>
          <w:lang w:val="en-US"/>
        </w:rPr>
        <w:t xml:space="preserve"> in the </w:t>
      </w:r>
      <w:r w:rsidR="00E97633">
        <w:rPr>
          <w:lang w:val="en-US"/>
        </w:rPr>
        <w:t>s</w:t>
      </w:r>
      <w:r w:rsidRPr="00B30B36">
        <w:rPr>
          <w:lang w:val="en-US"/>
        </w:rPr>
        <w:t>econd wave (</w:t>
      </w:r>
      <w:r w:rsidR="00BB2F23">
        <w:rPr>
          <w:lang w:val="en-US"/>
        </w:rPr>
        <w:t>f</w:t>
      </w:r>
      <w:r w:rsidRPr="00B30B36">
        <w:rPr>
          <w:lang w:val="en-US"/>
        </w:rPr>
        <w:t xml:space="preserve">all of the Bennett </w:t>
      </w:r>
      <w:r w:rsidR="00BB2F23">
        <w:rPr>
          <w:lang w:val="en-US"/>
        </w:rPr>
        <w:t>g</w:t>
      </w:r>
      <w:r w:rsidRPr="00B30B36">
        <w:rPr>
          <w:lang w:val="en-US"/>
        </w:rPr>
        <w:t>overnment), but it steadily decreased thereafter, reaching its lowest point of 11</w:t>
      </w:r>
      <w:r>
        <w:rPr>
          <w:lang w:val="en-US"/>
        </w:rPr>
        <w:t>%</w:t>
      </w:r>
      <w:r w:rsidRPr="00B30B36">
        <w:rPr>
          <w:lang w:val="en-US"/>
        </w:rPr>
        <w:t xml:space="preserve"> by the </w:t>
      </w:r>
      <w:r w:rsidR="00BB2F23">
        <w:rPr>
          <w:lang w:val="en-US"/>
        </w:rPr>
        <w:t>s</w:t>
      </w:r>
      <w:r w:rsidRPr="00B30B36">
        <w:rPr>
          <w:lang w:val="en-US"/>
        </w:rPr>
        <w:t xml:space="preserve">ixth wave (October 7 </w:t>
      </w:r>
      <w:r w:rsidR="00BB2F23">
        <w:rPr>
          <w:lang w:val="en-US"/>
        </w:rPr>
        <w:t>w</w:t>
      </w:r>
      <w:r w:rsidRPr="00B30B36">
        <w:rPr>
          <w:lang w:val="en-US"/>
        </w:rPr>
        <w:t>ar).</w:t>
      </w:r>
    </w:p>
    <w:p w14:paraId="118CD95D" w14:textId="77777777" w:rsidR="00CD41FC" w:rsidRDefault="00CD41FC">
      <w:pPr>
        <w:spacing w:line="240" w:lineRule="auto"/>
      </w:pPr>
      <w:bookmarkStart w:id="34" w:name="_Ref218075982"/>
      <w:r>
        <w:br w:type="page"/>
      </w:r>
    </w:p>
    <w:p w14:paraId="609C554A" w14:textId="79EB7FD1" w:rsidR="003758AF" w:rsidRDefault="003758AF" w:rsidP="003758AF">
      <w:pPr>
        <w:pStyle w:val="Tabletitle"/>
      </w:pPr>
      <w:r>
        <w:lastRenderedPageBreak/>
        <w:t xml:space="preserve">Figure </w:t>
      </w:r>
      <w:fldSimple w:instr=" SEQ Figure \* ARABIC ">
        <w:r w:rsidR="00823ED9">
          <w:rPr>
            <w:noProof/>
          </w:rPr>
          <w:t>6</w:t>
        </w:r>
      </w:fldSimple>
      <w:bookmarkEnd w:id="34"/>
      <w:r>
        <w:rPr>
          <w:lang w:val="en-US"/>
        </w:rPr>
        <w:t xml:space="preserve">: Dynamics of </w:t>
      </w:r>
      <w:r w:rsidR="00BB2F23">
        <w:rPr>
          <w:lang w:val="en-US"/>
        </w:rPr>
        <w:t>the o</w:t>
      </w:r>
      <w:r>
        <w:rPr>
          <w:lang w:val="en-US"/>
        </w:rPr>
        <w:t xml:space="preserve">verall </w:t>
      </w:r>
      <w:r w:rsidR="00BB2F23">
        <w:rPr>
          <w:lang w:val="en-US"/>
        </w:rPr>
        <w:t>p</w:t>
      </w:r>
      <w:r>
        <w:rPr>
          <w:lang w:val="en-US"/>
        </w:rPr>
        <w:t xml:space="preserve">opulation </w:t>
      </w:r>
      <w:r w:rsidR="00BB2F23">
        <w:rPr>
          <w:lang w:val="en-US"/>
        </w:rPr>
        <w:t>ER</w:t>
      </w:r>
      <w:r>
        <w:rPr>
          <w:lang w:val="en-US"/>
        </w:rPr>
        <w:t>2</w:t>
      </w:r>
    </w:p>
    <w:p w14:paraId="6880F2FD" w14:textId="77777777" w:rsidR="003758AF" w:rsidRDefault="003758AF" w:rsidP="003758AF">
      <w:r>
        <w:rPr>
          <w:noProof/>
        </w:rPr>
        <w:drawing>
          <wp:inline distT="0" distB="0" distL="0" distR="0" wp14:anchorId="35F6BE76" wp14:editId="55F57395">
            <wp:extent cx="5396865" cy="1885950"/>
            <wp:effectExtent l="0" t="0" r="0" b="0"/>
            <wp:docPr id="1898952076" name="Picture 4"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52076" name="Picture 4" descr="A graph with different colored lines&#10;&#10;AI-generated content may be incorrect."/>
                    <pic:cNvPicPr>
                      <a:picLocks noChangeAspect="1" noChangeArrowheads="1"/>
                    </pic:cNvPicPr>
                  </pic:nvPicPr>
                  <pic:blipFill rotWithShape="1">
                    <a:blip r:embed="rId14">
                      <a:extLst>
                        <a:ext uri="{28A0092B-C50C-407E-A947-70E740481C1C}">
                          <a14:useLocalDpi xmlns:a14="http://schemas.microsoft.com/office/drawing/2010/main" val="0"/>
                        </a:ext>
                      </a:extLst>
                    </a:blip>
                    <a:srcRect b="12647"/>
                    <a:stretch>
                      <a:fillRect/>
                    </a:stretch>
                  </pic:blipFill>
                  <pic:spPr bwMode="auto">
                    <a:xfrm>
                      <a:off x="0" y="0"/>
                      <a:ext cx="5396865" cy="1885950"/>
                    </a:xfrm>
                    <a:prstGeom prst="rect">
                      <a:avLst/>
                    </a:prstGeom>
                    <a:noFill/>
                    <a:ln>
                      <a:noFill/>
                    </a:ln>
                    <a:extLst>
                      <a:ext uri="{53640926-AAD7-44D8-BBD7-CCE9431645EC}">
                        <a14:shadowObscured xmlns:a14="http://schemas.microsoft.com/office/drawing/2010/main"/>
                      </a:ext>
                    </a:extLst>
                  </pic:spPr>
                </pic:pic>
              </a:graphicData>
            </a:graphic>
          </wp:inline>
        </w:drawing>
      </w:r>
    </w:p>
    <w:p w14:paraId="20EBF4A7" w14:textId="2284FBC8" w:rsidR="00B30B36" w:rsidRPr="00B30B36" w:rsidRDefault="00B30B36" w:rsidP="00B30B36">
      <w:pPr>
        <w:rPr>
          <w:lang w:val="en-US"/>
        </w:rPr>
      </w:pPr>
      <w:r w:rsidRPr="00B30B36">
        <w:rPr>
          <w:lang w:val="en-US"/>
        </w:rPr>
        <w:t xml:space="preserve">Comparing these trends highlights a significant shift in the landscape of multidimensional extremism over time. In the first two waves, the </w:t>
      </w:r>
      <w:r w:rsidR="009D201A">
        <w:rPr>
          <w:lang w:val="en-US"/>
        </w:rPr>
        <w:t>r</w:t>
      </w:r>
      <w:r w:rsidRPr="00B30B36">
        <w:rPr>
          <w:lang w:val="en-US"/>
        </w:rPr>
        <w:t xml:space="preserve">ight was significantly more likely to be extreme in multiple dimensions than the </w:t>
      </w:r>
      <w:r w:rsidR="00BB2F23">
        <w:rPr>
          <w:lang w:val="en-US"/>
        </w:rPr>
        <w:t>l</w:t>
      </w:r>
      <w:r w:rsidRPr="00B30B36">
        <w:rPr>
          <w:lang w:val="en-US"/>
        </w:rPr>
        <w:t xml:space="preserve">eft and </w:t>
      </w:r>
      <w:r w:rsidR="00BB2F23">
        <w:rPr>
          <w:lang w:val="en-US"/>
        </w:rPr>
        <w:t>the c</w:t>
      </w:r>
      <w:r w:rsidRPr="00B30B36">
        <w:rPr>
          <w:lang w:val="en-US"/>
        </w:rPr>
        <w:t xml:space="preserve">enter. However, by the </w:t>
      </w:r>
      <w:r w:rsidR="00BB2F23">
        <w:rPr>
          <w:lang w:val="en-US"/>
        </w:rPr>
        <w:t>f</w:t>
      </w:r>
      <w:r w:rsidRPr="00B30B36">
        <w:rPr>
          <w:lang w:val="en-US"/>
        </w:rPr>
        <w:t xml:space="preserve">ourth wave, the </w:t>
      </w:r>
      <w:r w:rsidR="009D201A">
        <w:rPr>
          <w:lang w:val="en-US"/>
        </w:rPr>
        <w:t>l</w:t>
      </w:r>
      <w:r w:rsidRPr="00B30B36">
        <w:rPr>
          <w:lang w:val="en-US"/>
        </w:rPr>
        <w:t>eft (16</w:t>
      </w:r>
      <w:r>
        <w:rPr>
          <w:lang w:val="en-US"/>
        </w:rPr>
        <w:t>%</w:t>
      </w:r>
      <w:r w:rsidRPr="00B30B36">
        <w:rPr>
          <w:lang w:val="en-US"/>
        </w:rPr>
        <w:t xml:space="preserve">) surpassed the </w:t>
      </w:r>
      <w:r w:rsidR="009D201A">
        <w:rPr>
          <w:lang w:val="en-US"/>
        </w:rPr>
        <w:t>r</w:t>
      </w:r>
      <w:r w:rsidRPr="00B30B36">
        <w:rPr>
          <w:lang w:val="en-US"/>
        </w:rPr>
        <w:t>ight (14</w:t>
      </w:r>
      <w:r>
        <w:rPr>
          <w:lang w:val="en-US"/>
        </w:rPr>
        <w:t>%</w:t>
      </w:r>
      <w:r w:rsidRPr="00B30B36">
        <w:rPr>
          <w:lang w:val="en-US"/>
        </w:rPr>
        <w:t xml:space="preserve">) and maintained that lead through the end of the study. The </w:t>
      </w:r>
      <w:r w:rsidR="009D201A">
        <w:rPr>
          <w:lang w:val="en-US"/>
        </w:rPr>
        <w:t>c</w:t>
      </w:r>
      <w:r w:rsidRPr="00B30B36">
        <w:rPr>
          <w:lang w:val="en-US"/>
        </w:rPr>
        <w:t>enter</w:t>
      </w:r>
      <w:r w:rsidR="005A61E4">
        <w:rPr>
          <w:lang w:val="en-US"/>
        </w:rPr>
        <w:t>'</w:t>
      </w:r>
      <w:r w:rsidRPr="00B30B36">
        <w:rPr>
          <w:lang w:val="en-US"/>
        </w:rPr>
        <w:t xml:space="preserve">s dramatic increase from the </w:t>
      </w:r>
      <w:r w:rsidR="000E6B75">
        <w:rPr>
          <w:lang w:val="en-US"/>
        </w:rPr>
        <w:t>t</w:t>
      </w:r>
      <w:r w:rsidRPr="00B30B36">
        <w:rPr>
          <w:lang w:val="en-US"/>
        </w:rPr>
        <w:t>hird wave (3</w:t>
      </w:r>
      <w:r>
        <w:rPr>
          <w:lang w:val="en-US"/>
        </w:rPr>
        <w:t>%</w:t>
      </w:r>
      <w:r w:rsidRPr="00B30B36">
        <w:rPr>
          <w:lang w:val="en-US"/>
        </w:rPr>
        <w:t xml:space="preserve">) to the </w:t>
      </w:r>
      <w:r w:rsidR="000E6B75">
        <w:rPr>
          <w:lang w:val="en-US"/>
        </w:rPr>
        <w:t>f</w:t>
      </w:r>
      <w:r w:rsidRPr="00B30B36">
        <w:rPr>
          <w:lang w:val="en-US"/>
        </w:rPr>
        <w:t>ourth wave (10</w:t>
      </w:r>
      <w:r>
        <w:rPr>
          <w:lang w:val="en-US"/>
        </w:rPr>
        <w:t>%</w:t>
      </w:r>
      <w:r w:rsidRPr="00B30B36">
        <w:rPr>
          <w:lang w:val="en-US"/>
        </w:rPr>
        <w:t xml:space="preserve">) suggests that specific constitutional and political crises, </w:t>
      </w:r>
      <w:r w:rsidR="00BC3F3A">
        <w:rPr>
          <w:lang w:val="en-US"/>
        </w:rPr>
        <w:t xml:space="preserve">such as the Gallant </w:t>
      </w:r>
      <w:r w:rsidR="000E6B75">
        <w:rPr>
          <w:lang w:val="en-US"/>
        </w:rPr>
        <w:t>d</w:t>
      </w:r>
      <w:r w:rsidR="00BC3F3A">
        <w:rPr>
          <w:lang w:val="en-US"/>
        </w:rPr>
        <w:t>ismissal, acted as powerful catalysts for multidimensional</w:t>
      </w:r>
      <w:r w:rsidRPr="00B30B36">
        <w:rPr>
          <w:lang w:val="en-US"/>
        </w:rPr>
        <w:t xml:space="preserve"> radicalization among non-right-wing citizens. By the </w:t>
      </w:r>
      <w:r w:rsidR="000E6B75">
        <w:rPr>
          <w:lang w:val="en-US"/>
        </w:rPr>
        <w:t>s</w:t>
      </w:r>
      <w:r w:rsidRPr="00B30B36">
        <w:rPr>
          <w:lang w:val="en-US"/>
        </w:rPr>
        <w:t xml:space="preserve">ixth wave, the </w:t>
      </w:r>
      <w:r w:rsidR="000E6B75">
        <w:rPr>
          <w:lang w:val="en-US"/>
        </w:rPr>
        <w:t>l</w:t>
      </w:r>
      <w:r w:rsidRPr="00B30B36">
        <w:rPr>
          <w:lang w:val="en-US"/>
        </w:rPr>
        <w:t>eft (1</w:t>
      </w:r>
      <w:r>
        <w:rPr>
          <w:lang w:val="en-US"/>
        </w:rPr>
        <w:t>4%</w:t>
      </w:r>
      <w:r w:rsidRPr="00B30B36">
        <w:rPr>
          <w:lang w:val="en-US"/>
        </w:rPr>
        <w:t xml:space="preserve">) and the </w:t>
      </w:r>
      <w:r w:rsidR="000E6B75">
        <w:rPr>
          <w:lang w:val="en-US"/>
        </w:rPr>
        <w:t>r</w:t>
      </w:r>
      <w:r w:rsidRPr="00B30B36">
        <w:rPr>
          <w:lang w:val="en-US"/>
        </w:rPr>
        <w:t>ight (11</w:t>
      </w:r>
      <w:r>
        <w:rPr>
          <w:lang w:val="en-US"/>
        </w:rPr>
        <w:t>%</w:t>
      </w:r>
      <w:r w:rsidRPr="00B30B36">
        <w:rPr>
          <w:lang w:val="en-US"/>
        </w:rPr>
        <w:t xml:space="preserve">) have moved closer together in their ER2 scores, though they arrived </w:t>
      </w:r>
      <w:r w:rsidR="003758AF">
        <w:rPr>
          <w:lang w:val="en-US"/>
        </w:rPr>
        <w:t>at those scores</w:t>
      </w:r>
      <w:r w:rsidRPr="00B30B36">
        <w:rPr>
          <w:lang w:val="en-US"/>
        </w:rPr>
        <w:t xml:space="preserve"> from opposite directions.</w:t>
      </w:r>
    </w:p>
    <w:bookmarkEnd w:id="32"/>
    <w:p w14:paraId="4964A9E1" w14:textId="77777777" w:rsidR="00A30B3B" w:rsidRPr="00E834F1" w:rsidRDefault="00A30B3B" w:rsidP="00E834F1">
      <w:pPr>
        <w:pStyle w:val="Heading2"/>
      </w:pPr>
      <w:r w:rsidRPr="00E834F1">
        <w:t>Characteristics of the Extremist Population</w:t>
      </w:r>
    </w:p>
    <w:p w14:paraId="232123BC" w14:textId="68D1CD9F" w:rsidR="00A30B3B" w:rsidRPr="00E834F1" w:rsidRDefault="009549FE" w:rsidP="00DC2F34">
      <w:pPr>
        <w:pStyle w:val="Paragraph"/>
      </w:pPr>
      <w:r w:rsidRPr="00E834F1">
        <w:t>The research examined the</w:t>
      </w:r>
      <w:r w:rsidR="00A30B3B" w:rsidRPr="00E834F1">
        <w:rPr>
          <w:lang w:val="en-US"/>
        </w:rPr>
        <w:t xml:space="preserve"> characteristics</w:t>
      </w:r>
      <w:r w:rsidRPr="00E834F1">
        <w:rPr>
          <w:lang w:val="en-US"/>
        </w:rPr>
        <w:t xml:space="preserve"> (political orientation, outgroup, gender, and age)</w:t>
      </w:r>
      <w:r w:rsidR="00A30B3B" w:rsidRPr="00E834F1">
        <w:rPr>
          <w:lang w:val="en-US"/>
        </w:rPr>
        <w:t xml:space="preserve"> of the more extremist population group, which had at least two dimensions with scores above the extremism threshold (EP). </w:t>
      </w:r>
      <w:r w:rsidR="00A30B3B" w:rsidRPr="00E834F1">
        <w:t xml:space="preserve">The most striking trend is the shift in the political identity of ER2 extremists. In the first three waves, the right-wing heavily dominates this group, peaking at 82.27% in the second wave. However, starting with the </w:t>
      </w:r>
      <w:r w:rsidR="005A61E4">
        <w:t>j</w:t>
      </w:r>
      <w:r w:rsidR="00A30B3B" w:rsidRPr="00E834F1">
        <w:t xml:space="preserve">udicial </w:t>
      </w:r>
      <w:r w:rsidR="005A61E4">
        <w:t>r</w:t>
      </w:r>
      <w:r w:rsidR="00A30B3B" w:rsidRPr="00E834F1">
        <w:t xml:space="preserve">eform (Wave 4), this dominance drops sharply to 58.42% and stays below 60% thereafter. Simultaneously, the left-wing presence in the ER2 group nearly doubles, rising from 10.45% to a peak of 22.89% by the fifth wave. This suggests that constitutional </w:t>
      </w:r>
      <w:r w:rsidR="00A30B3B" w:rsidRPr="00E834F1">
        <w:lastRenderedPageBreak/>
        <w:t xml:space="preserve">crises </w:t>
      </w:r>
      <w:r w:rsidR="005A61E4">
        <w:t>"</w:t>
      </w:r>
      <w:r w:rsidR="00A30B3B" w:rsidRPr="00E834F1">
        <w:t>recruit</w:t>
      </w:r>
      <w:r w:rsidR="005A61E4">
        <w:t>"</w:t>
      </w:r>
      <w:r w:rsidR="00A30B3B" w:rsidRPr="00E834F1">
        <w:t xml:space="preserve"> individuals from the left and center into multidimensional extremism, making the extreme tail more politically diverse over time.</w:t>
      </w:r>
    </w:p>
    <w:p w14:paraId="689F2AB2" w14:textId="06CC7236" w:rsidR="00A30B3B" w:rsidRPr="00E834F1" w:rsidRDefault="00A30B3B" w:rsidP="00A30B3B">
      <w:pPr>
        <w:pStyle w:val="Newparagraph"/>
      </w:pPr>
      <w:r w:rsidRPr="00E834F1">
        <w:t>Intolerance toward Israeli Arabs within the ER2 population shows a clear reactive pattern to security vs. political threats. In the second wave (</w:t>
      </w:r>
      <w:r w:rsidR="005A61E4">
        <w:t>i</w:t>
      </w:r>
      <w:r w:rsidRPr="00E834F1">
        <w:t xml:space="preserve">nland </w:t>
      </w:r>
      <w:r w:rsidR="005A61E4">
        <w:t>t</w:t>
      </w:r>
      <w:r w:rsidRPr="00E834F1">
        <w:t xml:space="preserve">error), over half </w:t>
      </w:r>
      <w:r w:rsidR="000F71DF" w:rsidRPr="00E834F1">
        <w:t xml:space="preserve">(52.27%) </w:t>
      </w:r>
      <w:r w:rsidRPr="00E834F1">
        <w:t xml:space="preserve">of the </w:t>
      </w:r>
      <w:r w:rsidR="000F71DF">
        <w:t xml:space="preserve">ER2 </w:t>
      </w:r>
      <w:r w:rsidRPr="00E834F1">
        <w:t>population</w:t>
      </w:r>
      <w:r w:rsidR="000F71DF">
        <w:t xml:space="preserve"> </w:t>
      </w:r>
      <w:r w:rsidRPr="00E834F1">
        <w:t>identified Israeli Arabs as their least-liked group</w:t>
      </w:r>
      <w:r w:rsidR="000F71DF">
        <w:t>. In comparison, only 33.62% of the general population shared this specific outgroup preference.</w:t>
      </w:r>
      <w:r w:rsidRPr="00E834F1">
        <w:t xml:space="preserve"> This figure dropped significantly during the </w:t>
      </w:r>
      <w:r w:rsidR="005A61E4">
        <w:t>j</w:t>
      </w:r>
      <w:r w:rsidRPr="00E834F1">
        <w:t xml:space="preserve">udicial </w:t>
      </w:r>
      <w:r w:rsidR="005A61E4">
        <w:t>r</w:t>
      </w:r>
      <w:r w:rsidRPr="00E834F1">
        <w:t xml:space="preserve">eform and Gallant </w:t>
      </w:r>
      <w:r w:rsidR="000E6B75">
        <w:t>d</w:t>
      </w:r>
      <w:r w:rsidRPr="00E834F1">
        <w:t xml:space="preserve">ismissal (Waves 4 and 5) as political outgroups became more salient. However, it surged back to 37.88% following the October 7 </w:t>
      </w:r>
      <w:r w:rsidR="00AC22B3" w:rsidRPr="00E834F1">
        <w:t>w</w:t>
      </w:r>
      <w:r w:rsidRPr="00E834F1">
        <w:t>ar. This highlights how security threats refocus extremist hostility toward ethnic outgroups, while political crises temporarily diffuse that focus.</w:t>
      </w:r>
    </w:p>
    <w:p w14:paraId="44FAB732" w14:textId="0A5AB097" w:rsidR="00A30B3B" w:rsidRPr="00E834F1" w:rsidRDefault="00A30B3B" w:rsidP="00A30B3B">
      <w:pPr>
        <w:pStyle w:val="Newparagraph"/>
      </w:pPr>
      <w:r w:rsidRPr="00E834F1">
        <w:t xml:space="preserve">There is a profound gap between support for violence against the state </w:t>
      </w:r>
      <w:r w:rsidR="00C16BE0" w:rsidRPr="00E834F1">
        <w:t>and</w:t>
      </w:r>
      <w:r w:rsidRPr="00E834F1">
        <w:t xml:space="preserve"> the outgroup. While the ER2 population shows relatively low support for attacking state institutions (peaking at 1.93), their support for violence against their outgroup is extreme, reaching 6.86 in the second wave. Even at its lowest point in the fifth wave (4.46), it remains significantly higher than any other violence metric. This indicates that multidimensional extremism in this context is primarily </w:t>
      </w:r>
      <w:r w:rsidR="005A61E4">
        <w:t>"</w:t>
      </w:r>
      <w:r w:rsidRPr="00E834F1">
        <w:t>horizontal</w:t>
      </w:r>
      <w:r w:rsidR="005A61E4">
        <w:t>"</w:t>
      </w:r>
      <w:r w:rsidRPr="00E834F1">
        <w:t xml:space="preserve"> (</w:t>
      </w:r>
      <w:r w:rsidR="00AC22B3" w:rsidRPr="00E834F1">
        <w:t xml:space="preserve">targeting different social groups) rather than </w:t>
      </w:r>
      <w:r w:rsidR="005A61E4">
        <w:t>"</w:t>
      </w:r>
      <w:r w:rsidR="00AC22B3" w:rsidRPr="00E834F1">
        <w:t>vertical</w:t>
      </w:r>
      <w:r w:rsidR="005A61E4">
        <w:t>"</w:t>
      </w:r>
      <w:r w:rsidR="00AC22B3" w:rsidRPr="00E834F1">
        <w:t xml:space="preserve"> (targeting</w:t>
      </w:r>
      <w:r w:rsidRPr="00E834F1">
        <w:t xml:space="preserve"> the state regime).</w:t>
      </w:r>
    </w:p>
    <w:p w14:paraId="654B256A" w14:textId="61709654" w:rsidR="00A30B3B" w:rsidRDefault="00A30B3B" w:rsidP="00A30B3B">
      <w:pPr>
        <w:pStyle w:val="Newparagraph"/>
      </w:pPr>
      <w:r w:rsidRPr="00E834F1">
        <w:t>The gender distribution within the ER2 group remains consistently skewed toward men when compared to the general population. While the overall population is split evenly at approximately 50%, the ER2 group is heavily male-dominated, reaching 66.04% in the third wave. Even as the political orientation of this group shifted and the</w:t>
      </w:r>
      <w:r w:rsidRPr="00A30B3B">
        <w:t xml:space="preserve"> total number of extremists </w:t>
      </w:r>
      <w:r>
        <w:t>fluctuated, the male majority remained robust, never falling</w:t>
      </w:r>
      <w:r w:rsidRPr="00A30B3B">
        <w:t xml:space="preserve"> below 56%. </w:t>
      </w:r>
    </w:p>
    <w:p w14:paraId="70791F42" w14:textId="45E5E2CE" w:rsidR="00A30B3B" w:rsidRPr="00C73660" w:rsidRDefault="00A30B3B" w:rsidP="00A30B3B">
      <w:pPr>
        <w:pStyle w:val="Newparagraph"/>
        <w:rPr>
          <w:lang w:val="en-US"/>
        </w:rPr>
      </w:pPr>
      <w:r>
        <w:lastRenderedPageBreak/>
        <w:t xml:space="preserve">Finally, the age of the ER2 population reveals a significant shift in the demographic profile of multidimensional extremists as destabilizing events progressed. In the initial waves, the extreme tail was younger than the general population, with a median age of 36.00 in the first wave. However, the median age increased steadily during the later periods, jumping from 37.50 during the fall of the government to 43.00 during the Judicial Reform. This demographic aging peaked after the October 7th </w:t>
      </w:r>
      <w:r w:rsidR="005A61E4">
        <w:t>w</w:t>
      </w:r>
      <w:r>
        <w:t>ar, where the median age of ER2 extremists reached 49.00, surpassing the general population median of 47.00. These findings suggest that while initial extremism may have been more prevalent among younger individuals, later constitutional crises and existential security threats radicalized older populations.</w:t>
      </w:r>
    </w:p>
    <w:p w14:paraId="1FA1C20C" w14:textId="469F008E" w:rsidR="007B3779" w:rsidRDefault="007B3779" w:rsidP="007B3779">
      <w:pPr>
        <w:pStyle w:val="Heading2"/>
      </w:pPr>
      <w:r>
        <w:t>Robustness</w:t>
      </w:r>
      <w:r w:rsidR="00F35F2C">
        <w:t xml:space="preserve"> </w:t>
      </w:r>
      <w:r w:rsidR="00DD705F">
        <w:t>Tests</w:t>
      </w:r>
    </w:p>
    <w:p w14:paraId="5E46C082" w14:textId="1885D9D5" w:rsidR="009E1884" w:rsidRDefault="009549FE" w:rsidP="00162638">
      <w:pPr>
        <w:pStyle w:val="Paragraph"/>
      </w:pPr>
      <w:r>
        <w:t xml:space="preserve">The </w:t>
      </w:r>
      <w:r w:rsidR="00F201FA">
        <w:t xml:space="preserve">primary </w:t>
      </w:r>
      <w:r>
        <w:t>robustness test</w:t>
      </w:r>
      <w:r w:rsidR="003E3CE0">
        <w:rPr>
          <w:rStyle w:val="FootnoteReference"/>
        </w:rPr>
        <w:footnoteReference w:id="8"/>
      </w:r>
      <w:r>
        <w:t xml:space="preserve"> </w:t>
      </w:r>
      <w:r w:rsidR="00F201FA">
        <w:t>evaluates</w:t>
      </w:r>
      <w:r>
        <w:t xml:space="preserve"> </w:t>
      </w:r>
      <w:r w:rsidR="009E1884">
        <w:t xml:space="preserve">the </w:t>
      </w:r>
      <w:r w:rsidR="00C73660">
        <w:t>gauge</w:t>
      </w:r>
      <w:r w:rsidR="005A61E4">
        <w:t>'</w:t>
      </w:r>
      <w:r w:rsidR="00C73660">
        <w:t xml:space="preserve">s ability to identify </w:t>
      </w:r>
      <w:r w:rsidR="00DD705F">
        <w:t>the distribution tail of political extremism</w:t>
      </w:r>
      <w:r w:rsidR="00162638">
        <w:t xml:space="preserve">. The test uses a Latent Profile Analysis (LPA) to identify various extremism profiles within the population. </w:t>
      </w:r>
      <w:r w:rsidR="00595251">
        <w:rPr>
          <w:lang w:val="en-US"/>
        </w:rPr>
        <w:t xml:space="preserve">A strong association between </w:t>
      </w:r>
      <w:r w:rsidR="00162638">
        <w:rPr>
          <w:lang w:val="en-US"/>
        </w:rPr>
        <w:t xml:space="preserve">specific </w:t>
      </w:r>
      <w:r w:rsidR="00595251">
        <w:rPr>
          <w:lang w:val="en-US"/>
        </w:rPr>
        <w:t xml:space="preserve">extremist profiles and the extremism ranking indices (ER1, ER2, and ER3) will validate the core of the political extremism gauge. </w:t>
      </w:r>
      <w:r w:rsidR="00162638">
        <w:rPr>
          <w:lang w:val="en-US"/>
        </w:rPr>
        <w:t xml:space="preserve">The results of the LPA </w:t>
      </w:r>
      <w:r>
        <w:t>A</w:t>
      </w:r>
      <w:r w:rsidR="00ED64E6">
        <w:t xml:space="preserve">nalysis revealed </w:t>
      </w:r>
      <w:r w:rsidR="00257E76">
        <w:t>three</w:t>
      </w:r>
      <w:r w:rsidR="00ED64E6">
        <w:t xml:space="preserve"> distinct profiles along the dimensions of political extremism, achieving a strong classification quality. </w:t>
      </w:r>
      <w:r w:rsidR="00F35F2C" w:rsidRPr="009E1884">
        <w:t xml:space="preserve">The analysis </w:t>
      </w:r>
      <w:r w:rsidR="00162638">
        <w:t>indicates</w:t>
      </w:r>
      <w:r w:rsidR="00F35F2C" w:rsidRPr="009E1884">
        <w:t xml:space="preserve"> a robust relationship between profile membership and extremist classification. </w:t>
      </w:r>
      <w:r w:rsidR="00162638">
        <w:t xml:space="preserve"> </w:t>
      </w:r>
    </w:p>
    <w:p w14:paraId="2470E5CA" w14:textId="39235DAC" w:rsidR="00F201FA" w:rsidRDefault="00DD705F" w:rsidP="009D201A">
      <w:pPr>
        <w:pStyle w:val="Newparagraph"/>
      </w:pPr>
      <w:r>
        <w:t>A second</w:t>
      </w:r>
      <w:r w:rsidR="00F201FA" w:rsidRPr="00F201FA">
        <w:t xml:space="preserve"> robustness test </w:t>
      </w:r>
      <w:r>
        <w:t xml:space="preserve">addresses the sensitivity of the research results to the boundary definition of </w:t>
      </w:r>
      <w:r w:rsidR="00F201FA">
        <w:t xml:space="preserve">the political orientation variable. </w:t>
      </w:r>
      <w:r w:rsidR="009D201A" w:rsidRPr="009D201A">
        <w:t xml:space="preserve">An alternative configuration (Political Orientation 2) expanded the </w:t>
      </w:r>
      <w:r w:rsidR="005A61E4">
        <w:t>"c</w:t>
      </w:r>
      <w:r w:rsidR="009D201A" w:rsidRPr="009D201A">
        <w:t>enter</w:t>
      </w:r>
      <w:r w:rsidR="005A61E4">
        <w:t>"</w:t>
      </w:r>
      <w:r w:rsidR="009D201A" w:rsidRPr="009D201A">
        <w:t xml:space="preserve"> category to include values 3-5, while narrowing the </w:t>
      </w:r>
      <w:r w:rsidR="005A61E4">
        <w:t>"r</w:t>
      </w:r>
      <w:r w:rsidR="009D201A" w:rsidRPr="009D201A">
        <w:t>ight</w:t>
      </w:r>
      <w:r w:rsidR="005A61E4">
        <w:t>"</w:t>
      </w:r>
      <w:r w:rsidR="009D201A" w:rsidRPr="009D201A">
        <w:t xml:space="preserve"> (1–2) and </w:t>
      </w:r>
      <w:r w:rsidR="005A61E4">
        <w:t>"l</w:t>
      </w:r>
      <w:r w:rsidR="009D201A" w:rsidRPr="009D201A">
        <w:t>eft</w:t>
      </w:r>
      <w:r w:rsidR="005A61E4">
        <w:t>"</w:t>
      </w:r>
      <w:r w:rsidR="009D201A" w:rsidRPr="009D201A">
        <w:t xml:space="preserve"> (6–7) categories to represent more distinct ideological poles.</w:t>
      </w:r>
      <w:r w:rsidR="009D201A">
        <w:t xml:space="preserve"> </w:t>
      </w:r>
      <w:r w:rsidR="00F201FA">
        <w:t xml:space="preserve">The results of the robustness analysis largely confirm the stability of </w:t>
      </w:r>
      <w:r w:rsidR="00F201FA">
        <w:lastRenderedPageBreak/>
        <w:t>the original model - the core conclusions remain intact, particularly the heterogeneous response of extremism dimensions to significant external shocks.</w:t>
      </w:r>
    </w:p>
    <w:p w14:paraId="3C2E4E75" w14:textId="7E6AA88E" w:rsidR="001F3AA2" w:rsidRPr="005B1597" w:rsidRDefault="00B25B15" w:rsidP="00B25B15">
      <w:pPr>
        <w:pStyle w:val="Newparagraph"/>
        <w:rPr>
          <w:lang w:val="en-US"/>
        </w:rPr>
      </w:pPr>
      <w:r w:rsidRPr="00B25B15">
        <w:t>The third robustness test ensured that the observed fluctuations in political extremism across the six waves represent genuine reactions to constitutional and security crises rather than artifacts of shifting sample composition.</w:t>
      </w:r>
      <w:r>
        <w:t xml:space="preserve"> </w:t>
      </w:r>
      <w:r w:rsidR="001F3AA2" w:rsidRPr="001F3AA2">
        <w:rPr>
          <w:lang w:val="en-US"/>
        </w:rPr>
        <w:t>We employed two distinct methodological paths:</w:t>
      </w:r>
      <w:r w:rsidR="001F3AA2">
        <w:rPr>
          <w:lang w:val="en-US"/>
        </w:rPr>
        <w:t xml:space="preserve"> (i) </w:t>
      </w:r>
      <w:r w:rsidR="001F3AA2" w:rsidRPr="001F3AA2">
        <w:rPr>
          <w:lang w:val="en-US"/>
        </w:rPr>
        <w:t>Internal Validity Path (Mechanistic Robustness)</w:t>
      </w:r>
      <w:r w:rsidR="00683AB6">
        <w:rPr>
          <w:lang w:val="en-US"/>
        </w:rPr>
        <w:t>,</w:t>
      </w:r>
      <w:r w:rsidR="001F3AA2" w:rsidRPr="001F3AA2">
        <w:rPr>
          <w:lang w:val="en-US"/>
        </w:rPr>
        <w:t xml:space="preserve"> utiliz</w:t>
      </w:r>
      <w:r w:rsidR="001F3AA2">
        <w:rPr>
          <w:lang w:val="en-US"/>
        </w:rPr>
        <w:t>ing</w:t>
      </w:r>
      <w:r w:rsidR="001F3AA2" w:rsidRPr="001F3AA2">
        <w:rPr>
          <w:lang w:val="en-US"/>
        </w:rPr>
        <w:t xml:space="preserve"> an </w:t>
      </w:r>
      <w:r w:rsidR="005A61E4">
        <w:rPr>
          <w:lang w:val="en-US"/>
        </w:rPr>
        <w:t>"</w:t>
      </w:r>
      <w:r w:rsidR="001F3AA2" w:rsidRPr="001F3AA2">
        <w:rPr>
          <w:lang w:val="en-US"/>
        </w:rPr>
        <w:t>Equal Balancing</w:t>
      </w:r>
      <w:r w:rsidR="005A61E4">
        <w:rPr>
          <w:lang w:val="en-US"/>
        </w:rPr>
        <w:t>"</w:t>
      </w:r>
      <w:r w:rsidR="001F3AA2" w:rsidRPr="001F3AA2">
        <w:rPr>
          <w:lang w:val="en-US"/>
        </w:rPr>
        <w:t xml:space="preserve"> approach where the proportions of political groups (</w:t>
      </w:r>
      <w:r w:rsidR="005A61E4">
        <w:rPr>
          <w:lang w:val="en-US"/>
        </w:rPr>
        <w:t>l</w:t>
      </w:r>
      <w:r w:rsidR="001F3AA2" w:rsidRPr="001F3AA2">
        <w:rPr>
          <w:lang w:val="en-US"/>
        </w:rPr>
        <w:t xml:space="preserve">eft, </w:t>
      </w:r>
      <w:r w:rsidR="005A61E4">
        <w:rPr>
          <w:lang w:val="en-US"/>
        </w:rPr>
        <w:t>c</w:t>
      </w:r>
      <w:r w:rsidR="001F3AA2" w:rsidRPr="001F3AA2">
        <w:rPr>
          <w:lang w:val="en-US"/>
        </w:rPr>
        <w:t xml:space="preserve">enter, </w:t>
      </w:r>
      <w:r w:rsidR="005A61E4">
        <w:rPr>
          <w:lang w:val="en-US"/>
        </w:rPr>
        <w:t>r</w:t>
      </w:r>
      <w:r w:rsidR="001F3AA2" w:rsidRPr="001F3AA2">
        <w:rPr>
          <w:lang w:val="en-US"/>
        </w:rPr>
        <w:t xml:space="preserve">ight) were set to be identical (33.3% each) across every wave. </w:t>
      </w:r>
      <w:r w:rsidR="001F3AA2">
        <w:rPr>
          <w:lang w:val="en-US"/>
        </w:rPr>
        <w:t xml:space="preserve">(ii) </w:t>
      </w:r>
      <w:r w:rsidR="001F3AA2" w:rsidRPr="001F3AA2">
        <w:rPr>
          <w:lang w:val="en-US"/>
        </w:rPr>
        <w:t xml:space="preserve">External Validity Path (Population Robustness) </w:t>
      </w:r>
      <w:r w:rsidR="001F3AA2">
        <w:rPr>
          <w:lang w:val="en-US"/>
        </w:rPr>
        <w:t>applying</w:t>
      </w:r>
      <w:r w:rsidR="001F3AA2" w:rsidRPr="001F3AA2">
        <w:rPr>
          <w:lang w:val="en-US"/>
        </w:rPr>
        <w:t xml:space="preserve"> a </w:t>
      </w:r>
      <w:r w:rsidR="005A61E4">
        <w:rPr>
          <w:lang w:val="en-US"/>
        </w:rPr>
        <w:t>"</w:t>
      </w:r>
      <w:r w:rsidR="001F3AA2" w:rsidRPr="001F3AA2">
        <w:rPr>
          <w:lang w:val="en-US"/>
        </w:rPr>
        <w:t>Targeted Balancing</w:t>
      </w:r>
      <w:r w:rsidR="005A61E4">
        <w:rPr>
          <w:lang w:val="en-US"/>
        </w:rPr>
        <w:t>"</w:t>
      </w:r>
      <w:r w:rsidR="001F3AA2" w:rsidRPr="001F3AA2">
        <w:rPr>
          <w:lang w:val="en-US"/>
        </w:rPr>
        <w:t xml:space="preserve"> approach using </w:t>
      </w:r>
      <w:r w:rsidR="001F3AA2">
        <w:t>The Israeli Democracy Index 2024</w:t>
      </w:r>
      <w:r w:rsidR="001F3AA2">
        <w:rPr>
          <w:rStyle w:val="FootnoteReference"/>
        </w:rPr>
        <w:footnoteReference w:id="9"/>
      </w:r>
      <w:r w:rsidR="001F3AA2">
        <w:t xml:space="preserve"> </w:t>
      </w:r>
      <w:r w:rsidR="001F3AA2" w:rsidRPr="001F3AA2">
        <w:rPr>
          <w:lang w:val="en-US"/>
        </w:rPr>
        <w:t xml:space="preserve">(20% </w:t>
      </w:r>
      <w:r w:rsidR="005A61E4">
        <w:rPr>
          <w:lang w:val="en-US"/>
        </w:rPr>
        <w:t>l</w:t>
      </w:r>
      <w:r w:rsidR="001F3AA2" w:rsidRPr="001F3AA2">
        <w:rPr>
          <w:lang w:val="en-US"/>
        </w:rPr>
        <w:t xml:space="preserve">eft, 28% </w:t>
      </w:r>
      <w:r w:rsidR="005A61E4">
        <w:rPr>
          <w:lang w:val="en-US"/>
        </w:rPr>
        <w:t>c</w:t>
      </w:r>
      <w:r w:rsidR="001F3AA2" w:rsidRPr="001F3AA2">
        <w:rPr>
          <w:lang w:val="en-US"/>
        </w:rPr>
        <w:t xml:space="preserve">enter, 52% </w:t>
      </w:r>
      <w:r w:rsidR="005A61E4">
        <w:rPr>
          <w:lang w:val="en-US"/>
        </w:rPr>
        <w:t>r</w:t>
      </w:r>
      <w:r w:rsidR="001F3AA2" w:rsidRPr="001F3AA2">
        <w:rPr>
          <w:lang w:val="en-US"/>
        </w:rPr>
        <w:t xml:space="preserve">ight). </w:t>
      </w:r>
      <w:r w:rsidR="001F3AA2">
        <w:t xml:space="preserve">The results across all three dimensions of extremism, </w:t>
      </w:r>
      <w:r w:rsidR="00E97633">
        <w:t>c</w:t>
      </w:r>
      <w:r w:rsidR="001F3AA2">
        <w:t xml:space="preserve">ognitive, </w:t>
      </w:r>
      <w:r w:rsidR="00E97633">
        <w:t>b</w:t>
      </w:r>
      <w:r w:rsidR="001F3AA2">
        <w:t xml:space="preserve">ehavioral, and </w:t>
      </w:r>
      <w:r w:rsidR="00E97633">
        <w:t>s</w:t>
      </w:r>
      <w:r w:rsidR="001F3AA2">
        <w:t>ocial, indicate high structural stability</w:t>
      </w:r>
      <w:r w:rsidR="005B1597">
        <w:t xml:space="preserve">, confirming that the study findings are not sensitive to sampling fluctuations. </w:t>
      </w:r>
    </w:p>
    <w:p w14:paraId="1AC80430" w14:textId="5F0742A0" w:rsidR="001B2923" w:rsidRDefault="001B2923" w:rsidP="001B2923">
      <w:pPr>
        <w:pStyle w:val="Heading2"/>
      </w:pPr>
      <w:r>
        <w:t>Limitations</w:t>
      </w:r>
    </w:p>
    <w:p w14:paraId="0F25C0CA" w14:textId="77777777" w:rsidR="00B25B15" w:rsidRDefault="00DD705F" w:rsidP="00DD705F">
      <w:pPr>
        <w:pStyle w:val="Paragraph"/>
      </w:pPr>
      <w:r w:rsidRPr="00DD705F">
        <w:t>The study has several limitations. First, it uses a quasi-experimental design based on naturally occurring destabilizing events. This approach provides stronger validity. However, it prevents definitive causal inferences. Potential confounding factors may affect the results. These include concurrent societal changes or media influences. The analysis does not fully account for these factors.</w:t>
      </w:r>
    </w:p>
    <w:p w14:paraId="5C0159DB" w14:textId="552E0FD4" w:rsidR="00BC3F3A" w:rsidRDefault="00806CE7" w:rsidP="00DD705F">
      <w:pPr>
        <w:pStyle w:val="Paragraph"/>
      </w:pPr>
      <w:r>
        <w:t xml:space="preserve">Additionally, the data are derived exclusively from self-reported survey measures among Jewish Israelis, introducing risks of social desirability bias, particularly in responses to sensitive items related to political violence and intolerance. The novel </w:t>
      </w:r>
      <w:r w:rsidR="00D75B85">
        <w:t>p</w:t>
      </w:r>
      <w:r>
        <w:t xml:space="preserve">olitical </w:t>
      </w:r>
      <w:r w:rsidR="00D75B85">
        <w:t>e</w:t>
      </w:r>
      <w:r>
        <w:t xml:space="preserve">xtremism </w:t>
      </w:r>
      <w:r w:rsidR="00D75B85">
        <w:t>g</w:t>
      </w:r>
      <w:r>
        <w:t>auge, although validated through latent profile analysis, remains context-specific to Israel</w:t>
      </w:r>
      <w:r w:rsidR="005A61E4">
        <w:t>'</w:t>
      </w:r>
      <w:r>
        <w:t xml:space="preserve">s political landscape and requires further testing in other democratic settings to </w:t>
      </w:r>
      <w:r>
        <w:lastRenderedPageBreak/>
        <w:t>establish broader applicability. Finally, the study</w:t>
      </w:r>
      <w:r w:rsidR="005A61E4">
        <w:t>'</w:t>
      </w:r>
      <w:r>
        <w:t xml:space="preserve">s focus on short-term effects across six waves spanning 2021 to 2024 may overlook longer-term extremism trajectories or cumulative impacts of the events. </w:t>
      </w:r>
    </w:p>
    <w:p w14:paraId="54974E40" w14:textId="534C92DA" w:rsidR="006C079F" w:rsidRDefault="006C079F" w:rsidP="004074B0">
      <w:pPr>
        <w:pStyle w:val="Heading1"/>
      </w:pPr>
      <w:r>
        <w:t>Discussion</w:t>
      </w:r>
    </w:p>
    <w:p w14:paraId="29C872EC" w14:textId="75B4432F" w:rsidR="00B25B15" w:rsidRDefault="00EF6EBC" w:rsidP="00B25B15">
      <w:pPr>
        <w:pStyle w:val="Paragraph"/>
      </w:pPr>
      <w:r>
        <w:t xml:space="preserve">The </w:t>
      </w:r>
      <w:r w:rsidR="00A04217">
        <w:t>results</w:t>
      </w:r>
      <w:r>
        <w:t xml:space="preserve"> demonstrate that extremism is not a static trait but a reactive phenomenon that shifts in nature and intensity </w:t>
      </w:r>
      <w:r w:rsidR="00A04217">
        <w:t>in correlation with</w:t>
      </w:r>
      <w:r>
        <w:t xml:space="preserve"> socio-political </w:t>
      </w:r>
      <w:r w:rsidR="00A04217">
        <w:t>destabilizing events</w:t>
      </w:r>
      <w:r>
        <w:t xml:space="preserve">. While the </w:t>
      </w:r>
      <w:r w:rsidR="009D201A">
        <w:t>r</w:t>
      </w:r>
      <w:r>
        <w:t xml:space="preserve">ight initially showed higher levels of multidimensional extremism, the domestic constitutional crises—specifically the </w:t>
      </w:r>
      <w:r w:rsidR="005A61E4">
        <w:t>j</w:t>
      </w:r>
      <w:r>
        <w:t xml:space="preserve">udicial </w:t>
      </w:r>
      <w:r w:rsidR="005A61E4">
        <w:t>r</w:t>
      </w:r>
      <w:r>
        <w:t xml:space="preserve">eform and the Gallant </w:t>
      </w:r>
      <w:r w:rsidR="005A61E4">
        <w:t>d</w:t>
      </w:r>
      <w:r>
        <w:t xml:space="preserve">ismissal—shifted the </w:t>
      </w:r>
      <w:r w:rsidR="005A61E4">
        <w:t>"</w:t>
      </w:r>
      <w:r>
        <w:t>extremism burden</w:t>
      </w:r>
      <w:r w:rsidR="005A61E4">
        <w:t>"</w:t>
      </w:r>
      <w:r>
        <w:t xml:space="preserve"> toward the </w:t>
      </w:r>
      <w:r w:rsidR="005A61E4">
        <w:t>l</w:t>
      </w:r>
      <w:r>
        <w:t xml:space="preserve">eft and </w:t>
      </w:r>
      <w:r w:rsidR="005A61E4">
        <w:t>c</w:t>
      </w:r>
      <w:r>
        <w:t xml:space="preserve">enter. </w:t>
      </w:r>
      <w:r w:rsidR="00B25B15" w:rsidRPr="00B25B15">
        <w:t xml:space="preserve">By the </w:t>
      </w:r>
      <w:r w:rsidR="00D75B85">
        <w:t>s</w:t>
      </w:r>
      <w:r w:rsidR="00B25B15" w:rsidRPr="00B25B15">
        <w:t xml:space="preserve">ixth wave (October 7 </w:t>
      </w:r>
      <w:r w:rsidR="00D75B85">
        <w:t>w</w:t>
      </w:r>
      <w:r w:rsidR="00B25B15" w:rsidRPr="00B25B15">
        <w:t xml:space="preserve">ar), a notable convergence occurred: the </w:t>
      </w:r>
      <w:r w:rsidR="00D75B85">
        <w:t>l</w:t>
      </w:r>
      <w:r w:rsidR="00B25B15" w:rsidRPr="00B25B15">
        <w:t xml:space="preserve">eft and </w:t>
      </w:r>
      <w:r w:rsidR="00D75B85">
        <w:t>c</w:t>
      </w:r>
      <w:r w:rsidR="00B25B15" w:rsidRPr="00B25B15">
        <w:t>enter reached their highest levels of behavioral extremism (support for violence), while the right</w:t>
      </w:r>
      <w:r w:rsidR="005A61E4">
        <w:t>'</w:t>
      </w:r>
      <w:r w:rsidR="00B25B15" w:rsidRPr="00B25B15">
        <w:t xml:space="preserve">s extremism across most indices trended downward. The divergent patterns suggest that the perceived threat to democratic institutions and national security catalyzed left-wing radicalization. At the same time, the right experienced relative moderation, or </w:t>
      </w:r>
      <w:r w:rsidR="005A61E4">
        <w:t>"</w:t>
      </w:r>
      <w:r w:rsidR="00B25B15" w:rsidRPr="00B25B15">
        <w:t>cooling,</w:t>
      </w:r>
      <w:r w:rsidR="005A61E4">
        <w:t>"</w:t>
      </w:r>
      <w:r w:rsidR="00B25B15" w:rsidRPr="00B25B15">
        <w:t xml:space="preserve"> in its extremist tail during the transition from opposition to government.</w:t>
      </w:r>
      <w:r w:rsidR="00B25B15">
        <w:t xml:space="preserve"> </w:t>
      </w:r>
    </w:p>
    <w:p w14:paraId="2BAA73CA" w14:textId="2F21237A" w:rsidR="003758AF" w:rsidRDefault="00B25B15" w:rsidP="002E6597">
      <w:pPr>
        <w:pStyle w:val="Newparagraph"/>
      </w:pPr>
      <w:r>
        <w:t>The political status of this group and the emergence of a unifying national crisis can explain t</w:t>
      </w:r>
      <w:r w:rsidR="003758AF">
        <w:t xml:space="preserve">he observed moderation of right-wing extremism during the later waves of the study </w:t>
      </w:r>
      <w:r w:rsidR="003758AF">
        <w:fldChar w:fldCharType="begin"/>
      </w:r>
      <w:r w:rsidR="002E6597">
        <w:instrText xml:space="preserve"> ADDIN ZOTERO_ITEM CSL_CITATION {"citationID":"M2a8aNeE","properties":{"formattedCitation":"(Cavari &amp; Efrat, 2026)","plainCitation":"(Cavari &amp; Efrat, 2026)","noteIndex":0},"citationItems":[{"id":2322,"uris":["http://zotero.org/users/11665025/items/UMXWICF6"],"itemData":{"id":2322,"type":"article-journal","abstract":"This study examines public priorities during crises in a polarized political environment and sheds light on the conditions under which crises and political polarization unite or fragment public attention. Using longitudinal cross-sectional data collected before and after two crises in Israel in 2023–2024 – an internal constitutional crisis and an external security crisis – we assess shifts in overall and partisan public attention. Our findings reveal that crises significantly reorient public priorities: the constitutional crisis heightened the focus on government operations and the cultural identity of the country, while the security crisis shifted attention to defense and international affairs. However, only the latter crisis reduced the diversity of public attention. The results underscore a partisan dimension: the constitutional crisis amplified divides in priorities between pro- and anti-government camps, while the security crisis mitigated these divides through a unifying rally of attention. Trust in government emerged as a key mediator in this rally effect. These findings contribute to the agenda-setting literature by highlighting the differential impacts of crises on public priorities and demonstrating the interplay of polarization, trust, and type of crisis.","container-title":"Journal of European Public Policy","DOI":"10.1080/13501763.2025.2552418","ISSN":"1350-1763","issue":"1","note":"_eprint: https://doi.org/10.1080/13501763.2025.2552418","page":"159-188","publisher":"Routledge","source":"Taylor and Francis+NEJM","title":"Polarized public agenda in times of crisis","volume":"33","author":[{"family":"Cavari","given":"Amnon"},{"family":"Efrat","given":"Asif"}],"issued":{"date-parts":[["2026",1,2]]}}}],"schema":"https://github.com/citation-style-language/schema/raw/master/csl-citation.json"} </w:instrText>
      </w:r>
      <w:r w:rsidR="003758AF">
        <w:fldChar w:fldCharType="separate"/>
      </w:r>
      <w:r w:rsidR="002E6597" w:rsidRPr="002E6597">
        <w:t>(Cavari &amp; Efrat, 2026)</w:t>
      </w:r>
      <w:r w:rsidR="003758AF">
        <w:fldChar w:fldCharType="end"/>
      </w:r>
      <w:r w:rsidR="003758AF">
        <w:t>. As the right-wing transitioned from opposition to the governing coalition, the institutionalization of their political goals through state-led initiatives, such as the Judicial Reform, likely reduced the perceived necessity for non</w:t>
      </w:r>
      <w:r w:rsidR="005A61E4">
        <w:t>-</w:t>
      </w:r>
      <w:r w:rsidR="003758AF">
        <w:t xml:space="preserve">normative or extremist tactics. Furthermore, the onset of the October 7 </w:t>
      </w:r>
      <w:r w:rsidR="005A61E4">
        <w:t>w</w:t>
      </w:r>
      <w:r w:rsidR="003758AF">
        <w:t xml:space="preserve">ar triggered a </w:t>
      </w:r>
      <w:r w:rsidR="005A61E4">
        <w:t>"</w:t>
      </w:r>
      <w:r w:rsidR="003758AF">
        <w:t xml:space="preserve">Rally </w:t>
      </w:r>
      <w:r w:rsidR="005A61E4">
        <w:t>'</w:t>
      </w:r>
      <w:r w:rsidR="003758AF">
        <w:t>round the flag</w:t>
      </w:r>
      <w:r w:rsidR="005A61E4">
        <w:t>"</w:t>
      </w:r>
      <w:r w:rsidR="003758AF">
        <w:t xml:space="preserve"> effect, a phenomenon where existential security threats temporarily suppress domestic ideological friction in favor of national cohesion.</w:t>
      </w:r>
    </w:p>
    <w:p w14:paraId="2410E66D" w14:textId="77BDCA8E" w:rsidR="00FE2DD0" w:rsidRPr="00FE2DD0" w:rsidRDefault="00FE2DD0" w:rsidP="002E6597">
      <w:pPr>
        <w:pStyle w:val="Newparagraph"/>
        <w:rPr>
          <w:lang w:val="en-US"/>
        </w:rPr>
      </w:pPr>
      <w:r w:rsidRPr="00FE2DD0">
        <w:rPr>
          <w:lang w:val="en-US"/>
        </w:rPr>
        <w:t xml:space="preserve">The finding that the political center surpassed the right-wing in behavioral extremism by the final wave suggests that the </w:t>
      </w:r>
      <w:r w:rsidR="009D201A">
        <w:rPr>
          <w:lang w:val="en-US"/>
        </w:rPr>
        <w:t>c</w:t>
      </w:r>
      <w:r w:rsidRPr="00FE2DD0">
        <w:rPr>
          <w:lang w:val="en-US"/>
        </w:rPr>
        <w:t>enter is not immune to radicalization</w:t>
      </w:r>
      <w:r w:rsidR="00DD3604">
        <w:rPr>
          <w:lang w:val="en-US"/>
        </w:rPr>
        <w:t>.</w:t>
      </w:r>
      <w:r w:rsidRPr="00FE2DD0">
        <w:rPr>
          <w:lang w:val="en-US"/>
        </w:rPr>
        <w:t xml:space="preserve"> </w:t>
      </w:r>
      <w:r w:rsidRPr="00FE2DD0">
        <w:rPr>
          <w:lang w:val="en-US"/>
        </w:rPr>
        <w:lastRenderedPageBreak/>
        <w:t xml:space="preserve">Scholars describe this process as mutual radicalization, where extreme actions or perceived threats from one political faction fuel increasingly radical responses from opposing or moderate groups </w:t>
      </w:r>
      <w:r w:rsidR="00DD3604">
        <w:rPr>
          <w:lang w:val="en-US"/>
        </w:rPr>
        <w:fldChar w:fldCharType="begin"/>
      </w:r>
      <w:r w:rsidR="00196E59">
        <w:rPr>
          <w:lang w:val="en-US"/>
        </w:rPr>
        <w:instrText xml:space="preserve"> ADDIN ZOTERO_ITEM CSL_CITATION {"citationID":"nFw9LY3H","properties":{"formattedCitation":"(NordForsk, 2024; Pfundmair et al., 2024)","plainCitation":"(NordForsk, 2024; Pfundmair et al., 2024)","noteIndex":0},"citationItems":[{"id":2325,"uris":["http://zotero.org/users/11665025/items/UWGXV3P6"],"itemData":{"id":2325,"type":"webpage","abstract":"Hate speech and actions break down social cohesion, increase tensions between groups and create enemy images. Researchers suggest how the Nordic countries can avoid further polarisation.","container-title":"NordForsk","language":"en","title":"Polarisation and radicalisation threaten our democratic society","URL":"https://www.nordforsk.org/news/polarisation-and-radicalisation-threaten-our-democratic-society","author":[{"literal":"NordForsk"}],"accessed":{"date-parts":[["2025",12,31]]},"issued":{"date-parts":[["2024",5,22]]}}},{"id":2328,"uris":["http://zotero.org/users/11665025/items/A3J6IT5W"],"itemData":{"id":2328,"type":"article-journal","abstract":"In recent years, researchers of various disciplines have developed many theories to understand the radicalization process. One key factor that may promote radicalization is social exclusion, the state of being kept apart from others. Indeed, experimental studies have provided initial evidence for a relation between exclusion and radicalism. The current review outlines and builds upon these research programs, arguing that social exclusion has been shown (a) to increase the willingness to fight-and-die, (b) to promote the approval for extreme, even violent, political parties and actions, and (c) to push the willingness to engage in illegal and violent action for a political cause. We close with an agenda for future research and critically discuss implications of this work for social policy.","container-title":"Journal of Social Issues","DOI":"10.1111/josi.12520","ISSN":"1540-4560","issue":"1","language":"en","license":"© 2022 The Authors. Journal of Social Issues published by Wiley Periodicals LLC on behalf of Society for the Psychological Study of Social Issues.","note":"_eprint: https://spssi.onlinelibrary.wiley.com/doi/pdf/10.1111/josi.12520","page":"341-359","source":"Wiley Online Library","title":"How social exclusion makes radicalism flourish: A review of empirical evidence","title-short":"How social exclusion makes radicalism flourish","volume":"80","author":[{"family":"Pfundmair","given":"Michaela"},{"family":"Wood","given":"Natasha R."},{"family":"Hales","given":"Andrew"},{"family":"Wesselmann","given":"Eric D."}],"issued":{"date-parts":[["2024"]]}}}],"schema":"https://github.com/citation-style-language/schema/raw/master/csl-citation.json"} </w:instrText>
      </w:r>
      <w:r w:rsidR="00DD3604">
        <w:rPr>
          <w:lang w:val="en-US"/>
        </w:rPr>
        <w:fldChar w:fldCharType="separate"/>
      </w:r>
      <w:r w:rsidR="002E6597" w:rsidRPr="002E6597">
        <w:rPr>
          <w:lang w:val="en-US"/>
        </w:rPr>
        <w:t>(NordForsk, 2024; Pfundmair et al., 2024)</w:t>
      </w:r>
      <w:r w:rsidR="00DD3604">
        <w:rPr>
          <w:lang w:val="en-US"/>
        </w:rPr>
        <w:fldChar w:fldCharType="end"/>
      </w:r>
      <w:r w:rsidRPr="00FE2DD0">
        <w:rPr>
          <w:lang w:val="en-US"/>
        </w:rPr>
        <w:t>.</w:t>
      </w:r>
      <w:r>
        <w:rPr>
          <w:lang w:val="en-US"/>
        </w:rPr>
        <w:t xml:space="preserve"> </w:t>
      </w:r>
      <w:r w:rsidRPr="00FE2DD0">
        <w:rPr>
          <w:lang w:val="en-US"/>
        </w:rPr>
        <w:t>In the Israeli context, the domestic constitutional crises and security failures appear to have acted as catalysts for this mechanism. When pro-democratic citizens in the political center perceive existential threats to democratic institutions, their psychological and behavioral responses change. If conventional political channels—such as standard elections or parliamentary debate—appear insufficient to protect democratic governance, these individuals may adopt more extreme attitudes and support non</w:t>
      </w:r>
      <w:r w:rsidR="005A61E4">
        <w:rPr>
          <w:lang w:val="en-US"/>
        </w:rPr>
        <w:t>-</w:t>
      </w:r>
      <w:r w:rsidRPr="00FE2DD0">
        <w:rPr>
          <w:lang w:val="en-US"/>
        </w:rPr>
        <w:t>normative behaviors.</w:t>
      </w:r>
    </w:p>
    <w:p w14:paraId="5C1365EB" w14:textId="305D221A" w:rsidR="00DD3604" w:rsidRDefault="00DD3604" w:rsidP="002E6597">
      <w:pPr>
        <w:pStyle w:val="Newparagraph"/>
      </w:pPr>
      <w:r>
        <w:t xml:space="preserve">Intergroup threat theory </w:t>
      </w:r>
      <w:r>
        <w:fldChar w:fldCharType="begin"/>
      </w:r>
      <w:r>
        <w:instrText xml:space="preserve"> ADDIN ZOTERO_ITEM CSL_CITATION {"citationID":"vOqlx6Hd","properties":{"formattedCitation":"(Stephan &amp; Stephan, 2000)","plainCitation":"(Stephan &amp; Stephan, 2000)","noteIndex":0},"citationItems":[{"id":1438,"uris":["http://zotero.org/users/11665025/items/RKF5LHFA"],"itemData":{"id":1438,"type":"chapter","abstract":"The authors present a theory that aims to describe the main intergroup bases of prejudice. Their theory stress intergroup threats and fears as major causes of prejudice and discrimination, and classifies these threats as realistic threats, symbolic threats, intergroup anxiety in interactions with the outgroup, or negative stereotypes of the outgroup. The authors present research findings showing the impact of all of these dimensions on prejudiced attitudes toward several different outgroups. This classification scheme is helpful in suggesting which kinds of techniques for improving intergroup relations will be most effective in reducing particular types of threats, and the authors briefly review findings on several frequently used types of prejudice reduction programs. (PsycInfo Database Record (c) 2020 APA, all rights reserved)","collection-title":"The Claremont Symposium on Applied Social Psychology","container-title":"Reducing prejudice and discrimination","event-place":"Mahwah, NJ, US","ISBN":"978-0-8058-3481-9","page":"23-45","publisher":"Lawrence Erlbaum Associates Publishers","publisher-place":"Mahwah, NJ, US","source":"APA PsycNet","title":"An integrated threat theory of prejudice","author":[{"family":"Stephan","given":"Walter G."},{"family":"Stephan","given":"Cookie White"}],"issued":{"date-parts":[["2000"]]}}}],"schema":"https://github.com/citation-style-language/schema/raw/master/csl-citation.json"} </w:instrText>
      </w:r>
      <w:r>
        <w:fldChar w:fldCharType="separate"/>
      </w:r>
      <w:r w:rsidR="002E6597" w:rsidRPr="002E6597">
        <w:t>(Stephan &amp; Stephan, 2000)</w:t>
      </w:r>
      <w:r>
        <w:fldChar w:fldCharType="end"/>
      </w:r>
      <w:r>
        <w:t xml:space="preserve"> further clarifies this trend. </w:t>
      </w:r>
      <w:r w:rsidR="00B25B15" w:rsidRPr="00B25B15">
        <w:t xml:space="preserve">In highly polarized environments, one group </w:t>
      </w:r>
      <w:r w:rsidR="00B25B15">
        <w:t xml:space="preserve">can </w:t>
      </w:r>
      <w:r w:rsidR="00B25B15" w:rsidRPr="00B25B15">
        <w:t xml:space="preserve">perceive the same event as a victory while another </w:t>
      </w:r>
      <w:r w:rsidR="00B25B15">
        <w:t xml:space="preserve">can </w:t>
      </w:r>
      <w:r w:rsidR="00B25B15" w:rsidRPr="00B25B15">
        <w:t>perceive it as an existential threat</w:t>
      </w:r>
      <w:r w:rsidR="00B25B15">
        <w:t xml:space="preserve"> </w:t>
      </w:r>
      <w:r>
        <w:fldChar w:fldCharType="begin"/>
      </w:r>
      <w:r w:rsidR="003F717B">
        <w:instrText xml:space="preserve"> ADDIN ZOTERO_ITEM CSL_CITATION {"citationID":"mvpXJqaw","properties":{"formattedCitation":"(Canetti-Nisim et al., 2009)","plainCitation":"(Canetti-Nisim et al., 2009)","noteIndex":0},"citationItems":[{"id":200,"uris":["http://zotero.org/users/11665025/items/RATZB8Y6"],"itemData":{"id":200,"type":"article-journal","abstract":"Does exposure to terrorism lead to hostility toward minorities? Drawing on theories from clinical and social psychology, we propose a stress-based model of political extremism in which psychological distress—which is largely overlooked in political scholarship—and threat perceptions mediate the relationship between exposure to terrorism and attitudes toward minorities. To test the model, a representative sample of 469 Israeli Jewish respondents was interviewed on three occasions at six-month intervals. Structural Equation Modeling indicated that exposure to terrorism predicted psychological distress (t1), which predicted perceived threat from Palestinian citizens of Israel (t2), which, in turn, predicted exclusionist attitudes toward Palestinian citizens of Israel (t3). These findings provide solid evidence and a mechanism for the hypothesis that terrorism introduces nondemocratic attitudes threatening minority rights. It suggests that psychological distress plays an important role in political decision making and should be incorporated in models drawing upon political psychology.","container-title":"Journal of Conflict Resolution","DOI":"10.1177/0022002709333296","ISSN":"0022-0027","issue":"3","language":"en","page":"363-389","publisher":"SAGE Publications Inc","source":"SAGE Journals","title":"A new stress-based model of political extremism: Personal exposure to terrorism, psychological distress, and exclusionist political attitudes","title-short":"A New Stress-Based Model of Political Extremism","volume":"53","author":[{"family":"Canetti-Nisim","given":"Daphna"},{"family":"Halperin","given":"Eran"},{"family":"Sharvit","given":"Keren"},{"family":"Hobfoll","given":"Stevan E."}],"issued":{"date-parts":[["2009",6,1]]}}}],"schema":"https://github.com/citation-style-language/schema/raw/master/csl-citation.json"} </w:instrText>
      </w:r>
      <w:r>
        <w:fldChar w:fldCharType="separate"/>
      </w:r>
      <w:r w:rsidR="002E6597" w:rsidRPr="002E6597">
        <w:t>(Canetti-Nisim et al., 2009)</w:t>
      </w:r>
      <w:r>
        <w:fldChar w:fldCharType="end"/>
      </w:r>
      <w:r>
        <w:t xml:space="preserve">. For the </w:t>
      </w:r>
      <w:r w:rsidR="005A61E4">
        <w:t>c</w:t>
      </w:r>
      <w:r>
        <w:t xml:space="preserve">enter and </w:t>
      </w:r>
      <w:r w:rsidR="005A61E4">
        <w:t>the l</w:t>
      </w:r>
      <w:r>
        <w:t xml:space="preserve">eft, the </w:t>
      </w:r>
      <w:r w:rsidR="005A61E4">
        <w:t>j</w:t>
      </w:r>
      <w:r>
        <w:t xml:space="preserve">udicial </w:t>
      </w:r>
      <w:r w:rsidR="005A61E4">
        <w:t>r</w:t>
      </w:r>
      <w:r>
        <w:t>eform was not a policy disagreement but a symbolic and realistic threat to their cultural and political safety. This perception lowered the threshold for endorsing radical tactics. These findings suggest that multidimensional extremism in modern democracies is often a reactive phenomenon triggered by the perceived collapse of institutional safeguards.</w:t>
      </w:r>
    </w:p>
    <w:p w14:paraId="752834BD" w14:textId="44B9E5CC" w:rsidR="004331EC" w:rsidRDefault="004331EC" w:rsidP="00B25B15">
      <w:pPr>
        <w:pStyle w:val="Newparagraph"/>
      </w:pPr>
      <w:r w:rsidRPr="004331EC">
        <w:t xml:space="preserve">The analysis of the Extremism Level (EL) and Extremism Intensity (EIN) provides </w:t>
      </w:r>
      <w:r w:rsidR="00B25B15">
        <w:t>critical insight into the</w:t>
      </w:r>
      <w:r w:rsidR="00436F1E">
        <w:t xml:space="preserve"> mechanisms </w:t>
      </w:r>
      <w:r w:rsidRPr="004331EC">
        <w:t xml:space="preserve">of radicalization </w:t>
      </w:r>
      <w:r w:rsidR="00886052">
        <w:t>correlated with</w:t>
      </w:r>
      <w:r w:rsidRPr="004331EC">
        <w:t xml:space="preserve"> destabilizing events. Extremism can spread through recruitment and demobilization mechanisms, increasing the size of the tail, or through intensification of existing radical beliefs and behaviours of the extremist population. </w:t>
      </w:r>
      <w:r>
        <w:t xml:space="preserve">Different events, as well as the same event within different political orientation groups, can trigger different mechanisms. </w:t>
      </w:r>
      <w:r w:rsidR="00B25B15" w:rsidRPr="00B25B15">
        <w:t xml:space="preserve">The </w:t>
      </w:r>
      <w:r w:rsidR="00B25B15" w:rsidRPr="00B25B15">
        <w:lastRenderedPageBreak/>
        <w:t>analysis of population transitions to/from the extremist group of the survey panel waves (three and four) clearly demonstrates</w:t>
      </w:r>
      <w:r w:rsidR="00B25B15">
        <w:rPr>
          <w:rStyle w:val="FootnoteReference"/>
        </w:rPr>
        <w:footnoteReference w:id="10"/>
      </w:r>
      <w:r w:rsidR="00B25B15" w:rsidRPr="00B25B15">
        <w:t xml:space="preserve"> this understanding.</w:t>
      </w:r>
      <w:r w:rsidR="00B25B15">
        <w:t xml:space="preserve"> </w:t>
      </w:r>
    </w:p>
    <w:p w14:paraId="18DF4236" w14:textId="5AFED45B" w:rsidR="005B1597" w:rsidRDefault="005B1597" w:rsidP="005B1597">
      <w:pPr>
        <w:pStyle w:val="Heading1"/>
      </w:pPr>
      <w:r>
        <w:t>Conclusions</w:t>
      </w:r>
    </w:p>
    <w:p w14:paraId="4A85F6AB" w14:textId="10E158AA" w:rsidR="007F0FA1" w:rsidRDefault="007F0FA1" w:rsidP="00B25B15">
      <w:pPr>
        <w:pStyle w:val="Newparagraph"/>
      </w:pPr>
      <w:r>
        <w:t xml:space="preserve">The results support </w:t>
      </w:r>
      <w:r w:rsidR="00886052">
        <w:t>the study</w:t>
      </w:r>
      <w:r w:rsidR="005A61E4">
        <w:t>'</w:t>
      </w:r>
      <w:r w:rsidR="00886052">
        <w:t>s</w:t>
      </w:r>
      <w:r>
        <w:t xml:space="preserve"> three hypotheses. First, various dimensions of extremism respond heterogeneously to socio-political events. The </w:t>
      </w:r>
      <w:r w:rsidR="005A61E4">
        <w:t>j</w:t>
      </w:r>
      <w:r>
        <w:t xml:space="preserve">udicial </w:t>
      </w:r>
      <w:r w:rsidR="005A61E4">
        <w:t>r</w:t>
      </w:r>
      <w:r>
        <w:t xml:space="preserve">eform caused a massive spike in the </w:t>
      </w:r>
      <w:r w:rsidR="009D201A">
        <w:t>l</w:t>
      </w:r>
      <w:r>
        <w:t>eft</w:t>
      </w:r>
      <w:r w:rsidR="005A61E4">
        <w:t>'</w:t>
      </w:r>
      <w:r>
        <w:t xml:space="preserve">s cognitive extremism but had a negligible impact on their </w:t>
      </w:r>
      <w:r w:rsidR="00886052">
        <w:t>s</w:t>
      </w:r>
      <w:r>
        <w:t xml:space="preserve">ocial extremism. </w:t>
      </w:r>
      <w:r w:rsidR="00B25B15" w:rsidRPr="00B25B15">
        <w:t xml:space="preserve">At the same time, the Gallant </w:t>
      </w:r>
      <w:r w:rsidR="00886052">
        <w:t>d</w:t>
      </w:r>
      <w:r w:rsidR="00B25B15" w:rsidRPr="00B25B15">
        <w:t xml:space="preserve">ismissal served as a primary driver of behavioral radicalization in the center, but it caused the </w:t>
      </w:r>
      <w:r w:rsidR="00886052">
        <w:t>l</w:t>
      </w:r>
      <w:r w:rsidR="00B25B15" w:rsidRPr="00B25B15">
        <w:t>eft</w:t>
      </w:r>
      <w:r w:rsidR="005A61E4">
        <w:t>'</w:t>
      </w:r>
      <w:r w:rsidR="00B25B15" w:rsidRPr="00B25B15">
        <w:t xml:space="preserve">s </w:t>
      </w:r>
      <w:r w:rsidR="00886052">
        <w:t>s</w:t>
      </w:r>
      <w:r w:rsidR="00B25B15" w:rsidRPr="00B25B15">
        <w:t>ocial extremism to drop to zero. The contrasting patterns prove that extremism is not a monolithic rise across all fronts but a targeted reaction in specific dimensions.</w:t>
      </w:r>
      <w:r w:rsidR="00B25B15">
        <w:t xml:space="preserve"> </w:t>
      </w:r>
      <w:r>
        <w:t xml:space="preserve">Second, political orientation moderates these responses, as evidenced by the inverse reactions seen in the ER2 and cognitive tables. The </w:t>
      </w:r>
      <w:r w:rsidR="005A61E4">
        <w:t>f</w:t>
      </w:r>
      <w:r>
        <w:t xml:space="preserve">all of the Bennett </w:t>
      </w:r>
      <w:r w:rsidR="00886052">
        <w:t>g</w:t>
      </w:r>
      <w:r>
        <w:t xml:space="preserve">overnment radicalized the </w:t>
      </w:r>
      <w:r w:rsidR="009D201A">
        <w:t>r</w:t>
      </w:r>
      <w:r>
        <w:t xml:space="preserve">ight (peaking at 20.43 in ER2) but moderated the </w:t>
      </w:r>
      <w:r w:rsidR="009D201A">
        <w:t>l</w:t>
      </w:r>
      <w:r>
        <w:t xml:space="preserve">eft. Conversely, the </w:t>
      </w:r>
      <w:r w:rsidR="00886052">
        <w:t>j</w:t>
      </w:r>
      <w:r>
        <w:t xml:space="preserve">udicial </w:t>
      </w:r>
      <w:r w:rsidR="00886052">
        <w:t>r</w:t>
      </w:r>
      <w:r>
        <w:t xml:space="preserve">eform and Gallant </w:t>
      </w:r>
      <w:r w:rsidR="00886052">
        <w:t>d</w:t>
      </w:r>
      <w:r>
        <w:t xml:space="preserve">ismissal radicalized the </w:t>
      </w:r>
      <w:r w:rsidR="00886052">
        <w:t>l</w:t>
      </w:r>
      <w:r>
        <w:t xml:space="preserve">eft and </w:t>
      </w:r>
      <w:r w:rsidR="00886052">
        <w:t>c</w:t>
      </w:r>
      <w:r>
        <w:t>enter</w:t>
      </w:r>
      <w:r w:rsidR="00B25B15">
        <w:t>, while the right</w:t>
      </w:r>
      <w:r w:rsidR="005A61E4">
        <w:t>'</w:t>
      </w:r>
      <w:r w:rsidR="00B25B15">
        <w:t>s metrics largely declined or remain</w:t>
      </w:r>
      <w:r>
        <w:t xml:space="preserve">ed flat. </w:t>
      </w:r>
      <w:r w:rsidR="00B25B15" w:rsidRPr="00B25B15">
        <w:t>Orientation determines whether individuals perceive an event as a victory (moderating) or an existential threat (radicalizing).</w:t>
      </w:r>
      <w:r>
        <w:t xml:space="preserve"> Third, analyzing the more extreme part of the population enables a more nuanced understanding. The robustness analysis firmly established the </w:t>
      </w:r>
      <w:r w:rsidR="009D201A">
        <w:t>g</w:t>
      </w:r>
      <w:r>
        <w:t>auge</w:t>
      </w:r>
      <w:r w:rsidR="005A61E4">
        <w:t>'</w:t>
      </w:r>
      <w:r>
        <w:t>s ability to identify the distribution</w:t>
      </w:r>
      <w:r w:rsidR="005A61E4">
        <w:t>'</w:t>
      </w:r>
      <w:r>
        <w:t xml:space="preserve">s more extreme tail of political extremism. </w:t>
      </w:r>
      <w:r w:rsidR="00B25B15" w:rsidRPr="00B25B15">
        <w:t xml:space="preserve">The </w:t>
      </w:r>
      <w:r w:rsidR="00886052">
        <w:t>g</w:t>
      </w:r>
      <w:r w:rsidR="00B25B15" w:rsidRPr="00B25B15">
        <w:t>auge indices (EL, EIN, ER) revealed shifts that standard mean-based analysis would likely miss.</w:t>
      </w:r>
    </w:p>
    <w:p w14:paraId="60D5C5A5" w14:textId="0D65965A" w:rsidR="007F0FA1" w:rsidRPr="007F0FA1" w:rsidRDefault="007F0FA1" w:rsidP="007F0FA1">
      <w:pPr>
        <w:pStyle w:val="Newparagraph"/>
      </w:pPr>
      <w:r w:rsidRPr="005B689A">
        <w:t xml:space="preserve">Understanding what drives </w:t>
      </w:r>
      <w:r>
        <w:t xml:space="preserve">the dynamics of political extremism requires further investigation to establish the causal mechanisms underlying our findings and the relationships between threat perceptions and the effects of political </w:t>
      </w:r>
      <w:r w:rsidRPr="005B689A">
        <w:t>events on extremism.</w:t>
      </w:r>
      <w:r>
        <w:t xml:space="preserve"> </w:t>
      </w:r>
      <w:r w:rsidR="00886052">
        <w:lastRenderedPageBreak/>
        <w:t>Future</w:t>
      </w:r>
      <w:r>
        <w:t xml:space="preserve"> research </w:t>
      </w:r>
      <w:r w:rsidR="00886052">
        <w:t>shall</w:t>
      </w:r>
      <w:r>
        <w:t xml:space="preserve"> </w:t>
      </w:r>
      <w:r w:rsidR="00886052">
        <w:t xml:space="preserve">further </w:t>
      </w:r>
      <w:r>
        <w:t xml:space="preserve">test the gauge </w:t>
      </w:r>
      <w:r w:rsidRPr="005B689A">
        <w:t xml:space="preserve">to determine whether the relative indices can minimize bias when conducting comparative research across different </w:t>
      </w:r>
      <w:r>
        <w:t>countries</w:t>
      </w:r>
      <w:r w:rsidRPr="005B689A">
        <w:t xml:space="preserve"> or extended time frames.</w:t>
      </w:r>
      <w:r>
        <w:t xml:space="preserve"> </w:t>
      </w:r>
    </w:p>
    <w:p w14:paraId="59ED9BF4" w14:textId="02417414" w:rsidR="006B325F" w:rsidRDefault="00E762A7" w:rsidP="005B1597">
      <w:pPr>
        <w:pStyle w:val="Newparagraph"/>
        <w:rPr>
          <w:rFonts w:cs="Arial"/>
          <w:b/>
          <w:bCs/>
          <w:kern w:val="32"/>
          <w:szCs w:val="32"/>
          <w:lang w:val="en-US"/>
        </w:rPr>
      </w:pPr>
      <w:r>
        <w:t xml:space="preserve">The study contributes to the academic discourse on political extremism by providing a universal methodology for </w:t>
      </w:r>
      <w:r w:rsidR="005B1597">
        <w:t xml:space="preserve">monitoring extremism and providing a theoretical basis for understanding how socio-political destabilizing events heterogeneously affect distinct population groups. </w:t>
      </w:r>
      <w:r w:rsidR="008377CF">
        <w:t>The use of a new multidimensional framework that integrates cognitive, behavioral, and social dimensions captures the dynamic interplay of radicalization processes</w:t>
      </w:r>
      <w:r w:rsidR="005B1597">
        <w:t xml:space="preserve">. </w:t>
      </w:r>
      <w:r w:rsidR="00683AB6">
        <w:t>Analysis of</w:t>
      </w:r>
      <w:r w:rsidR="00A04217">
        <w:t xml:space="preserve"> the </w:t>
      </w:r>
      <w:r w:rsidR="00886052">
        <w:t>population</w:t>
      </w:r>
      <w:r w:rsidR="005A61E4">
        <w:t>'</w:t>
      </w:r>
      <w:r w:rsidR="00886052">
        <w:t xml:space="preserve">s </w:t>
      </w:r>
      <w:r w:rsidR="005A61E4">
        <w:t>"</w:t>
      </w:r>
      <w:r w:rsidR="00A04217">
        <w:t>extreme tail</w:t>
      </w:r>
      <w:r w:rsidR="005A61E4">
        <w:t>"</w:t>
      </w:r>
      <w:r w:rsidR="00A04217">
        <w:t xml:space="preserve"> reveals nuanced trends in radicalization that standard mean-based analyses often obscure.</w:t>
      </w:r>
      <w:r w:rsidR="005B1597">
        <w:t xml:space="preserve"> </w:t>
      </w:r>
      <w:r w:rsidR="00A04217">
        <w:t xml:space="preserve">These contributions </w:t>
      </w:r>
      <w:r w:rsidR="005B1597">
        <w:t>strengthen</w:t>
      </w:r>
      <w:r w:rsidR="00A04217">
        <w:t xml:space="preserve"> </w:t>
      </w:r>
      <w:r w:rsidR="005B1597">
        <w:t xml:space="preserve">democratic resilience, identifying political extremism surges during times of national disruption. </w:t>
      </w:r>
      <w:r w:rsidR="006B325F">
        <w:br w:type="page"/>
      </w:r>
    </w:p>
    <w:p w14:paraId="69551BE4" w14:textId="38276229" w:rsidR="006C079F" w:rsidRDefault="006C079F" w:rsidP="004074B0">
      <w:pPr>
        <w:pStyle w:val="Heading1"/>
      </w:pPr>
      <w:r>
        <w:lastRenderedPageBreak/>
        <w:t>References</w:t>
      </w:r>
    </w:p>
    <w:p w14:paraId="707A123E" w14:textId="6853E891" w:rsidR="002A021C" w:rsidRDefault="00BB63F5" w:rsidP="002A021C">
      <w:pPr>
        <w:pStyle w:val="Bibliography"/>
      </w:pPr>
      <w:r>
        <w:rPr>
          <w:lang w:val="en-US"/>
        </w:rPr>
        <w:fldChar w:fldCharType="begin"/>
      </w:r>
      <w:r w:rsidR="002A021C">
        <w:rPr>
          <w:lang w:val="en-US"/>
        </w:rPr>
        <w:instrText xml:space="preserve"> ADDIN ZOTERO_BIBL {"uncited":[],"omitted":[],"custom":[]} CSL_BIBLIOGRAPHY </w:instrText>
      </w:r>
      <w:r>
        <w:rPr>
          <w:lang w:val="en-US"/>
        </w:rPr>
        <w:fldChar w:fldCharType="separate"/>
      </w:r>
      <w:r w:rsidR="002A021C">
        <w:t>Agmon, S. (2025, March 25). Israel</w:t>
      </w:r>
      <w:r w:rsidR="005A61E4">
        <w:t>'</w:t>
      </w:r>
      <w:r w:rsidR="002A021C">
        <w:t xml:space="preserve">s Complicit Center. </w:t>
      </w:r>
      <w:r w:rsidR="002A021C">
        <w:rPr>
          <w:i/>
          <w:iCs/>
        </w:rPr>
        <w:t>Boston Review</w:t>
      </w:r>
      <w:r w:rsidR="002A021C">
        <w:t>. https://www.bostonreview.net/articles/israels-complicit-center/</w:t>
      </w:r>
    </w:p>
    <w:p w14:paraId="161ACF8F" w14:textId="77777777" w:rsidR="002A021C" w:rsidRDefault="002A021C" w:rsidP="002A021C">
      <w:pPr>
        <w:pStyle w:val="Bibliography"/>
      </w:pPr>
      <w:r>
        <w:t xml:space="preserve">Allchorn, W., &amp; Orofino, E. (2023). </w:t>
      </w:r>
      <w:r>
        <w:rPr>
          <w:i/>
          <w:iCs/>
        </w:rPr>
        <w:t>Routledge handbook of non-violent extremism: Groups, perspectives and new debates</w:t>
      </w:r>
      <w:r>
        <w:t xml:space="preserve"> (1st ed.). Routledge. https://doi.org/10.4324/9781003032793</w:t>
      </w:r>
    </w:p>
    <w:p w14:paraId="1D995E51" w14:textId="77777777" w:rsidR="002A021C" w:rsidRDefault="002A021C" w:rsidP="002A021C">
      <w:pPr>
        <w:pStyle w:val="Bibliography"/>
      </w:pPr>
      <w:r>
        <w:t xml:space="preserve">Backes, U. (2010). </w:t>
      </w:r>
      <w:r>
        <w:rPr>
          <w:i/>
          <w:iCs/>
        </w:rPr>
        <w:t>Political extremes: A conceptual history from antiquity to the present</w:t>
      </w:r>
      <w:r>
        <w:t xml:space="preserve"> (1st ed.). Routledge. https://doi.org/10.4324/9780203867259</w:t>
      </w:r>
    </w:p>
    <w:p w14:paraId="1FC41A33" w14:textId="77777777" w:rsidR="002A021C" w:rsidRDefault="002A021C" w:rsidP="002A021C">
      <w:pPr>
        <w:pStyle w:val="Bibliography"/>
      </w:pPr>
      <w:r>
        <w:t xml:space="preserve">Bauer, P. C., Barberá, P., Ackermann, K., &amp; Venetz, A. (2017). Is the left-right scale a valid measure of ideology? </w:t>
      </w:r>
      <w:r>
        <w:rPr>
          <w:i/>
          <w:iCs/>
        </w:rPr>
        <w:t>Political Behavior</w:t>
      </w:r>
      <w:r>
        <w:t xml:space="preserve">, </w:t>
      </w:r>
      <w:r>
        <w:rPr>
          <w:i/>
          <w:iCs/>
        </w:rPr>
        <w:t>39</w:t>
      </w:r>
      <w:r>
        <w:t>(3), 553–583. https://doi.org/10.1007/s11109-016-9368-2</w:t>
      </w:r>
    </w:p>
    <w:p w14:paraId="412DE906" w14:textId="77777777" w:rsidR="002A021C" w:rsidRDefault="002A021C" w:rsidP="002A021C">
      <w:pPr>
        <w:pStyle w:val="Bibliography"/>
      </w:pPr>
      <w:r>
        <w:t xml:space="preserve">Bennett, W. L., &amp; Livingston, S. (2025). Platforms, politics, and the crisis of democracy: Connective action and the rise of illiberalism. </w:t>
      </w:r>
      <w:r>
        <w:rPr>
          <w:i/>
          <w:iCs/>
        </w:rPr>
        <w:t>Perspectives on Politics</w:t>
      </w:r>
      <w:r>
        <w:t xml:space="preserve">, </w:t>
      </w:r>
      <w:r>
        <w:rPr>
          <w:i/>
          <w:iCs/>
        </w:rPr>
        <w:t>23</w:t>
      </w:r>
      <w:r>
        <w:t>(4), 1362–1381. https://doi.org/10.1017/S1537592724002123</w:t>
      </w:r>
    </w:p>
    <w:p w14:paraId="1951647F" w14:textId="14DABC10" w:rsidR="002A021C" w:rsidRDefault="002A021C" w:rsidP="002A021C">
      <w:pPr>
        <w:pStyle w:val="Bibliography"/>
      </w:pPr>
      <w:r>
        <w:t xml:space="preserve">Ben-Shitrit, L., Elad-Strenger, J., &amp; Hirsch-Hoefler, S. (2022). </w:t>
      </w:r>
      <w:r w:rsidR="005A61E4">
        <w:t>'</w:t>
      </w:r>
      <w:r>
        <w:t>Pinkwashing</w:t>
      </w:r>
      <w:r w:rsidR="005A61E4">
        <w:t>'</w:t>
      </w:r>
      <w:r>
        <w:t xml:space="preserve"> the radical-right: Gender and the mainstreaming of radical-right policies and actions. </w:t>
      </w:r>
      <w:r>
        <w:rPr>
          <w:i/>
          <w:iCs/>
        </w:rPr>
        <w:t>European Journal of Political Research</w:t>
      </w:r>
      <w:r>
        <w:t xml:space="preserve">, </w:t>
      </w:r>
      <w:r>
        <w:rPr>
          <w:i/>
          <w:iCs/>
        </w:rPr>
        <w:t>61</w:t>
      </w:r>
      <w:r>
        <w:t>(1), 86–110. https://doi.org/10.1111/1475-6765.12442</w:t>
      </w:r>
    </w:p>
    <w:p w14:paraId="62892364" w14:textId="77777777" w:rsidR="002A021C" w:rsidRDefault="002A021C" w:rsidP="002A021C">
      <w:pPr>
        <w:pStyle w:val="Bibliography"/>
      </w:pPr>
      <w:r>
        <w:t xml:space="preserve">Bjelopera, J. P. (2017). </w:t>
      </w:r>
      <w:r>
        <w:rPr>
          <w:i/>
          <w:iCs/>
        </w:rPr>
        <w:t>Domestic terrorism: An overview</w:t>
      </w:r>
      <w:r>
        <w:t xml:space="preserve"> (No. R44921). Congressional Research Service. https://sgp.fas.org/crs/terror/R44921.pdf</w:t>
      </w:r>
    </w:p>
    <w:p w14:paraId="421FA991" w14:textId="77777777" w:rsidR="002A021C" w:rsidRDefault="002A021C" w:rsidP="002A021C">
      <w:pPr>
        <w:pStyle w:val="Bibliography"/>
      </w:pPr>
      <w:r>
        <w:t xml:space="preserve">Bötticher, A. (2017). Towards academic consensus definitions of radicalism and extremism. </w:t>
      </w:r>
      <w:r>
        <w:rPr>
          <w:i/>
          <w:iCs/>
        </w:rPr>
        <w:t>Perspectives on Terrorism</w:t>
      </w:r>
      <w:r>
        <w:t xml:space="preserve">, </w:t>
      </w:r>
      <w:r>
        <w:rPr>
          <w:i/>
          <w:iCs/>
        </w:rPr>
        <w:t>11</w:t>
      </w:r>
      <w:r>
        <w:t>(4).</w:t>
      </w:r>
    </w:p>
    <w:p w14:paraId="53B8EB47" w14:textId="77777777" w:rsidR="002A021C" w:rsidRDefault="002A021C" w:rsidP="002A021C">
      <w:pPr>
        <w:pStyle w:val="Bibliography"/>
      </w:pPr>
      <w:r>
        <w:t xml:space="preserve">Canetti, D., Hall, B. J., Rapaport, C., &amp; Wayne, C. (2013). Exposure to political violence and political extremism. </w:t>
      </w:r>
      <w:r>
        <w:rPr>
          <w:i/>
          <w:iCs/>
        </w:rPr>
        <w:t>European Psychologist</w:t>
      </w:r>
      <w:r>
        <w:t xml:space="preserve">, </w:t>
      </w:r>
      <w:r>
        <w:rPr>
          <w:i/>
          <w:iCs/>
        </w:rPr>
        <w:t>18</w:t>
      </w:r>
      <w:r>
        <w:t>(4), 263–272. https://doi.org/10.1027/1016-9040/a000158</w:t>
      </w:r>
    </w:p>
    <w:p w14:paraId="7826E732" w14:textId="77777777" w:rsidR="002A021C" w:rsidRDefault="002A021C" w:rsidP="002A021C">
      <w:pPr>
        <w:pStyle w:val="Bibliography"/>
      </w:pPr>
      <w:r>
        <w:lastRenderedPageBreak/>
        <w:t xml:space="preserve">Canetti, D., Halperin, E., Hobfoll, S. E., Shapira, O., &amp; Hirsch-Hoefler, S. (2009). Authoritarianism, perceived threat and exclusionism on the eve of the disengagement: Evidence from Gaza. </w:t>
      </w:r>
      <w:r>
        <w:rPr>
          <w:i/>
          <w:iCs/>
        </w:rPr>
        <w:t>International Journal of Intercultural Relations</w:t>
      </w:r>
      <w:r>
        <w:t xml:space="preserve">, </w:t>
      </w:r>
      <w:r>
        <w:rPr>
          <w:i/>
          <w:iCs/>
        </w:rPr>
        <w:t>33</w:t>
      </w:r>
      <w:r>
        <w:t>(6), 463–474. https://doi.org/10.1016/j.ijintrel.2008.12.007</w:t>
      </w:r>
    </w:p>
    <w:p w14:paraId="0780524B" w14:textId="77777777" w:rsidR="002A021C" w:rsidRDefault="002A021C" w:rsidP="002A021C">
      <w:pPr>
        <w:pStyle w:val="Bibliography"/>
      </w:pPr>
      <w:r>
        <w:t xml:space="preserve">Canetti, D., Hirschberger, G., Rapaport, C., Elad‐Strenger, J., Ein‐Dor, T., Rosenzveig, S., Pyszczynski, T., &amp; Hobfoll, S. E. (2018). Collective trauma from the lab to the real world: The effects of the Holocaust on contemporary Israeli political cognitions. </w:t>
      </w:r>
      <w:r>
        <w:rPr>
          <w:i/>
          <w:iCs/>
        </w:rPr>
        <w:t>Political Psychology</w:t>
      </w:r>
      <w:r>
        <w:t xml:space="preserve">, </w:t>
      </w:r>
      <w:r>
        <w:rPr>
          <w:i/>
          <w:iCs/>
        </w:rPr>
        <w:t>39</w:t>
      </w:r>
      <w:r>
        <w:t>(1), 3–21. https://doi.org/10.1111/pops.12384</w:t>
      </w:r>
    </w:p>
    <w:p w14:paraId="60E1B4BA" w14:textId="77777777" w:rsidR="002A021C" w:rsidRDefault="002A021C" w:rsidP="002A021C">
      <w:pPr>
        <w:pStyle w:val="Bibliography"/>
      </w:pPr>
      <w:r>
        <w:t xml:space="preserve">Canetti-Nisim, D., Halperin, E., Sharvit, K., &amp; Hobfoll, S. E. (2009). A new stress-based model of political extremism: Personal exposure to terrorism, psychological distress, and exclusionist political attitudes. </w:t>
      </w:r>
      <w:r>
        <w:rPr>
          <w:i/>
          <w:iCs/>
        </w:rPr>
        <w:t>Journal of Conflict Resolution</w:t>
      </w:r>
      <w:r>
        <w:t xml:space="preserve">, </w:t>
      </w:r>
      <w:r>
        <w:rPr>
          <w:i/>
          <w:iCs/>
        </w:rPr>
        <w:t>53</w:t>
      </w:r>
      <w:r>
        <w:t>(3), 363–389. https://doi.org/10.1177/0022002709333296</w:t>
      </w:r>
    </w:p>
    <w:p w14:paraId="4DDF2739" w14:textId="77777777" w:rsidR="002A021C" w:rsidRDefault="002A021C" w:rsidP="002A021C">
      <w:pPr>
        <w:pStyle w:val="Bibliography"/>
      </w:pPr>
      <w:r>
        <w:t xml:space="preserve">Cavari, A., &amp; Efrat, A. (2026). Polarized public agenda in times of crisis. </w:t>
      </w:r>
      <w:r>
        <w:rPr>
          <w:i/>
          <w:iCs/>
        </w:rPr>
        <w:t>Journal of European Public Policy</w:t>
      </w:r>
      <w:r>
        <w:t xml:space="preserve">, </w:t>
      </w:r>
      <w:r>
        <w:rPr>
          <w:i/>
          <w:iCs/>
        </w:rPr>
        <w:t>33</w:t>
      </w:r>
      <w:r>
        <w:t>(1), 159–188. https://doi.org/10.1080/13501763.2025.2552418</w:t>
      </w:r>
    </w:p>
    <w:p w14:paraId="04F0A5E1" w14:textId="77777777" w:rsidR="002A021C" w:rsidRDefault="002A021C" w:rsidP="002A021C">
      <w:pPr>
        <w:pStyle w:val="Bibliography"/>
      </w:pPr>
      <w:r>
        <w:t xml:space="preserve">Coleman, P. T., &amp; Bartoli, A. (2015). </w:t>
      </w:r>
      <w:r>
        <w:rPr>
          <w:i/>
          <w:iCs/>
        </w:rPr>
        <w:t>Addressing extremism</w:t>
      </w:r>
      <w:r>
        <w:t>. The International Center for Cooperation and Conflict Resolution (ICCCR). https://resolvenet.org/research/publications/addressing-extremism</w:t>
      </w:r>
    </w:p>
    <w:p w14:paraId="1F1858FF" w14:textId="77777777" w:rsidR="002A021C" w:rsidRDefault="002A021C" w:rsidP="002A021C">
      <w:pPr>
        <w:pStyle w:val="Bibliography"/>
      </w:pPr>
      <w:r>
        <w:t xml:space="preserve">Costello, T. H., Bowes, S. M., Stevens, S. T., Waldman, I. D., Tasimi, A., &amp; Lilienfeld, S. O. (2022). Clarifying the structure and nature of left-wing authoritarianism. </w:t>
      </w:r>
      <w:r>
        <w:rPr>
          <w:i/>
          <w:iCs/>
        </w:rPr>
        <w:t>Journal of Personality and Social Psychology</w:t>
      </w:r>
      <w:r>
        <w:t xml:space="preserve">, </w:t>
      </w:r>
      <w:r>
        <w:rPr>
          <w:i/>
          <w:iCs/>
        </w:rPr>
        <w:t>122</w:t>
      </w:r>
      <w:r>
        <w:t>(1), 135–170. https://doi.org/10.1037/pspp0000341</w:t>
      </w:r>
    </w:p>
    <w:p w14:paraId="041AE138" w14:textId="4E1E5631" w:rsidR="002A021C" w:rsidRDefault="002A021C" w:rsidP="002A021C">
      <w:pPr>
        <w:pStyle w:val="Bibliography"/>
      </w:pPr>
      <w:r>
        <w:t>Davies, G., Wu, E., &amp; Frank, R. (2023). A witch</w:t>
      </w:r>
      <w:r w:rsidR="005A61E4">
        <w:t>'</w:t>
      </w:r>
      <w:r>
        <w:t xml:space="preserve">s brew of grievances: The potential effects of COVID-19 on radicalization to violent extremism. </w:t>
      </w:r>
      <w:r>
        <w:rPr>
          <w:i/>
          <w:iCs/>
        </w:rPr>
        <w:t xml:space="preserve">Studies in Conflict </w:t>
      </w:r>
      <w:r>
        <w:rPr>
          <w:i/>
          <w:iCs/>
        </w:rPr>
        <w:lastRenderedPageBreak/>
        <w:t>&amp; Terrorism</w:t>
      </w:r>
      <w:r>
        <w:t xml:space="preserve">, </w:t>
      </w:r>
      <w:r>
        <w:rPr>
          <w:i/>
          <w:iCs/>
        </w:rPr>
        <w:t>46</w:t>
      </w:r>
      <w:r>
        <w:t>(11), 2327–2350. https://doi.org/10.1080/1057610X.2021.1923188</w:t>
      </w:r>
    </w:p>
    <w:p w14:paraId="163EC5C3" w14:textId="77777777" w:rsidR="002A021C" w:rsidRDefault="002A021C" w:rsidP="002A021C">
      <w:pPr>
        <w:pStyle w:val="Bibliography"/>
      </w:pPr>
      <w:r>
        <w:t xml:space="preserve">Dinas, E., Matakos, K., Xefteris, D., &amp; Hangartner, D. (2019). Waking up the Golden Dawn: Does exposure to the refugee crisis increase support for extreme-right parties? </w:t>
      </w:r>
      <w:r>
        <w:rPr>
          <w:i/>
          <w:iCs/>
        </w:rPr>
        <w:t>Political Analysis</w:t>
      </w:r>
      <w:r>
        <w:t xml:space="preserve">, </w:t>
      </w:r>
      <w:r>
        <w:rPr>
          <w:i/>
          <w:iCs/>
        </w:rPr>
        <w:t>27</w:t>
      </w:r>
      <w:r>
        <w:t>(2), 244–254. https://doi.org/10.1017/pan.2018.48</w:t>
      </w:r>
    </w:p>
    <w:p w14:paraId="013587F6" w14:textId="77777777" w:rsidR="002A021C" w:rsidRDefault="002A021C" w:rsidP="002A021C">
      <w:pPr>
        <w:pStyle w:val="Bibliography"/>
      </w:pPr>
      <w:r>
        <w:t xml:space="preserve">Dolezal, M. (2010). Exploring the stabilization of a political force: The social and attitudinal basis of Green parties in the age of globalization. </w:t>
      </w:r>
      <w:r>
        <w:rPr>
          <w:i/>
          <w:iCs/>
        </w:rPr>
        <w:t>West European Politics</w:t>
      </w:r>
      <w:r>
        <w:t xml:space="preserve">, </w:t>
      </w:r>
      <w:r>
        <w:rPr>
          <w:i/>
          <w:iCs/>
        </w:rPr>
        <w:t>33</w:t>
      </w:r>
      <w:r>
        <w:t>(3), 534–552. https://doi.org/10.1080/01402381003654569</w:t>
      </w:r>
    </w:p>
    <w:p w14:paraId="7DAD8BBB" w14:textId="77777777" w:rsidR="002A021C" w:rsidRDefault="002A021C" w:rsidP="002A021C">
      <w:pPr>
        <w:pStyle w:val="Bibliography"/>
      </w:pPr>
      <w:r>
        <w:t xml:space="preserve">Dono, M., Alzate, M., &amp; Seoane, G. (2018). Development and validation of the Monopoly on Truth Scale: A measure of political extremism. </w:t>
      </w:r>
      <w:r>
        <w:rPr>
          <w:i/>
          <w:iCs/>
        </w:rPr>
        <w:t>Psicothema</w:t>
      </w:r>
      <w:r>
        <w:t xml:space="preserve">, </w:t>
      </w:r>
      <w:r>
        <w:rPr>
          <w:i/>
          <w:iCs/>
        </w:rPr>
        <w:t>30</w:t>
      </w:r>
      <w:r>
        <w:t>(3), 330–336. https://doi.org/10.7334/psicothema2017.423</w:t>
      </w:r>
    </w:p>
    <w:p w14:paraId="05D67AF3" w14:textId="77777777" w:rsidR="002A021C" w:rsidRDefault="002A021C" w:rsidP="002A021C">
      <w:pPr>
        <w:pStyle w:val="Bibliography"/>
      </w:pPr>
      <w:r>
        <w:t xml:space="preserve">Doosje, B., Moghaddam, F. M., Kruglanski, A. W., de Wolf, A., Mann, L., &amp; Feddes, A. R. (2016). Terrorism, radicalization and de-radicalization. </w:t>
      </w:r>
      <w:r>
        <w:rPr>
          <w:i/>
          <w:iCs/>
        </w:rPr>
        <w:t>Current Opinion in Psychology</w:t>
      </w:r>
      <w:r>
        <w:t xml:space="preserve">, </w:t>
      </w:r>
      <w:r>
        <w:rPr>
          <w:i/>
          <w:iCs/>
        </w:rPr>
        <w:t>11</w:t>
      </w:r>
      <w:r>
        <w:t>, 79–84. https://doi.org/10.1016/j.copsyc.2016.06.008</w:t>
      </w:r>
    </w:p>
    <w:p w14:paraId="10377E98" w14:textId="77777777" w:rsidR="002A021C" w:rsidRDefault="002A021C" w:rsidP="002A021C">
      <w:pPr>
        <w:pStyle w:val="Bibliography"/>
      </w:pPr>
      <w:r>
        <w:t xml:space="preserve">Eatwell, R., &amp; Goodwin, M. (2010). </w:t>
      </w:r>
      <w:r>
        <w:rPr>
          <w:i/>
          <w:iCs/>
        </w:rPr>
        <w:t>The new extremism in 21st century Britain</w:t>
      </w:r>
      <w:r>
        <w:t>. Routledge.</w:t>
      </w:r>
    </w:p>
    <w:p w14:paraId="3C00372E" w14:textId="77777777" w:rsidR="002A021C" w:rsidRDefault="002A021C" w:rsidP="002A021C">
      <w:pPr>
        <w:pStyle w:val="Bibliography"/>
      </w:pPr>
      <w:r>
        <w:t xml:space="preserve">Fasching, N., Iyengar, S., Lelkes, Y., &amp; Westwood, S. J. (2024). Persistent polarization: The unexpected durability of political animosity around US elections. </w:t>
      </w:r>
      <w:r>
        <w:rPr>
          <w:i/>
          <w:iCs/>
        </w:rPr>
        <w:t>Science Advances</w:t>
      </w:r>
      <w:r>
        <w:t xml:space="preserve">, </w:t>
      </w:r>
      <w:r>
        <w:rPr>
          <w:i/>
          <w:iCs/>
        </w:rPr>
        <w:t>10</w:t>
      </w:r>
      <w:r>
        <w:t>(36), eadm9198. https://doi.org/10.1126/sciadv.adm9198</w:t>
      </w:r>
    </w:p>
    <w:p w14:paraId="6F51AEC2" w14:textId="57302B51" w:rsidR="002A021C" w:rsidRDefault="002A021C" w:rsidP="002A021C">
      <w:pPr>
        <w:pStyle w:val="Bibliography"/>
      </w:pPr>
      <w:r>
        <w:t>Ferrer, J., &amp; Palmisano, C. (2025). Beyond the Trump presidency: The racial underpinnings of White Americans</w:t>
      </w:r>
      <w:r w:rsidR="005A61E4">
        <w:t>'</w:t>
      </w:r>
      <w:r>
        <w:t xml:space="preserve"> anti-democratic beliefs. </w:t>
      </w:r>
      <w:r>
        <w:rPr>
          <w:i/>
          <w:iCs/>
        </w:rPr>
        <w:t>Journal of Race, Ethnicity, and Politics</w:t>
      </w:r>
      <w:r>
        <w:t xml:space="preserve">, </w:t>
      </w:r>
      <w:r>
        <w:rPr>
          <w:i/>
          <w:iCs/>
        </w:rPr>
        <w:t>10</w:t>
      </w:r>
      <w:r>
        <w:t>(1), 60–85. https://doi.org/10.1017/rep.2025.1</w:t>
      </w:r>
    </w:p>
    <w:p w14:paraId="2BAA3A85" w14:textId="77777777" w:rsidR="002A021C" w:rsidRDefault="002A021C" w:rsidP="002A021C">
      <w:pPr>
        <w:pStyle w:val="Bibliography"/>
      </w:pPr>
      <w:r>
        <w:t xml:space="preserve">Gibson, J., &amp; Bingham, R. (1982). On the Conceptualization and Measurement of Political Tolerance. </w:t>
      </w:r>
      <w:r>
        <w:rPr>
          <w:i/>
          <w:iCs/>
        </w:rPr>
        <w:t>The American Political Science Review</w:t>
      </w:r>
      <w:r>
        <w:t xml:space="preserve">, </w:t>
      </w:r>
      <w:r>
        <w:rPr>
          <w:i/>
          <w:iCs/>
        </w:rPr>
        <w:t>76</w:t>
      </w:r>
      <w:r>
        <w:t>, 603–620. https://doi.org/10.2307/1963734</w:t>
      </w:r>
    </w:p>
    <w:p w14:paraId="3C93C57A" w14:textId="77777777" w:rsidR="002A021C" w:rsidRDefault="002A021C" w:rsidP="002A021C">
      <w:pPr>
        <w:pStyle w:val="Bibliography"/>
      </w:pPr>
      <w:r>
        <w:lastRenderedPageBreak/>
        <w:t xml:space="preserve">Guhl, J. (2025). </w:t>
      </w:r>
      <w:r>
        <w:rPr>
          <w:i/>
          <w:iCs/>
        </w:rPr>
        <w:t>Left wing extremism</w:t>
      </w:r>
      <w:r>
        <w:t>. Institute for Strategic Dialog (ISD). https://www.isdglobal.org/explainers/left-wing-extremism/</w:t>
      </w:r>
    </w:p>
    <w:p w14:paraId="0C0BA5E7" w14:textId="77777777" w:rsidR="002A021C" w:rsidRDefault="002A021C" w:rsidP="002A021C">
      <w:pPr>
        <w:pStyle w:val="Bibliography"/>
      </w:pPr>
      <w:r>
        <w:t xml:space="preserve">Hirsch-Hoefler, S., Canetti, D., Rapaport, C., &amp; Hobfoll, S. E. (2014). Conflict will Harden your Heart: Exposure to Violence, Psychological Distress, and Peace Barriers in Israel and Palestine. </w:t>
      </w:r>
      <w:r>
        <w:rPr>
          <w:i/>
          <w:iCs/>
        </w:rPr>
        <w:t>British Journal of Political Science</w:t>
      </w:r>
      <w:r>
        <w:t xml:space="preserve">, </w:t>
      </w:r>
      <w:r>
        <w:rPr>
          <w:i/>
          <w:iCs/>
        </w:rPr>
        <w:t>46</w:t>
      </w:r>
      <w:r>
        <w:t>(4), 845–859. https://doi.org/10.1017/S0007123414000374</w:t>
      </w:r>
    </w:p>
    <w:p w14:paraId="35E83475" w14:textId="43B99DD2" w:rsidR="002A021C" w:rsidRDefault="002A021C" w:rsidP="002A021C">
      <w:pPr>
        <w:pStyle w:val="Bibliography"/>
      </w:pPr>
      <w:r>
        <w:t>Jackson, S. (2019). Non</w:t>
      </w:r>
      <w:r w:rsidR="005A61E4">
        <w:t>-</w:t>
      </w:r>
      <w:r>
        <w:t>normative political extremism: Reclaiming a concept</w:t>
      </w:r>
      <w:r w:rsidR="005A61E4">
        <w:t>'</w:t>
      </w:r>
      <w:r>
        <w:t xml:space="preserve">s analytical utility. </w:t>
      </w:r>
      <w:r>
        <w:rPr>
          <w:i/>
          <w:iCs/>
        </w:rPr>
        <w:t>Terrorism and Political Violence</w:t>
      </w:r>
      <w:r>
        <w:t xml:space="preserve">, </w:t>
      </w:r>
      <w:r>
        <w:rPr>
          <w:i/>
          <w:iCs/>
        </w:rPr>
        <w:t>31</w:t>
      </w:r>
      <w:r>
        <w:t>(2), 244–259. https://doi.org/10.1080/09546553.2016.1212599</w:t>
      </w:r>
    </w:p>
    <w:p w14:paraId="2831466B" w14:textId="77777777" w:rsidR="002A021C" w:rsidRDefault="002A021C" w:rsidP="002A021C">
      <w:pPr>
        <w:pStyle w:val="Bibliography"/>
      </w:pPr>
      <w:r>
        <w:t xml:space="preserve">Jasko, K., LaFree, G., Piazza, J., &amp; Becker, M. H. (2022). A comparison of political violence by left-wing, right-wing, and Islamist extremists in the United States and the world. </w:t>
      </w:r>
      <w:r>
        <w:rPr>
          <w:i/>
          <w:iCs/>
        </w:rPr>
        <w:t>Proceedings of the National Academy of Sciences</w:t>
      </w:r>
      <w:r>
        <w:t xml:space="preserve">, </w:t>
      </w:r>
      <w:r>
        <w:rPr>
          <w:i/>
          <w:iCs/>
        </w:rPr>
        <w:t>119</w:t>
      </w:r>
      <w:r>
        <w:t>(30), e2122593119. https://doi.org/10.1073/pnas.2122593119</w:t>
      </w:r>
    </w:p>
    <w:p w14:paraId="05674F84" w14:textId="77777777" w:rsidR="002A021C" w:rsidRDefault="002A021C" w:rsidP="002A021C">
      <w:pPr>
        <w:pStyle w:val="Bibliography"/>
      </w:pPr>
      <w:r>
        <w:t xml:space="preserve">Jost, J. T. (2024). Both-Sideology Endangers Democracy and Social Science. </w:t>
      </w:r>
      <w:r>
        <w:rPr>
          <w:i/>
          <w:iCs/>
        </w:rPr>
        <w:t>Journal of Social Issues</w:t>
      </w:r>
      <w:r>
        <w:t xml:space="preserve">, </w:t>
      </w:r>
      <w:r>
        <w:rPr>
          <w:i/>
          <w:iCs/>
        </w:rPr>
        <w:t>80</w:t>
      </w:r>
      <w:r>
        <w:t>(3), 1138–1203. https://doi.org/10.1111/josi.12633</w:t>
      </w:r>
    </w:p>
    <w:p w14:paraId="676229DB" w14:textId="77777777" w:rsidR="002A021C" w:rsidRDefault="002A021C" w:rsidP="002A021C">
      <w:pPr>
        <w:pStyle w:val="Bibliography"/>
      </w:pPr>
      <w:r>
        <w:t xml:space="preserve">Jost, J. T., Federico, C. M., &amp; Napier, J. L. (2009). Political Ideology: Its Structure, Functions, and Elective Affinities. </w:t>
      </w:r>
      <w:r>
        <w:rPr>
          <w:i/>
          <w:iCs/>
        </w:rPr>
        <w:t>Annual Review of Psychology</w:t>
      </w:r>
      <w:r>
        <w:t xml:space="preserve">, </w:t>
      </w:r>
      <w:r>
        <w:rPr>
          <w:i/>
          <w:iCs/>
        </w:rPr>
        <w:t>60</w:t>
      </w:r>
      <w:r>
        <w:t>(1), 307–337. https://doi.org/10.1146/annurev.psych.60.110707.163600</w:t>
      </w:r>
    </w:p>
    <w:p w14:paraId="3BECAB86" w14:textId="77777777" w:rsidR="002A021C" w:rsidRDefault="002A021C" w:rsidP="002A021C">
      <w:pPr>
        <w:pStyle w:val="Bibliography"/>
      </w:pPr>
      <w:r>
        <w:t xml:space="preserve">Jungkunz, S. (2022). </w:t>
      </w:r>
      <w:r>
        <w:rPr>
          <w:i/>
          <w:iCs/>
        </w:rPr>
        <w:t>The nature and origins of political extremism in Germany and beyond</w:t>
      </w:r>
      <w:r>
        <w:t>. Springer International Publishing. https://doi.org/10.1007/978-3-030-83336-7</w:t>
      </w:r>
    </w:p>
    <w:p w14:paraId="017CFBEA" w14:textId="77777777" w:rsidR="002A021C" w:rsidRDefault="002A021C" w:rsidP="002A021C">
      <w:pPr>
        <w:pStyle w:val="Bibliography"/>
      </w:pPr>
      <w:r>
        <w:t xml:space="preserve">Jungkunz, S., Helbling, M., &amp; Osenbrügge, N. (2024). Measuring political radicalism and extremism in surveys: Three new scales. </w:t>
      </w:r>
      <w:r>
        <w:rPr>
          <w:i/>
          <w:iCs/>
        </w:rPr>
        <w:t>PLOS ONE</w:t>
      </w:r>
      <w:r>
        <w:t xml:space="preserve">, </w:t>
      </w:r>
      <w:r>
        <w:rPr>
          <w:i/>
          <w:iCs/>
        </w:rPr>
        <w:t>19</w:t>
      </w:r>
      <w:r>
        <w:t>(5), e0300661. https://doi.org/10.1371/journal.pone.0300661</w:t>
      </w:r>
    </w:p>
    <w:p w14:paraId="32D8F762" w14:textId="77777777" w:rsidR="002A021C" w:rsidRDefault="002A021C" w:rsidP="002A021C">
      <w:pPr>
        <w:pStyle w:val="Bibliography"/>
      </w:pPr>
      <w:r>
        <w:lastRenderedPageBreak/>
        <w:t xml:space="preserve">Khalil, L. (2021). The impact of natural disasters on violent extremism. </w:t>
      </w:r>
      <w:r>
        <w:rPr>
          <w:i/>
          <w:iCs/>
        </w:rPr>
        <w:t>Australian Strategic Policy Institute</w:t>
      </w:r>
      <w:r>
        <w:t>. https://www.jstor.org/stable/resrep31258.24</w:t>
      </w:r>
    </w:p>
    <w:p w14:paraId="489726FF" w14:textId="77777777" w:rsidR="002A021C" w:rsidRDefault="002A021C" w:rsidP="002A021C">
      <w:pPr>
        <w:pStyle w:val="Bibliography"/>
      </w:pPr>
      <w:r>
        <w:t xml:space="preserve">Kofman, Y., &amp; Garfin, D. R. (2020). Home is not always a haven: The domestic violence crisis amid the COVID-19 pandemic. </w:t>
      </w:r>
      <w:r>
        <w:rPr>
          <w:i/>
          <w:iCs/>
        </w:rPr>
        <w:t>Psychological Trauma : Theory, Research, Practice and Policy</w:t>
      </w:r>
      <w:r>
        <w:t xml:space="preserve">, </w:t>
      </w:r>
      <w:r>
        <w:rPr>
          <w:i/>
          <w:iCs/>
        </w:rPr>
        <w:t>12</w:t>
      </w:r>
      <w:r>
        <w:t>(Suppl 1), S199–S201. https://doi.org/10.1037/tra0000866</w:t>
      </w:r>
    </w:p>
    <w:p w14:paraId="69BFD30C" w14:textId="77777777" w:rsidR="002A021C" w:rsidRDefault="002A021C" w:rsidP="002A021C">
      <w:pPr>
        <w:pStyle w:val="Bibliography"/>
      </w:pPr>
      <w:r>
        <w:t xml:space="preserve">Krüsselmann, K., &amp; Weggemans, D. (2023). Radicalization and left-wing extremism. In J. P. Zúquete (Ed.), </w:t>
      </w:r>
      <w:r>
        <w:rPr>
          <w:i/>
          <w:iCs/>
        </w:rPr>
        <w:t>The Palgrave Handbook of Left-Wing Extremism, Volume 1</w:t>
      </w:r>
      <w:r>
        <w:t xml:space="preserve"> (pp. 55–68). Springer International Publishing. https://doi.org/10.1007/978-3-031-30897-0_3</w:t>
      </w:r>
    </w:p>
    <w:p w14:paraId="7F1063C0" w14:textId="77777777" w:rsidR="002A021C" w:rsidRDefault="002A021C" w:rsidP="002A021C">
      <w:pPr>
        <w:pStyle w:val="Bibliography"/>
      </w:pPr>
      <w:r>
        <w:t xml:space="preserve">Mandel, D. (2010). Radicalization: What does it mean? In </w:t>
      </w:r>
      <w:r>
        <w:rPr>
          <w:i/>
          <w:iCs/>
        </w:rPr>
        <w:t>T. Pick &amp; A. Speckhard (Eds.), Indigenous terrorism: Understanding and addressing the root causes of radicalisation among groups with an immigrant heritage in Europe</w:t>
      </w:r>
      <w:r>
        <w:t xml:space="preserve"> (pp. 101–113). IOS Press.</w:t>
      </w:r>
    </w:p>
    <w:p w14:paraId="32CFA846" w14:textId="77777777" w:rsidR="002A021C" w:rsidRDefault="002A021C" w:rsidP="002A021C">
      <w:pPr>
        <w:pStyle w:val="Bibliography"/>
      </w:pPr>
      <w:r>
        <w:t xml:space="preserve">Marone, F. (2022). Hate in the time of coronavirus: Exploring the impact of the COVID-19 pandemic on violent extremism and terrorism in the West. </w:t>
      </w:r>
      <w:r>
        <w:rPr>
          <w:i/>
          <w:iCs/>
        </w:rPr>
        <w:t>Security Journal</w:t>
      </w:r>
      <w:r>
        <w:t xml:space="preserve">, </w:t>
      </w:r>
      <w:r>
        <w:rPr>
          <w:i/>
          <w:iCs/>
        </w:rPr>
        <w:t>35</w:t>
      </w:r>
      <w:r>
        <w:t>(1), 205–225. https://doi.org/10.1057/s41284-020-00274-y</w:t>
      </w:r>
    </w:p>
    <w:p w14:paraId="63775214" w14:textId="77777777" w:rsidR="002A021C" w:rsidRDefault="002A021C" w:rsidP="002A021C">
      <w:pPr>
        <w:pStyle w:val="Bibliography"/>
      </w:pPr>
      <w:r>
        <w:t xml:space="preserve">Michelitch, K., &amp; Utych, S. (2018). Electoral Cycle Fluctuations in Partisanship: Global Evidence from Eighty-Six Countries. </w:t>
      </w:r>
      <w:r>
        <w:rPr>
          <w:i/>
          <w:iCs/>
        </w:rPr>
        <w:t>The Journal of Politics</w:t>
      </w:r>
      <w:r>
        <w:t xml:space="preserve">, </w:t>
      </w:r>
      <w:r>
        <w:rPr>
          <w:i/>
          <w:iCs/>
        </w:rPr>
        <w:t>80</w:t>
      </w:r>
      <w:r>
        <w:t>(2), 412–427. https://doi.org/10.1086/694783</w:t>
      </w:r>
    </w:p>
    <w:p w14:paraId="7394C27F" w14:textId="77777777" w:rsidR="002A021C" w:rsidRDefault="002A021C" w:rsidP="002A021C">
      <w:pPr>
        <w:pStyle w:val="Bibliography"/>
      </w:pPr>
      <w:r>
        <w:t xml:space="preserve">Midlarsky, M. I. (2011). Origins of political extremism mass violence in the twentieth century and beyond. </w:t>
      </w:r>
      <w:r>
        <w:rPr>
          <w:i/>
          <w:iCs/>
        </w:rPr>
        <w:t>Cambridge University Press</w:t>
      </w:r>
      <w:r>
        <w:t>.</w:t>
      </w:r>
    </w:p>
    <w:p w14:paraId="2CF67E4B" w14:textId="77777777" w:rsidR="002A021C" w:rsidRDefault="002A021C" w:rsidP="002A021C">
      <w:pPr>
        <w:pStyle w:val="Bibliography"/>
      </w:pPr>
      <w:r>
        <w:t xml:space="preserve">Mudde, C. (1995). Right-wing extremism analyzed. </w:t>
      </w:r>
      <w:r>
        <w:rPr>
          <w:i/>
          <w:iCs/>
        </w:rPr>
        <w:t>European Journal of Political Research</w:t>
      </w:r>
      <w:r>
        <w:t xml:space="preserve">, </w:t>
      </w:r>
      <w:r>
        <w:rPr>
          <w:i/>
          <w:iCs/>
        </w:rPr>
        <w:t>27</w:t>
      </w:r>
      <w:r>
        <w:t>(2), 203–224. https://doi.org/10.1111/j.1475-6765.1995.tb00636.x</w:t>
      </w:r>
    </w:p>
    <w:p w14:paraId="0757DC57" w14:textId="77777777" w:rsidR="002A021C" w:rsidRDefault="002A021C" w:rsidP="002A021C">
      <w:pPr>
        <w:pStyle w:val="Bibliography"/>
      </w:pPr>
      <w:r>
        <w:lastRenderedPageBreak/>
        <w:t xml:space="preserve">NordForsk. (2024, May 22). </w:t>
      </w:r>
      <w:r>
        <w:rPr>
          <w:i/>
          <w:iCs/>
        </w:rPr>
        <w:t>Polarisation and radicalisation threaten our democratic society</w:t>
      </w:r>
      <w:r>
        <w:t>. NordForsk. https://www.nordforsk.org/news/polarisation-and-radicalisation-threaten-our-democratic-society</w:t>
      </w:r>
    </w:p>
    <w:p w14:paraId="50ACA7F5" w14:textId="25E0C886" w:rsidR="002A021C" w:rsidRDefault="002A021C" w:rsidP="002A021C">
      <w:pPr>
        <w:pStyle w:val="Bibliography"/>
      </w:pPr>
      <w:r>
        <w:t xml:space="preserve">Onursal, R., &amp; Kirkpatrick, D. (2021). Is Extremism the </w:t>
      </w:r>
      <w:r w:rsidR="005A61E4">
        <w:t>'</w:t>
      </w:r>
      <w:r>
        <w:t>New</w:t>
      </w:r>
      <w:r w:rsidR="005A61E4">
        <w:t>'</w:t>
      </w:r>
      <w:r>
        <w:t xml:space="preserve"> Terrorism? The convergence of </w:t>
      </w:r>
      <w:r w:rsidR="005A61E4">
        <w:t>"</w:t>
      </w:r>
      <w:r>
        <w:t>extremism</w:t>
      </w:r>
      <w:r w:rsidR="005A61E4">
        <w:t>"</w:t>
      </w:r>
      <w:r>
        <w:t xml:space="preserve"> and </w:t>
      </w:r>
      <w:r w:rsidR="005A61E4">
        <w:t>"</w:t>
      </w:r>
      <w:r>
        <w:t>terrorism</w:t>
      </w:r>
      <w:r w:rsidR="005A61E4">
        <w:t>"</w:t>
      </w:r>
      <w:r>
        <w:t xml:space="preserve"> in British parliamentary discourse. </w:t>
      </w:r>
      <w:r>
        <w:rPr>
          <w:i/>
          <w:iCs/>
        </w:rPr>
        <w:t>Terrorism and Political Violence</w:t>
      </w:r>
      <w:r>
        <w:t xml:space="preserve">, </w:t>
      </w:r>
      <w:r>
        <w:rPr>
          <w:i/>
          <w:iCs/>
        </w:rPr>
        <w:t>33</w:t>
      </w:r>
      <w:r>
        <w:t>(5), 1094–1116. https://doi.org/10.1080/09546553.2019.1598391</w:t>
      </w:r>
    </w:p>
    <w:p w14:paraId="0AB43E3F" w14:textId="77777777" w:rsidR="002A021C" w:rsidRDefault="002A021C" w:rsidP="002A021C">
      <w:pPr>
        <w:pStyle w:val="Bibliography"/>
      </w:pPr>
      <w:r>
        <w:t xml:space="preserve">Ozer, S., &amp; Bertelsen, P. (2018). Capturing violent radicalization: Developing and validating scales measuring central aspects of radicalization. </w:t>
      </w:r>
      <w:r>
        <w:rPr>
          <w:i/>
          <w:iCs/>
        </w:rPr>
        <w:t>Scandinavian Journal of Psychology</w:t>
      </w:r>
      <w:r>
        <w:t xml:space="preserve">, </w:t>
      </w:r>
      <w:r>
        <w:rPr>
          <w:i/>
          <w:iCs/>
        </w:rPr>
        <w:t>59</w:t>
      </w:r>
      <w:r>
        <w:t>(6), 653–660. https://doi.org/10.1111/sjop.12484</w:t>
      </w:r>
    </w:p>
    <w:p w14:paraId="3FC49B01" w14:textId="77777777" w:rsidR="002A021C" w:rsidRDefault="002A021C" w:rsidP="002A021C">
      <w:pPr>
        <w:pStyle w:val="Bibliography"/>
      </w:pPr>
      <w:r>
        <w:t xml:space="preserve">Ozer, S., Obaidi, M., &amp; Bergh, R. (2025). The impact of globalized conflicts: Examining attitudes toward Jews among Britons in the political context of the war in Gaza. </w:t>
      </w:r>
      <w:r>
        <w:rPr>
          <w:i/>
          <w:iCs/>
        </w:rPr>
        <w:t>International Journal of Intercultural Relations</w:t>
      </w:r>
      <w:r>
        <w:t xml:space="preserve">, </w:t>
      </w:r>
      <w:r>
        <w:rPr>
          <w:i/>
          <w:iCs/>
        </w:rPr>
        <w:t>107</w:t>
      </w:r>
      <w:r>
        <w:t>, 102184. https://doi.org/10.1016/j.ijintrel.2025.102184</w:t>
      </w:r>
    </w:p>
    <w:p w14:paraId="747B3DF7" w14:textId="77777777" w:rsidR="002A021C" w:rsidRDefault="002A021C" w:rsidP="002A021C">
      <w:pPr>
        <w:pStyle w:val="Bibliography"/>
      </w:pPr>
      <w:r>
        <w:t xml:space="preserve">Pauwels, L. J. R., &amp; Heylen, B. (2020). Perceived Group Threat, Perceived Injustice, and Self-Reported Right-Wing Violence: An Integrative Approach to the Explanation Right-Wing Violence. </w:t>
      </w:r>
      <w:r>
        <w:rPr>
          <w:i/>
          <w:iCs/>
        </w:rPr>
        <w:t>Journal of Interpersonal Violence</w:t>
      </w:r>
      <w:r>
        <w:t xml:space="preserve">, </w:t>
      </w:r>
      <w:r>
        <w:rPr>
          <w:i/>
          <w:iCs/>
        </w:rPr>
        <w:t>35</w:t>
      </w:r>
      <w:r>
        <w:t>(21–22), 4276–4302. https://doi.org/10.1177/0886260517713711</w:t>
      </w:r>
    </w:p>
    <w:p w14:paraId="37052D4F" w14:textId="77777777" w:rsidR="002A021C" w:rsidRDefault="002A021C" w:rsidP="002A021C">
      <w:pPr>
        <w:pStyle w:val="Bibliography"/>
      </w:pPr>
      <w:r>
        <w:t xml:space="preserve">Pfundmair, M., Wood, N. R., Hales, A., &amp; Wesselmann, E. D. (2024). How social exclusion makes radicalism flourish: A review of empirical evidence. </w:t>
      </w:r>
      <w:r>
        <w:rPr>
          <w:i/>
          <w:iCs/>
        </w:rPr>
        <w:t>Journal of Social Issues</w:t>
      </w:r>
      <w:r>
        <w:t xml:space="preserve">, </w:t>
      </w:r>
      <w:r>
        <w:rPr>
          <w:i/>
          <w:iCs/>
        </w:rPr>
        <w:t>80</w:t>
      </w:r>
      <w:r>
        <w:t>(1), 341–359. https://doi.org/10.1111/josi.12520</w:t>
      </w:r>
    </w:p>
    <w:p w14:paraId="5CA7FDD9" w14:textId="77777777" w:rsidR="002A021C" w:rsidRDefault="002A021C" w:rsidP="002A021C">
      <w:pPr>
        <w:pStyle w:val="Bibliography"/>
      </w:pPr>
      <w:r>
        <w:t xml:space="preserve">Pretus, C., Sheikh, H., Hamid, N., &amp; Atran, S. (2023). Predicting Radicalism After Perceived Injustice: The Role of Separatist Identity, Sacred Values, and Police Violence. </w:t>
      </w:r>
      <w:r>
        <w:rPr>
          <w:i/>
          <w:iCs/>
        </w:rPr>
        <w:t>Journal of Social and Political Psychology</w:t>
      </w:r>
      <w:r>
        <w:t xml:space="preserve">, </w:t>
      </w:r>
      <w:r>
        <w:rPr>
          <w:i/>
          <w:iCs/>
        </w:rPr>
        <w:t>11</w:t>
      </w:r>
      <w:r>
        <w:t>(2), 730–746. https://doi.org/10.5964/jspp.11255</w:t>
      </w:r>
    </w:p>
    <w:p w14:paraId="33C258FB" w14:textId="77777777" w:rsidR="002A021C" w:rsidRDefault="002A021C" w:rsidP="002A021C">
      <w:pPr>
        <w:pStyle w:val="Bibliography"/>
      </w:pPr>
      <w:r>
        <w:lastRenderedPageBreak/>
        <w:t xml:space="preserve">Rasler, K. (1986). War Accommodation, and Violence in the United States, 1890-1970. </w:t>
      </w:r>
      <w:r>
        <w:rPr>
          <w:i/>
          <w:iCs/>
        </w:rPr>
        <w:t>The American Political Science Review</w:t>
      </w:r>
      <w:r>
        <w:t xml:space="preserve">, </w:t>
      </w:r>
      <w:r>
        <w:rPr>
          <w:i/>
          <w:iCs/>
        </w:rPr>
        <w:t>80</w:t>
      </w:r>
      <w:r>
        <w:t>(3), 921–945. https://doi.org/10.2307/1960545</w:t>
      </w:r>
    </w:p>
    <w:p w14:paraId="41DC6548" w14:textId="77777777" w:rsidR="002A021C" w:rsidRDefault="002A021C" w:rsidP="002A021C">
      <w:pPr>
        <w:pStyle w:val="Bibliography"/>
      </w:pPr>
      <w:r>
        <w:t xml:space="preserve">Rigoli, F. (2023). Political Extremism in a Global Perspective. </w:t>
      </w:r>
      <w:r>
        <w:rPr>
          <w:i/>
          <w:iCs/>
        </w:rPr>
        <w:t>Journal of Global Awareness</w:t>
      </w:r>
      <w:r>
        <w:t xml:space="preserve">, </w:t>
      </w:r>
      <w:r>
        <w:rPr>
          <w:i/>
          <w:iCs/>
        </w:rPr>
        <w:t>4</w:t>
      </w:r>
      <w:r>
        <w:t>(1). https://openaccess.city.ac.uk/id/eprint/30561/</w:t>
      </w:r>
    </w:p>
    <w:p w14:paraId="3F265BAA" w14:textId="77777777" w:rsidR="002A021C" w:rsidRDefault="002A021C" w:rsidP="002A021C">
      <w:pPr>
        <w:pStyle w:val="Bibliography"/>
      </w:pPr>
      <w:r>
        <w:t xml:space="preserve">Schmid, A. (2013). Radicalisation, de-radicalisation, counter-radicalisation: A conceptual discussion and literature review. </w:t>
      </w:r>
      <w:r>
        <w:rPr>
          <w:i/>
          <w:iCs/>
        </w:rPr>
        <w:t>Terrorism and Counter-Terrorism Studies</w:t>
      </w:r>
      <w:r>
        <w:t>. https://doi.org/10.19165/2013.1.02</w:t>
      </w:r>
    </w:p>
    <w:p w14:paraId="3D9760CD" w14:textId="77777777" w:rsidR="002A021C" w:rsidRDefault="002A021C" w:rsidP="002A021C">
      <w:pPr>
        <w:pStyle w:val="Bibliography"/>
      </w:pPr>
      <w:r>
        <w:t xml:space="preserve">Schmid, A. (2014). Violent and non-violent extremism: Two sides of the same coin? </w:t>
      </w:r>
      <w:r>
        <w:rPr>
          <w:i/>
          <w:iCs/>
        </w:rPr>
        <w:t>Terrorism and Counter-Terrorism Studies</w:t>
      </w:r>
      <w:r>
        <w:t>. https://doi.org/10.19165/2014.1.05</w:t>
      </w:r>
    </w:p>
    <w:p w14:paraId="73695C5B" w14:textId="77777777" w:rsidR="002A021C" w:rsidRDefault="002A021C" w:rsidP="002A021C">
      <w:pPr>
        <w:pStyle w:val="Bibliography"/>
      </w:pPr>
      <w:r>
        <w:t xml:space="preserve">Scruton, R. (2007). </w:t>
      </w:r>
      <w:r>
        <w:rPr>
          <w:i/>
          <w:iCs/>
        </w:rPr>
        <w:t>The Palgrave Macmillan dictionary of political thought</w:t>
      </w:r>
      <w:r>
        <w:t xml:space="preserve"> (3rd ed.). Palgrave Macmillan.</w:t>
      </w:r>
    </w:p>
    <w:p w14:paraId="2C08FEA1" w14:textId="77777777" w:rsidR="002A021C" w:rsidRDefault="002A021C" w:rsidP="002A021C">
      <w:pPr>
        <w:pStyle w:val="Bibliography"/>
      </w:pPr>
      <w:r>
        <w:t xml:space="preserve">Sedgwick, M. (2010). The Concept of Radicalization as a Source of Confusion. </w:t>
      </w:r>
      <w:r>
        <w:rPr>
          <w:i/>
          <w:iCs/>
        </w:rPr>
        <w:t>Terrorism and Political Violence</w:t>
      </w:r>
      <w:r>
        <w:t xml:space="preserve">, </w:t>
      </w:r>
      <w:r>
        <w:rPr>
          <w:i/>
          <w:iCs/>
        </w:rPr>
        <w:t>22</w:t>
      </w:r>
      <w:r>
        <w:t>(4), 479–494. https://doi.org/10.1080/09546553.2010.491009</w:t>
      </w:r>
    </w:p>
    <w:p w14:paraId="701D2BCB" w14:textId="782A0295" w:rsidR="002A021C" w:rsidRDefault="002A021C" w:rsidP="002A021C">
      <w:pPr>
        <w:pStyle w:val="Bibliography"/>
      </w:pPr>
      <w:r>
        <w:t>Shuman, E., Saguy, T., Van Zomeren, M., &amp; Halperin, E. (2021). Disrupting the system constructively: Testing the effectiveness of non</w:t>
      </w:r>
      <w:r w:rsidR="005A61E4">
        <w:t>-</w:t>
      </w:r>
      <w:r>
        <w:t>normative non</w:t>
      </w:r>
      <w:r w:rsidR="005A61E4">
        <w:t>-</w:t>
      </w:r>
      <w:r>
        <w:t xml:space="preserve">violent collective action. </w:t>
      </w:r>
      <w:r>
        <w:rPr>
          <w:i/>
          <w:iCs/>
        </w:rPr>
        <w:t>Journal of Personality and Social Psychology</w:t>
      </w:r>
      <w:r>
        <w:t xml:space="preserve">, </w:t>
      </w:r>
      <w:r>
        <w:rPr>
          <w:i/>
          <w:iCs/>
        </w:rPr>
        <w:t>121</w:t>
      </w:r>
      <w:r>
        <w:t>(4), 819–841. https://doi.org/10.1037/pspi0000333</w:t>
      </w:r>
    </w:p>
    <w:p w14:paraId="2A260BA0" w14:textId="799E0B21" w:rsidR="002A021C" w:rsidRDefault="002A021C" w:rsidP="002A021C">
      <w:pPr>
        <w:pStyle w:val="Bibliography"/>
      </w:pPr>
      <w:r>
        <w:t xml:space="preserve">Sotlar, A. (2004). </w:t>
      </w:r>
      <w:r>
        <w:rPr>
          <w:i/>
          <w:iCs/>
        </w:rPr>
        <w:t>Some problems with definition and perception of extremism within society</w:t>
      </w:r>
      <w:r>
        <w:t xml:space="preserve"> (No. 208033). U</w:t>
      </w:r>
      <w:r w:rsidR="005A61E4">
        <w:t>S</w:t>
      </w:r>
      <w:r>
        <w:t xml:space="preserve"> Department of Justice. https://www.ojp.gov/pdffiles1/nij/Mesko/208033.pdf</w:t>
      </w:r>
    </w:p>
    <w:p w14:paraId="1098BCCA" w14:textId="77777777" w:rsidR="002A021C" w:rsidRDefault="002A021C" w:rsidP="002A021C">
      <w:pPr>
        <w:pStyle w:val="Bibliography"/>
      </w:pPr>
      <w:r>
        <w:t xml:space="preserve">Steinhoff, P., &amp; Zwerman, G. (2008). Introduction to the special issue on political violence. </w:t>
      </w:r>
      <w:r>
        <w:rPr>
          <w:i/>
          <w:iCs/>
        </w:rPr>
        <w:t>Qualitative Sociology</w:t>
      </w:r>
      <w:r>
        <w:t xml:space="preserve">, </w:t>
      </w:r>
      <w:r>
        <w:rPr>
          <w:i/>
          <w:iCs/>
        </w:rPr>
        <w:t>31</w:t>
      </w:r>
      <w:r>
        <w:t>(3), 213–220. https://doi.org/10.1007/s11133-008-9111-3</w:t>
      </w:r>
    </w:p>
    <w:p w14:paraId="4E8F45AF" w14:textId="77777777" w:rsidR="002A021C" w:rsidRDefault="002A021C" w:rsidP="002A021C">
      <w:pPr>
        <w:pStyle w:val="Bibliography"/>
      </w:pPr>
      <w:r>
        <w:lastRenderedPageBreak/>
        <w:t xml:space="preserve">Stephan, W. G., &amp; Stephan, C. W. (2000). An integrated threat theory of prejudice. In </w:t>
      </w:r>
      <w:r>
        <w:rPr>
          <w:i/>
          <w:iCs/>
        </w:rPr>
        <w:t>Reducing prejudice and discrimination</w:t>
      </w:r>
      <w:r>
        <w:t xml:space="preserve"> (pp. 23–45). Lawrence Erlbaum Associates Publishers.</w:t>
      </w:r>
    </w:p>
    <w:p w14:paraId="69711C2B" w14:textId="77777777" w:rsidR="002A021C" w:rsidRDefault="002A021C" w:rsidP="002A021C">
      <w:pPr>
        <w:pStyle w:val="Bibliography"/>
      </w:pPr>
      <w:r>
        <w:t xml:space="preserve">Stohl, M. (1975). War and domestic political violence: The case of the United States 1890-1970. </w:t>
      </w:r>
      <w:r>
        <w:rPr>
          <w:i/>
          <w:iCs/>
        </w:rPr>
        <w:t>Journal of Conflict Resolution</w:t>
      </w:r>
      <w:r>
        <w:t xml:space="preserve">, </w:t>
      </w:r>
      <w:r>
        <w:rPr>
          <w:i/>
          <w:iCs/>
        </w:rPr>
        <w:t>19</w:t>
      </w:r>
      <w:r>
        <w:t>(3), 379–416. https://doi.org/10.1177/002200277501900301</w:t>
      </w:r>
    </w:p>
    <w:p w14:paraId="33529668" w14:textId="77777777" w:rsidR="002A021C" w:rsidRDefault="002A021C" w:rsidP="002A021C">
      <w:pPr>
        <w:pStyle w:val="Bibliography"/>
      </w:pPr>
      <w:r>
        <w:t xml:space="preserve">Sullivan, J. L., Piereson, J., &amp; Marcus, G. E. (1979). An alternative conceptualization of political tolerance: Illusory increases 1950s-1970s. </w:t>
      </w:r>
      <w:r>
        <w:rPr>
          <w:i/>
          <w:iCs/>
        </w:rPr>
        <w:t>The American Political Science Review</w:t>
      </w:r>
      <w:r>
        <w:t xml:space="preserve">, </w:t>
      </w:r>
      <w:r>
        <w:rPr>
          <w:i/>
          <w:iCs/>
        </w:rPr>
        <w:t>73</w:t>
      </w:r>
      <w:r>
        <w:t>(3), 781–794. https://doi.org/10.2307/1955404</w:t>
      </w:r>
    </w:p>
    <w:p w14:paraId="0260E622" w14:textId="01A0D838" w:rsidR="002A021C" w:rsidRDefault="002A021C" w:rsidP="002A021C">
      <w:pPr>
        <w:pStyle w:val="Bibliography"/>
      </w:pPr>
      <w:r>
        <w:t xml:space="preserve">Svetlichny, A., &amp; Khorev, M. (2022). On the need to develop a unified terminological approach to the concept of </w:t>
      </w:r>
      <w:r w:rsidR="005A61E4">
        <w:t>'</w:t>
      </w:r>
      <w:r>
        <w:t>extremism</w:t>
      </w:r>
      <w:r w:rsidR="005A61E4">
        <w:t>'</w:t>
      </w:r>
      <w:r>
        <w:t xml:space="preserve">: 004. </w:t>
      </w:r>
      <w:r>
        <w:rPr>
          <w:i/>
          <w:iCs/>
        </w:rPr>
        <w:t>Dela Press Conference Series: Humanities and Social Sciences</w:t>
      </w:r>
      <w:r>
        <w:t xml:space="preserve">, </w:t>
      </w:r>
      <w:r>
        <w:rPr>
          <w:i/>
          <w:iCs/>
        </w:rPr>
        <w:t>01</w:t>
      </w:r>
      <w:r>
        <w:t>, Article 01.</w:t>
      </w:r>
    </w:p>
    <w:p w14:paraId="5A694B5D" w14:textId="77777777" w:rsidR="002A021C" w:rsidRDefault="002A021C" w:rsidP="002A021C">
      <w:pPr>
        <w:pStyle w:val="Bibliography"/>
      </w:pPr>
      <w:r>
        <w:t xml:space="preserve">Talshir, G. (2019). </w:t>
      </w:r>
      <w:r>
        <w:rPr>
          <w:i/>
          <w:iCs/>
        </w:rPr>
        <w:t>Center Parties and Power Change in Israeli Politics</w:t>
      </w:r>
      <w:r>
        <w:t>. Heinrich Böll Stiftung. https://il.boell.org/en/2019/04/03/center-parties-and-power-change-israeli-politics</w:t>
      </w:r>
    </w:p>
    <w:p w14:paraId="147D24A7" w14:textId="77777777" w:rsidR="002A021C" w:rsidRDefault="002A021C" w:rsidP="002A021C">
      <w:pPr>
        <w:pStyle w:val="Bibliography"/>
      </w:pPr>
      <w:r>
        <w:t xml:space="preserve">Uba, K., &amp; Bosi, L. (2022). Explaining youth radicalism as a positioning of the self at opposite extremes. </w:t>
      </w:r>
      <w:r>
        <w:rPr>
          <w:i/>
          <w:iCs/>
        </w:rPr>
        <w:t>Politics</w:t>
      </w:r>
      <w:r>
        <w:t xml:space="preserve">, </w:t>
      </w:r>
      <w:r>
        <w:rPr>
          <w:i/>
          <w:iCs/>
        </w:rPr>
        <w:t>42</w:t>
      </w:r>
      <w:r>
        <w:t>(1), 128–145. https://doi.org/10.1177/0263395721990539</w:t>
      </w:r>
    </w:p>
    <w:p w14:paraId="1FF3DA6F" w14:textId="77777777" w:rsidR="002A021C" w:rsidRDefault="002A021C" w:rsidP="002A021C">
      <w:pPr>
        <w:pStyle w:val="Bibliography"/>
      </w:pPr>
      <w:r>
        <w:t xml:space="preserve">UK Parliament. (2024). </w:t>
      </w:r>
      <w:r>
        <w:rPr>
          <w:i/>
          <w:iCs/>
        </w:rPr>
        <w:t>Extremism Definition and Community Engagement</w:t>
      </w:r>
      <w:r>
        <w:t>. UK Parliament. https://hansard.parliament.uk/Lords/2024-03-19/debates/0641C02D-BD26-47DB-900A-2916104490CB/ExtremismDefinitionAndCommunityEngagement</w:t>
      </w:r>
    </w:p>
    <w:p w14:paraId="690F9DE7" w14:textId="77777777" w:rsidR="002A021C" w:rsidRDefault="002A021C" w:rsidP="002A021C">
      <w:pPr>
        <w:pStyle w:val="Bibliography"/>
      </w:pPr>
      <w:r>
        <w:t xml:space="preserve">Van Hiel, A., Onraet, E., Bostyn, D. H., Stadeus, J., Haesevoets, T., Van Assche, J., &amp; Roets, A. (2020). A meta-analytic integration of research on the relationship between right-wing ideological attitudes and aggressive tendencies. </w:t>
      </w:r>
      <w:r>
        <w:rPr>
          <w:i/>
          <w:iCs/>
        </w:rPr>
        <w:t xml:space="preserve">European </w:t>
      </w:r>
      <w:r>
        <w:rPr>
          <w:i/>
          <w:iCs/>
        </w:rPr>
        <w:lastRenderedPageBreak/>
        <w:t>Review of Social Psychology</w:t>
      </w:r>
      <w:r>
        <w:t xml:space="preserve">, </w:t>
      </w:r>
      <w:r>
        <w:rPr>
          <w:i/>
          <w:iCs/>
        </w:rPr>
        <w:t>31</w:t>
      </w:r>
      <w:r>
        <w:t>(1), 183–221. https://doi.org/10.1080/10463283.2020.1778324</w:t>
      </w:r>
    </w:p>
    <w:p w14:paraId="17298EFF" w14:textId="77777777" w:rsidR="002A021C" w:rsidRDefault="002A021C" w:rsidP="002A021C">
      <w:pPr>
        <w:pStyle w:val="Bibliography"/>
      </w:pPr>
      <w:r>
        <w:t xml:space="preserve">van Prooijen, J.-W., &amp; Krouwel, A. P. M. (2019). Psychological features of extreme political ideologies. </w:t>
      </w:r>
      <w:r>
        <w:rPr>
          <w:i/>
          <w:iCs/>
        </w:rPr>
        <w:t>Current Directions in Psychological Science</w:t>
      </w:r>
      <w:r>
        <w:t xml:space="preserve">, </w:t>
      </w:r>
      <w:r>
        <w:rPr>
          <w:i/>
          <w:iCs/>
        </w:rPr>
        <w:t>28</w:t>
      </w:r>
      <w:r>
        <w:t>(2), 159–163. https://doi.org/10.1177/0963721418817755</w:t>
      </w:r>
    </w:p>
    <w:p w14:paraId="305F8B94" w14:textId="77777777" w:rsidR="002A021C" w:rsidRDefault="002A021C" w:rsidP="002A021C">
      <w:pPr>
        <w:pStyle w:val="Bibliography"/>
      </w:pPr>
      <w:r>
        <w:t xml:space="preserve">van Prooijen, J.-W., &amp; Krouwel, A. P. M. (2022). Political Extremism. In C. G. Sibley &amp; D. Osborne (Eds.), </w:t>
      </w:r>
      <w:r>
        <w:rPr>
          <w:i/>
          <w:iCs/>
        </w:rPr>
        <w:t>The Cambridge Handbook of Political Psychology</w:t>
      </w:r>
      <w:r>
        <w:t xml:space="preserve"> (pp. 414–428). Cambridge University Press. https://doi.org/10.1017/9781108779104.029</w:t>
      </w:r>
    </w:p>
    <w:p w14:paraId="5C7A766B" w14:textId="77777777" w:rsidR="002A021C" w:rsidRDefault="002A021C" w:rsidP="002A021C">
      <w:pPr>
        <w:pStyle w:val="Bibliography"/>
      </w:pPr>
      <w:r>
        <w:t xml:space="preserve">van Prooijen, J.-W., Krouwel, A. P. M., &amp; Pollet, T. V. (2015). Political Extremism Predicts Belief in Conspiracy Theories. </w:t>
      </w:r>
      <w:r>
        <w:rPr>
          <w:i/>
          <w:iCs/>
        </w:rPr>
        <w:t>Social Psychological and Personality Science</w:t>
      </w:r>
      <w:r>
        <w:t xml:space="preserve">, </w:t>
      </w:r>
      <w:r>
        <w:rPr>
          <w:i/>
          <w:iCs/>
        </w:rPr>
        <w:t>6</w:t>
      </w:r>
      <w:r>
        <w:t>(5), 570–578. https://doi.org/10.1177/1948550614567356</w:t>
      </w:r>
    </w:p>
    <w:p w14:paraId="611DD5EA" w14:textId="77777777" w:rsidR="002A021C" w:rsidRDefault="002A021C" w:rsidP="002A021C">
      <w:pPr>
        <w:pStyle w:val="Bibliography"/>
      </w:pPr>
      <w:r>
        <w:t xml:space="preserve">van Prooijen, J.-W., &amp; Kuijper, S. M. H. C. (2020). A comparison of extreme religious and political ideologies: Similar worldviews but different grievances. </w:t>
      </w:r>
      <w:r>
        <w:rPr>
          <w:i/>
          <w:iCs/>
        </w:rPr>
        <w:t>Personality and Individual Differences</w:t>
      </w:r>
      <w:r>
        <w:t xml:space="preserve">, </w:t>
      </w:r>
      <w:r>
        <w:rPr>
          <w:i/>
          <w:iCs/>
        </w:rPr>
        <w:t>159</w:t>
      </w:r>
      <w:r>
        <w:t>, 109888. https://doi.org/10.1016/j.paid.2020.109888</w:t>
      </w:r>
    </w:p>
    <w:p w14:paraId="50A45330" w14:textId="77777777" w:rsidR="002A021C" w:rsidRDefault="002A021C" w:rsidP="002A021C">
      <w:pPr>
        <w:pStyle w:val="Bibliography"/>
      </w:pPr>
      <w:r>
        <w:t xml:space="preserve">Vlachos, S. (2016). </w:t>
      </w:r>
      <w:r>
        <w:rPr>
          <w:i/>
          <w:iCs/>
        </w:rPr>
        <w:t>The legacy of war exposure on political radicalization</w:t>
      </w:r>
      <w:r>
        <w:t>. Department of Economics (DEEP), University of Lausanne. https://serval.unil.ch/resource/serval:BIB_99F83F0E52A3.P001/REF.pdf</w:t>
      </w:r>
    </w:p>
    <w:p w14:paraId="4B1848D4" w14:textId="77777777" w:rsidR="002A021C" w:rsidRDefault="002A021C" w:rsidP="002A021C">
      <w:pPr>
        <w:pStyle w:val="Bibliography"/>
      </w:pPr>
      <w:r>
        <w:t xml:space="preserve">Wintrobe, R. (2006). </w:t>
      </w:r>
      <w:r>
        <w:rPr>
          <w:i/>
          <w:iCs/>
        </w:rPr>
        <w:t>Rational extremism: The political economy of radicalism</w:t>
      </w:r>
      <w:r>
        <w:t>. Cambridge University Press.</w:t>
      </w:r>
    </w:p>
    <w:p w14:paraId="7DAED889" w14:textId="77777777" w:rsidR="002A021C" w:rsidRDefault="002A021C" w:rsidP="002A021C">
      <w:pPr>
        <w:pStyle w:val="Bibliography"/>
      </w:pPr>
      <w:r>
        <w:t xml:space="preserve">Zuell, C., &amp; Scholz, E. (2019). Construct Equivalence of Left-Right Scale Placement in a Cross-National Perspective. </w:t>
      </w:r>
      <w:r>
        <w:rPr>
          <w:i/>
          <w:iCs/>
        </w:rPr>
        <w:t>International Journal of Sociology</w:t>
      </w:r>
      <w:r>
        <w:t xml:space="preserve">, </w:t>
      </w:r>
      <w:r>
        <w:rPr>
          <w:i/>
          <w:iCs/>
        </w:rPr>
        <w:t>49</w:t>
      </w:r>
      <w:r>
        <w:t>(1), 77–95. https://doi.org/10.1080/00207659.2018.1560982</w:t>
      </w:r>
    </w:p>
    <w:p w14:paraId="6A7B12EF" w14:textId="5A2CFC2B" w:rsidR="00351F31" w:rsidRPr="00351F31" w:rsidRDefault="00BB63F5" w:rsidP="00351F31">
      <w:pPr>
        <w:pStyle w:val="Paragraph"/>
        <w:rPr>
          <w:lang w:val="en-US"/>
        </w:rPr>
      </w:pPr>
      <w:r>
        <w:rPr>
          <w:lang w:val="en-US"/>
        </w:rPr>
        <w:fldChar w:fldCharType="end"/>
      </w:r>
    </w:p>
    <w:sectPr w:rsidR="00351F31" w:rsidRPr="00351F31" w:rsidSect="00074B81">
      <w:footerReference w:type="default" r:id="rId15"/>
      <w:pgSz w:w="11901" w:h="16840" w:code="9"/>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42569" w14:textId="77777777" w:rsidR="00552C6A" w:rsidRDefault="00552C6A" w:rsidP="00AF2C92">
      <w:r>
        <w:separator/>
      </w:r>
    </w:p>
  </w:endnote>
  <w:endnote w:type="continuationSeparator" w:id="0">
    <w:p w14:paraId="08065791" w14:textId="77777777" w:rsidR="00552C6A" w:rsidRDefault="00552C6A" w:rsidP="00AF2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5032504"/>
      <w:docPartObj>
        <w:docPartGallery w:val="Page Numbers (Bottom of Page)"/>
        <w:docPartUnique/>
      </w:docPartObj>
    </w:sdtPr>
    <w:sdtEndPr>
      <w:rPr>
        <w:noProof/>
      </w:rPr>
    </w:sdtEndPr>
    <w:sdtContent>
      <w:p w14:paraId="44880520" w14:textId="76E33D54" w:rsidR="003A6765" w:rsidRDefault="003A676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399F2D" w14:textId="77777777" w:rsidR="002211DD" w:rsidRDefault="002211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FABF1" w14:textId="77777777" w:rsidR="00552C6A" w:rsidRDefault="00552C6A" w:rsidP="00AF2C92">
      <w:r>
        <w:separator/>
      </w:r>
    </w:p>
  </w:footnote>
  <w:footnote w:type="continuationSeparator" w:id="0">
    <w:p w14:paraId="57FC4E87" w14:textId="77777777" w:rsidR="00552C6A" w:rsidRDefault="00552C6A" w:rsidP="00AF2C92">
      <w:r>
        <w:continuationSeparator/>
      </w:r>
    </w:p>
  </w:footnote>
  <w:footnote w:id="1">
    <w:p w14:paraId="2F7AE595" w14:textId="5F58D9FC" w:rsidR="009E7513" w:rsidRPr="009E7513" w:rsidRDefault="009E7513">
      <w:pPr>
        <w:pStyle w:val="FootnoteText"/>
        <w:rPr>
          <w:lang w:val="en-US"/>
        </w:rPr>
      </w:pPr>
      <w:r>
        <w:rPr>
          <w:rStyle w:val="FootnoteReference"/>
        </w:rPr>
        <w:footnoteRef/>
      </w:r>
      <w:r>
        <w:t xml:space="preserve"> </w:t>
      </w:r>
      <w:r>
        <w:rPr>
          <w:lang w:val="en-US"/>
        </w:rPr>
        <w:t>Dimensions not included are discussed in the SI Appendix</w:t>
      </w:r>
    </w:p>
  </w:footnote>
  <w:footnote w:id="2">
    <w:p w14:paraId="3FB4AF30" w14:textId="1332EE8B" w:rsidR="002F773C" w:rsidRPr="002F773C" w:rsidRDefault="002F773C" w:rsidP="002F773C">
      <w:pPr>
        <w:pStyle w:val="FootnoteText"/>
        <w:rPr>
          <w:lang w:val="en-US"/>
        </w:rPr>
      </w:pPr>
      <w:r>
        <w:rPr>
          <w:rStyle w:val="FootnoteReference"/>
        </w:rPr>
        <w:footnoteRef/>
      </w:r>
      <w:r>
        <w:t xml:space="preserve"> </w:t>
      </w:r>
      <w:r w:rsidRPr="002F773C">
        <w:t>The questionnaires and data used in this paper have been developed and collected by Prof. Sivan Hirsch-Hoefler and Prof. Julia Elad Strenger, based on generous support from the Program on Democratic Resilience and Development (PDRD), and from the institutionalized</w:t>
      </w:r>
      <w:r w:rsidRPr="002F773C">
        <w:rPr>
          <w:rtl/>
        </w:rPr>
        <w:t xml:space="preserve"> </w:t>
      </w:r>
      <w:r w:rsidRPr="002F773C">
        <w:t>partnership between the Konrad-Adenauer-Stiftung (KAS) and the Lauder School of Government, Diplomacy and Strategy, Reichman University (IDC Herzliya)</w:t>
      </w:r>
    </w:p>
  </w:footnote>
  <w:footnote w:id="3">
    <w:p w14:paraId="2CC37AEA" w14:textId="173C7E3A" w:rsidR="00E179B9" w:rsidRPr="00E179B9" w:rsidRDefault="00E179B9">
      <w:pPr>
        <w:pStyle w:val="FootnoteText"/>
        <w:rPr>
          <w:rtl/>
          <w:lang w:val="en-US" w:bidi="he-IL"/>
        </w:rPr>
      </w:pPr>
      <w:r>
        <w:rPr>
          <w:rStyle w:val="FootnoteReference"/>
        </w:rPr>
        <w:footnoteRef/>
      </w:r>
      <w:r>
        <w:t xml:space="preserve"> </w:t>
      </w:r>
      <w:r w:rsidR="00AA6AFE">
        <w:rPr>
          <w:lang w:val="en-US"/>
        </w:rPr>
        <w:t>The calculation of the political extremism dimensions is detailed</w:t>
      </w:r>
      <w:r w:rsidR="0011209B">
        <w:rPr>
          <w:lang w:val="en-US"/>
        </w:rPr>
        <w:t xml:space="preserve"> in the SI appendix</w:t>
      </w:r>
    </w:p>
  </w:footnote>
  <w:footnote w:id="4">
    <w:p w14:paraId="2B2037A5" w14:textId="158F2805" w:rsidR="00EC2F49" w:rsidRPr="00EC2F49" w:rsidRDefault="00EC2F49">
      <w:pPr>
        <w:pStyle w:val="FootnoteText"/>
        <w:rPr>
          <w:lang w:val="en-US"/>
        </w:rPr>
      </w:pPr>
      <w:r>
        <w:rPr>
          <w:rStyle w:val="FootnoteReference"/>
        </w:rPr>
        <w:footnoteRef/>
      </w:r>
      <w:r>
        <w:t xml:space="preserve"> </w:t>
      </w:r>
      <w:r>
        <w:rPr>
          <w:lang w:val="en-US"/>
        </w:rPr>
        <w:t xml:space="preserve">Descriptive information is </w:t>
      </w:r>
      <w:r w:rsidR="00AA6AFE">
        <w:rPr>
          <w:lang w:val="en-US"/>
        </w:rPr>
        <w:t xml:space="preserve">provided </w:t>
      </w:r>
      <w:r>
        <w:rPr>
          <w:lang w:val="en-US"/>
        </w:rPr>
        <w:t>in the SI appendix</w:t>
      </w:r>
    </w:p>
  </w:footnote>
  <w:footnote w:id="5">
    <w:p w14:paraId="22F85421" w14:textId="66BC349E" w:rsidR="00AA6AFE" w:rsidRPr="00AA6AFE" w:rsidRDefault="00AA6AFE">
      <w:pPr>
        <w:pStyle w:val="FootnoteText"/>
        <w:rPr>
          <w:lang w:val="en-US"/>
        </w:rPr>
      </w:pPr>
      <w:r>
        <w:rPr>
          <w:rStyle w:val="FootnoteReference"/>
        </w:rPr>
        <w:footnoteRef/>
      </w:r>
      <w:r>
        <w:t xml:space="preserve"> Detailed information covering the gauge indices is in the SI appendix</w:t>
      </w:r>
    </w:p>
  </w:footnote>
  <w:footnote w:id="6">
    <w:p w14:paraId="3263E28D" w14:textId="2DBA9431" w:rsidR="00A82F3E" w:rsidRPr="00A82F3E" w:rsidRDefault="00A82F3E">
      <w:pPr>
        <w:pStyle w:val="FootnoteText"/>
        <w:rPr>
          <w:lang w:val="en-US"/>
        </w:rPr>
      </w:pPr>
      <w:r>
        <w:rPr>
          <w:rStyle w:val="FootnoteReference"/>
        </w:rPr>
        <w:footnoteRef/>
      </w:r>
      <w:r>
        <w:t xml:space="preserve"> C</w:t>
      </w:r>
      <w:proofErr w:type="spellStart"/>
      <w:r>
        <w:rPr>
          <w:lang w:val="en-US"/>
        </w:rPr>
        <w:t>omparison</w:t>
      </w:r>
      <w:proofErr w:type="spellEnd"/>
      <w:r>
        <w:rPr>
          <w:lang w:val="en-US"/>
        </w:rPr>
        <w:t xml:space="preserve"> to other methods for identifying distribution tail is detailed in the SI appendix.</w:t>
      </w:r>
    </w:p>
  </w:footnote>
  <w:footnote w:id="7">
    <w:p w14:paraId="31C9130E" w14:textId="0D0FF1D4" w:rsidR="007D20EB" w:rsidRPr="007D20EB" w:rsidRDefault="007D20EB">
      <w:pPr>
        <w:pStyle w:val="FootnoteText"/>
        <w:rPr>
          <w:lang w:val="en-US"/>
        </w:rPr>
      </w:pPr>
      <w:r>
        <w:rPr>
          <w:rStyle w:val="FootnoteReference"/>
        </w:rPr>
        <w:footnoteRef/>
      </w:r>
      <w:r>
        <w:t xml:space="preserve"> </w:t>
      </w:r>
      <w:r w:rsidR="00CD41FC">
        <w:t>The</w:t>
      </w:r>
      <w:r>
        <w:t xml:space="preserve"> </w:t>
      </w:r>
      <w:r w:rsidR="00CD41FC">
        <w:t xml:space="preserve">detailed </w:t>
      </w:r>
      <w:r>
        <w:t xml:space="preserve">results of the </w:t>
      </w:r>
      <w:r w:rsidR="00CD41FC">
        <w:t>M</w:t>
      </w:r>
      <w:r w:rsidR="004810BA">
        <w:rPr>
          <w:lang w:val="en-US"/>
        </w:rPr>
        <w:t>ANOVA</w:t>
      </w:r>
      <w:r>
        <w:rPr>
          <w:lang w:val="en-US"/>
        </w:rPr>
        <w:t xml:space="preserve"> analysis are provided in the SI appendix </w:t>
      </w:r>
    </w:p>
  </w:footnote>
  <w:footnote w:id="8">
    <w:p w14:paraId="092DBCDE" w14:textId="784AB521" w:rsidR="003E3CE0" w:rsidRPr="00162638" w:rsidRDefault="003E3CE0" w:rsidP="003E3CE0">
      <w:pPr>
        <w:pStyle w:val="FootnoteText"/>
        <w:rPr>
          <w:lang w:val="en-US"/>
        </w:rPr>
      </w:pPr>
      <w:r>
        <w:rPr>
          <w:rStyle w:val="FootnoteReference"/>
        </w:rPr>
        <w:footnoteRef/>
      </w:r>
      <w:r>
        <w:t xml:space="preserve"> Detailed results of the robustness tests are provided in the SI appendix.</w:t>
      </w:r>
    </w:p>
  </w:footnote>
  <w:footnote w:id="9">
    <w:p w14:paraId="7C00F461" w14:textId="1C40E7EA" w:rsidR="001F3AA2" w:rsidRDefault="001F3AA2" w:rsidP="001F3AA2">
      <w:pPr>
        <w:pStyle w:val="FootnoteText"/>
      </w:pPr>
      <w:r>
        <w:rPr>
          <w:rStyle w:val="FootnoteReference"/>
        </w:rPr>
        <w:footnoteRef/>
      </w:r>
      <w:r>
        <w:t xml:space="preserve"> </w:t>
      </w:r>
      <w:r w:rsidRPr="001F3AA2">
        <w:rPr>
          <w:lang w:val="en-US"/>
        </w:rPr>
        <w:t>The Israeli Democracy Index 2024 / Analysis of Voting Trends and Intentions in Israel: Review of 2024</w:t>
      </w:r>
      <w:r>
        <w:t xml:space="preserve"> </w:t>
      </w:r>
      <w:hyperlink r:id="rId1" w:history="1">
        <w:r w:rsidRPr="0027355B">
          <w:rPr>
            <w:rStyle w:val="Hyperlink"/>
          </w:rPr>
          <w:t>https://en.idi.org.il/media/26705/madd-d2024-eng05print.pdf</w:t>
        </w:r>
      </w:hyperlink>
    </w:p>
    <w:p w14:paraId="137490DC" w14:textId="4BAC365B" w:rsidR="001F3AA2" w:rsidRPr="001F3AA2" w:rsidRDefault="001F3AA2">
      <w:pPr>
        <w:pStyle w:val="FootnoteText"/>
        <w:rPr>
          <w:lang w:val="en-US"/>
        </w:rPr>
      </w:pPr>
    </w:p>
  </w:footnote>
  <w:footnote w:id="10">
    <w:p w14:paraId="06E087FE" w14:textId="77777777" w:rsidR="00B25B15" w:rsidRPr="00E42D4E" w:rsidRDefault="00B25B15" w:rsidP="00B25B15">
      <w:pPr>
        <w:pStyle w:val="FootnoteText"/>
        <w:rPr>
          <w:lang w:val="en-US"/>
        </w:rPr>
      </w:pPr>
      <w:r>
        <w:rPr>
          <w:rStyle w:val="FootnoteReference"/>
        </w:rPr>
        <w:footnoteRef/>
      </w:r>
      <w:r>
        <w:t xml:space="preserve"> </w:t>
      </w:r>
      <w:r>
        <w:rPr>
          <w:lang w:val="en-US"/>
        </w:rPr>
        <w:t>Detailed analysis of extremists’ transitions is provided in the SI appendix</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1FECA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C74E2D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F228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274B1E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2442F1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9147BC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94C1B5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4C6DA0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72E25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DC819A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B041E84"/>
    <w:multiLevelType w:val="hybridMultilevel"/>
    <w:tmpl w:val="DE448102"/>
    <w:lvl w:ilvl="0" w:tplc="8AAC5D82">
      <w:start w:val="1"/>
      <w:numFmt w:val="bullet"/>
      <w:lvlText w:val="•"/>
      <w:lvlJc w:val="left"/>
      <w:pPr>
        <w:tabs>
          <w:tab w:val="num" w:pos="720"/>
        </w:tabs>
        <w:ind w:left="720" w:hanging="360"/>
      </w:pPr>
      <w:rPr>
        <w:rFonts w:ascii="Arial" w:hAnsi="Arial" w:hint="default"/>
      </w:rPr>
    </w:lvl>
    <w:lvl w:ilvl="1" w:tplc="E10C2030">
      <w:start w:val="1"/>
      <w:numFmt w:val="bullet"/>
      <w:lvlText w:val="•"/>
      <w:lvlJc w:val="left"/>
      <w:pPr>
        <w:tabs>
          <w:tab w:val="num" w:pos="1440"/>
        </w:tabs>
        <w:ind w:left="1440" w:hanging="360"/>
      </w:pPr>
      <w:rPr>
        <w:rFonts w:ascii="Arial" w:hAnsi="Arial" w:hint="default"/>
      </w:rPr>
    </w:lvl>
    <w:lvl w:ilvl="2" w:tplc="1E9803A2" w:tentative="1">
      <w:start w:val="1"/>
      <w:numFmt w:val="bullet"/>
      <w:lvlText w:val="•"/>
      <w:lvlJc w:val="left"/>
      <w:pPr>
        <w:tabs>
          <w:tab w:val="num" w:pos="2160"/>
        </w:tabs>
        <w:ind w:left="2160" w:hanging="360"/>
      </w:pPr>
      <w:rPr>
        <w:rFonts w:ascii="Arial" w:hAnsi="Arial" w:hint="default"/>
      </w:rPr>
    </w:lvl>
    <w:lvl w:ilvl="3" w:tplc="B84AA7B0" w:tentative="1">
      <w:start w:val="1"/>
      <w:numFmt w:val="bullet"/>
      <w:lvlText w:val="•"/>
      <w:lvlJc w:val="left"/>
      <w:pPr>
        <w:tabs>
          <w:tab w:val="num" w:pos="2880"/>
        </w:tabs>
        <w:ind w:left="2880" w:hanging="360"/>
      </w:pPr>
      <w:rPr>
        <w:rFonts w:ascii="Arial" w:hAnsi="Arial" w:hint="default"/>
      </w:rPr>
    </w:lvl>
    <w:lvl w:ilvl="4" w:tplc="7FD20BFC" w:tentative="1">
      <w:start w:val="1"/>
      <w:numFmt w:val="bullet"/>
      <w:lvlText w:val="•"/>
      <w:lvlJc w:val="left"/>
      <w:pPr>
        <w:tabs>
          <w:tab w:val="num" w:pos="3600"/>
        </w:tabs>
        <w:ind w:left="3600" w:hanging="360"/>
      </w:pPr>
      <w:rPr>
        <w:rFonts w:ascii="Arial" w:hAnsi="Arial" w:hint="default"/>
      </w:rPr>
    </w:lvl>
    <w:lvl w:ilvl="5" w:tplc="114E2DC6" w:tentative="1">
      <w:start w:val="1"/>
      <w:numFmt w:val="bullet"/>
      <w:lvlText w:val="•"/>
      <w:lvlJc w:val="left"/>
      <w:pPr>
        <w:tabs>
          <w:tab w:val="num" w:pos="4320"/>
        </w:tabs>
        <w:ind w:left="4320" w:hanging="360"/>
      </w:pPr>
      <w:rPr>
        <w:rFonts w:ascii="Arial" w:hAnsi="Arial" w:hint="default"/>
      </w:rPr>
    </w:lvl>
    <w:lvl w:ilvl="6" w:tplc="6D363F3A" w:tentative="1">
      <w:start w:val="1"/>
      <w:numFmt w:val="bullet"/>
      <w:lvlText w:val="•"/>
      <w:lvlJc w:val="left"/>
      <w:pPr>
        <w:tabs>
          <w:tab w:val="num" w:pos="5040"/>
        </w:tabs>
        <w:ind w:left="5040" w:hanging="360"/>
      </w:pPr>
      <w:rPr>
        <w:rFonts w:ascii="Arial" w:hAnsi="Arial" w:hint="default"/>
      </w:rPr>
    </w:lvl>
    <w:lvl w:ilvl="7" w:tplc="249CD33C" w:tentative="1">
      <w:start w:val="1"/>
      <w:numFmt w:val="bullet"/>
      <w:lvlText w:val="•"/>
      <w:lvlJc w:val="left"/>
      <w:pPr>
        <w:tabs>
          <w:tab w:val="num" w:pos="5760"/>
        </w:tabs>
        <w:ind w:left="5760" w:hanging="360"/>
      </w:pPr>
      <w:rPr>
        <w:rFonts w:ascii="Arial" w:hAnsi="Arial" w:hint="default"/>
      </w:rPr>
    </w:lvl>
    <w:lvl w:ilvl="8" w:tplc="243A241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7" w15:restartNumberingAfterBreak="0">
    <w:nsid w:val="30027EBD"/>
    <w:multiLevelType w:val="hybridMultilevel"/>
    <w:tmpl w:val="C4DA7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30605F"/>
    <w:multiLevelType w:val="hybridMultilevel"/>
    <w:tmpl w:val="F2CAD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4AF55756"/>
    <w:multiLevelType w:val="multilevel"/>
    <w:tmpl w:val="A49E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372B28"/>
    <w:multiLevelType w:val="multilevel"/>
    <w:tmpl w:val="98B8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08033995">
    <w:abstractNumId w:val="16"/>
  </w:num>
  <w:num w:numId="2" w16cid:durableId="38745482">
    <w:abstractNumId w:val="24"/>
  </w:num>
  <w:num w:numId="3" w16cid:durableId="95255833">
    <w:abstractNumId w:val="1"/>
  </w:num>
  <w:num w:numId="4" w16cid:durableId="1546521995">
    <w:abstractNumId w:val="2"/>
  </w:num>
  <w:num w:numId="5" w16cid:durableId="1379822719">
    <w:abstractNumId w:val="3"/>
  </w:num>
  <w:num w:numId="6" w16cid:durableId="613899339">
    <w:abstractNumId w:val="4"/>
  </w:num>
  <w:num w:numId="7" w16cid:durableId="454910102">
    <w:abstractNumId w:val="9"/>
  </w:num>
  <w:num w:numId="8" w16cid:durableId="1453398747">
    <w:abstractNumId w:val="5"/>
  </w:num>
  <w:num w:numId="9" w16cid:durableId="1961380236">
    <w:abstractNumId w:val="7"/>
  </w:num>
  <w:num w:numId="10" w16cid:durableId="1619601001">
    <w:abstractNumId w:val="6"/>
  </w:num>
  <w:num w:numId="11" w16cid:durableId="434715984">
    <w:abstractNumId w:val="10"/>
  </w:num>
  <w:num w:numId="12" w16cid:durableId="944191396">
    <w:abstractNumId w:val="8"/>
  </w:num>
  <w:num w:numId="13" w16cid:durableId="432551981">
    <w:abstractNumId w:val="20"/>
  </w:num>
  <w:num w:numId="14" w16cid:durableId="2126187827">
    <w:abstractNumId w:val="25"/>
  </w:num>
  <w:num w:numId="15" w16cid:durableId="993342305">
    <w:abstractNumId w:val="15"/>
  </w:num>
  <w:num w:numId="16" w16cid:durableId="541212593">
    <w:abstractNumId w:val="19"/>
  </w:num>
  <w:num w:numId="17" w16cid:durableId="1801536575">
    <w:abstractNumId w:val="11"/>
  </w:num>
  <w:num w:numId="18" w16cid:durableId="587617281">
    <w:abstractNumId w:val="0"/>
  </w:num>
  <w:num w:numId="19" w16cid:durableId="1353453490">
    <w:abstractNumId w:val="12"/>
  </w:num>
  <w:num w:numId="20" w16cid:durableId="1340738949">
    <w:abstractNumId w:val="25"/>
  </w:num>
  <w:num w:numId="21" w16cid:durableId="115687280">
    <w:abstractNumId w:val="25"/>
  </w:num>
  <w:num w:numId="22" w16cid:durableId="1123302242">
    <w:abstractNumId w:val="25"/>
  </w:num>
  <w:num w:numId="23" w16cid:durableId="1604609811">
    <w:abstractNumId w:val="25"/>
  </w:num>
  <w:num w:numId="24" w16cid:durableId="2099138134">
    <w:abstractNumId w:val="20"/>
  </w:num>
  <w:num w:numId="25" w16cid:durableId="490607757">
    <w:abstractNumId w:val="21"/>
  </w:num>
  <w:num w:numId="26" w16cid:durableId="1888224470">
    <w:abstractNumId w:val="26"/>
  </w:num>
  <w:num w:numId="27" w16cid:durableId="1231846823">
    <w:abstractNumId w:val="27"/>
  </w:num>
  <w:num w:numId="28" w16cid:durableId="629435270">
    <w:abstractNumId w:val="25"/>
  </w:num>
  <w:num w:numId="29" w16cid:durableId="1087728997">
    <w:abstractNumId w:val="14"/>
  </w:num>
  <w:num w:numId="30" w16cid:durableId="1436900190">
    <w:abstractNumId w:val="28"/>
  </w:num>
  <w:num w:numId="31" w16cid:durableId="801079065">
    <w:abstractNumId w:val="13"/>
  </w:num>
  <w:num w:numId="32" w16cid:durableId="560019804">
    <w:abstractNumId w:val="17"/>
  </w:num>
  <w:num w:numId="33" w16cid:durableId="266928492">
    <w:abstractNumId w:val="18"/>
  </w:num>
  <w:num w:numId="34" w16cid:durableId="2082019943">
    <w:abstractNumId w:val="22"/>
  </w:num>
  <w:num w:numId="35" w16cid:durableId="153145684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czNjUwNzY1N7e0NDZT0lEKTi0uzszPAykwNq8FADNQopwtAAAA"/>
  </w:docVars>
  <w:rsids>
    <w:rsidRoot w:val="00C971F6"/>
    <w:rsid w:val="00000FB0"/>
    <w:rsid w:val="00001899"/>
    <w:rsid w:val="00003D6B"/>
    <w:rsid w:val="000046D6"/>
    <w:rsid w:val="000049AD"/>
    <w:rsid w:val="0000681B"/>
    <w:rsid w:val="000133C0"/>
    <w:rsid w:val="00014C4E"/>
    <w:rsid w:val="00017107"/>
    <w:rsid w:val="000202E2"/>
    <w:rsid w:val="00022441"/>
    <w:rsid w:val="0002261E"/>
    <w:rsid w:val="00024839"/>
    <w:rsid w:val="00026871"/>
    <w:rsid w:val="00037A98"/>
    <w:rsid w:val="000427FB"/>
    <w:rsid w:val="0004455E"/>
    <w:rsid w:val="000446BF"/>
    <w:rsid w:val="00047CB5"/>
    <w:rsid w:val="00051595"/>
    <w:rsid w:val="00051FAA"/>
    <w:rsid w:val="000560F9"/>
    <w:rsid w:val="000569EB"/>
    <w:rsid w:val="000572A9"/>
    <w:rsid w:val="00061050"/>
    <w:rsid w:val="00061325"/>
    <w:rsid w:val="000733AC"/>
    <w:rsid w:val="00074B81"/>
    <w:rsid w:val="00074D22"/>
    <w:rsid w:val="00074E1D"/>
    <w:rsid w:val="00075081"/>
    <w:rsid w:val="0007528A"/>
    <w:rsid w:val="000767F6"/>
    <w:rsid w:val="0007713C"/>
    <w:rsid w:val="00077EE2"/>
    <w:rsid w:val="000811AB"/>
    <w:rsid w:val="00083C5F"/>
    <w:rsid w:val="0008724D"/>
    <w:rsid w:val="0009172C"/>
    <w:rsid w:val="000930EC"/>
    <w:rsid w:val="00095E61"/>
    <w:rsid w:val="000966C1"/>
    <w:rsid w:val="000970AC"/>
    <w:rsid w:val="000A1167"/>
    <w:rsid w:val="000A20AF"/>
    <w:rsid w:val="000A4428"/>
    <w:rsid w:val="000A6D40"/>
    <w:rsid w:val="000A7BC3"/>
    <w:rsid w:val="000B00CE"/>
    <w:rsid w:val="000B1661"/>
    <w:rsid w:val="000B1F0B"/>
    <w:rsid w:val="000B2E88"/>
    <w:rsid w:val="000B4603"/>
    <w:rsid w:val="000C09BE"/>
    <w:rsid w:val="000C1380"/>
    <w:rsid w:val="000C17E0"/>
    <w:rsid w:val="000C545C"/>
    <w:rsid w:val="000C554F"/>
    <w:rsid w:val="000D0DC5"/>
    <w:rsid w:val="000D15FF"/>
    <w:rsid w:val="000D28DF"/>
    <w:rsid w:val="000D4280"/>
    <w:rsid w:val="000D488B"/>
    <w:rsid w:val="000D68DF"/>
    <w:rsid w:val="000D691E"/>
    <w:rsid w:val="000E0059"/>
    <w:rsid w:val="000E138D"/>
    <w:rsid w:val="000E187A"/>
    <w:rsid w:val="000E2D61"/>
    <w:rsid w:val="000E450E"/>
    <w:rsid w:val="000E6259"/>
    <w:rsid w:val="000E6B75"/>
    <w:rsid w:val="000F4677"/>
    <w:rsid w:val="000F5BE0"/>
    <w:rsid w:val="000F71DF"/>
    <w:rsid w:val="00100587"/>
    <w:rsid w:val="0010284E"/>
    <w:rsid w:val="00103122"/>
    <w:rsid w:val="0010336A"/>
    <w:rsid w:val="00105065"/>
    <w:rsid w:val="001050F1"/>
    <w:rsid w:val="00105AEA"/>
    <w:rsid w:val="00106DAF"/>
    <w:rsid w:val="0011209B"/>
    <w:rsid w:val="00114ABE"/>
    <w:rsid w:val="00114FCE"/>
    <w:rsid w:val="00116023"/>
    <w:rsid w:val="001217E4"/>
    <w:rsid w:val="001326F6"/>
    <w:rsid w:val="00134A51"/>
    <w:rsid w:val="00140727"/>
    <w:rsid w:val="00156477"/>
    <w:rsid w:val="00157997"/>
    <w:rsid w:val="00160628"/>
    <w:rsid w:val="00161344"/>
    <w:rsid w:val="00162195"/>
    <w:rsid w:val="00162638"/>
    <w:rsid w:val="001629EE"/>
    <w:rsid w:val="0016322A"/>
    <w:rsid w:val="00165A21"/>
    <w:rsid w:val="001705CE"/>
    <w:rsid w:val="00174BFF"/>
    <w:rsid w:val="0017714B"/>
    <w:rsid w:val="001804DF"/>
    <w:rsid w:val="00181BDC"/>
    <w:rsid w:val="00181DB0"/>
    <w:rsid w:val="001829E3"/>
    <w:rsid w:val="0018394A"/>
    <w:rsid w:val="00192036"/>
    <w:rsid w:val="001924C0"/>
    <w:rsid w:val="00196E59"/>
    <w:rsid w:val="0019731E"/>
    <w:rsid w:val="001A09FE"/>
    <w:rsid w:val="001A18A4"/>
    <w:rsid w:val="001A67C9"/>
    <w:rsid w:val="001A69DE"/>
    <w:rsid w:val="001A713C"/>
    <w:rsid w:val="001B1C7C"/>
    <w:rsid w:val="001B2923"/>
    <w:rsid w:val="001B398F"/>
    <w:rsid w:val="001B46C6"/>
    <w:rsid w:val="001B4B48"/>
    <w:rsid w:val="001B4D1F"/>
    <w:rsid w:val="001B7681"/>
    <w:rsid w:val="001B7CAE"/>
    <w:rsid w:val="001C0772"/>
    <w:rsid w:val="001C0D4F"/>
    <w:rsid w:val="001C1BA3"/>
    <w:rsid w:val="001C1DEC"/>
    <w:rsid w:val="001C5736"/>
    <w:rsid w:val="001C7199"/>
    <w:rsid w:val="001D5B55"/>
    <w:rsid w:val="001D647F"/>
    <w:rsid w:val="001D6857"/>
    <w:rsid w:val="001E0572"/>
    <w:rsid w:val="001E0A67"/>
    <w:rsid w:val="001E1028"/>
    <w:rsid w:val="001E14E2"/>
    <w:rsid w:val="001E2DA9"/>
    <w:rsid w:val="001E6302"/>
    <w:rsid w:val="001E7DCB"/>
    <w:rsid w:val="001F3411"/>
    <w:rsid w:val="001F3AA2"/>
    <w:rsid w:val="001F4287"/>
    <w:rsid w:val="001F4DBA"/>
    <w:rsid w:val="00200851"/>
    <w:rsid w:val="0020415E"/>
    <w:rsid w:val="00204FF4"/>
    <w:rsid w:val="00210043"/>
    <w:rsid w:val="00210099"/>
    <w:rsid w:val="0021056E"/>
    <w:rsid w:val="0021075D"/>
    <w:rsid w:val="00210DDA"/>
    <w:rsid w:val="0021165A"/>
    <w:rsid w:val="00211BC9"/>
    <w:rsid w:val="0021620C"/>
    <w:rsid w:val="00216E78"/>
    <w:rsid w:val="00217275"/>
    <w:rsid w:val="002211DD"/>
    <w:rsid w:val="00224300"/>
    <w:rsid w:val="00236F4B"/>
    <w:rsid w:val="00242B0D"/>
    <w:rsid w:val="002467C6"/>
    <w:rsid w:val="0024692A"/>
    <w:rsid w:val="002476F6"/>
    <w:rsid w:val="00252BBA"/>
    <w:rsid w:val="00252D31"/>
    <w:rsid w:val="00253123"/>
    <w:rsid w:val="00253304"/>
    <w:rsid w:val="00254069"/>
    <w:rsid w:val="00257E76"/>
    <w:rsid w:val="00264001"/>
    <w:rsid w:val="00266354"/>
    <w:rsid w:val="00267A18"/>
    <w:rsid w:val="00273462"/>
    <w:rsid w:val="0027395B"/>
    <w:rsid w:val="00275854"/>
    <w:rsid w:val="002826C3"/>
    <w:rsid w:val="00283B41"/>
    <w:rsid w:val="0028509F"/>
    <w:rsid w:val="00285F28"/>
    <w:rsid w:val="00286398"/>
    <w:rsid w:val="002875B2"/>
    <w:rsid w:val="00293D43"/>
    <w:rsid w:val="002954E7"/>
    <w:rsid w:val="002A021C"/>
    <w:rsid w:val="002A3C42"/>
    <w:rsid w:val="002A5D75"/>
    <w:rsid w:val="002B1B1A"/>
    <w:rsid w:val="002B7228"/>
    <w:rsid w:val="002C53EE"/>
    <w:rsid w:val="002D24F7"/>
    <w:rsid w:val="002D2799"/>
    <w:rsid w:val="002D2CD7"/>
    <w:rsid w:val="002D3F01"/>
    <w:rsid w:val="002D4DDC"/>
    <w:rsid w:val="002D4F75"/>
    <w:rsid w:val="002D6493"/>
    <w:rsid w:val="002D7AB6"/>
    <w:rsid w:val="002E06D0"/>
    <w:rsid w:val="002E3C27"/>
    <w:rsid w:val="002E403A"/>
    <w:rsid w:val="002E6597"/>
    <w:rsid w:val="002E7F3A"/>
    <w:rsid w:val="002F48F6"/>
    <w:rsid w:val="002F4EDB"/>
    <w:rsid w:val="002F5171"/>
    <w:rsid w:val="002F6054"/>
    <w:rsid w:val="002F773C"/>
    <w:rsid w:val="00310E13"/>
    <w:rsid w:val="00313AEF"/>
    <w:rsid w:val="00315713"/>
    <w:rsid w:val="0031686C"/>
    <w:rsid w:val="00316A71"/>
    <w:rsid w:val="00316FE0"/>
    <w:rsid w:val="003204D2"/>
    <w:rsid w:val="00321AF1"/>
    <w:rsid w:val="0032605E"/>
    <w:rsid w:val="003275D1"/>
    <w:rsid w:val="00330B2A"/>
    <w:rsid w:val="00331E17"/>
    <w:rsid w:val="00333063"/>
    <w:rsid w:val="003337CA"/>
    <w:rsid w:val="003354BB"/>
    <w:rsid w:val="003408E3"/>
    <w:rsid w:val="00343480"/>
    <w:rsid w:val="0034371D"/>
    <w:rsid w:val="00345E89"/>
    <w:rsid w:val="00351F31"/>
    <w:rsid w:val="003522A1"/>
    <w:rsid w:val="0035254B"/>
    <w:rsid w:val="00353555"/>
    <w:rsid w:val="00355C70"/>
    <w:rsid w:val="003565D4"/>
    <w:rsid w:val="003607FB"/>
    <w:rsid w:val="00360FD5"/>
    <w:rsid w:val="00361C51"/>
    <w:rsid w:val="00362E48"/>
    <w:rsid w:val="0036340D"/>
    <w:rsid w:val="003634A5"/>
    <w:rsid w:val="00366868"/>
    <w:rsid w:val="00367506"/>
    <w:rsid w:val="00370085"/>
    <w:rsid w:val="003744A7"/>
    <w:rsid w:val="003758AF"/>
    <w:rsid w:val="00376235"/>
    <w:rsid w:val="00381FB6"/>
    <w:rsid w:val="003829BA"/>
    <w:rsid w:val="003836D3"/>
    <w:rsid w:val="00383A52"/>
    <w:rsid w:val="00391652"/>
    <w:rsid w:val="003917F4"/>
    <w:rsid w:val="003923BB"/>
    <w:rsid w:val="0039507F"/>
    <w:rsid w:val="003A1260"/>
    <w:rsid w:val="003A295F"/>
    <w:rsid w:val="003A41DD"/>
    <w:rsid w:val="003A6765"/>
    <w:rsid w:val="003A6F31"/>
    <w:rsid w:val="003A7033"/>
    <w:rsid w:val="003B47FE"/>
    <w:rsid w:val="003B5673"/>
    <w:rsid w:val="003B6287"/>
    <w:rsid w:val="003B62C9"/>
    <w:rsid w:val="003C7176"/>
    <w:rsid w:val="003D0636"/>
    <w:rsid w:val="003D0929"/>
    <w:rsid w:val="003D1449"/>
    <w:rsid w:val="003D43C5"/>
    <w:rsid w:val="003D4729"/>
    <w:rsid w:val="003D7DD6"/>
    <w:rsid w:val="003E3CE0"/>
    <w:rsid w:val="003E5AAF"/>
    <w:rsid w:val="003E600D"/>
    <w:rsid w:val="003E6291"/>
    <w:rsid w:val="003E64DF"/>
    <w:rsid w:val="003E6A5D"/>
    <w:rsid w:val="003F193A"/>
    <w:rsid w:val="003F4207"/>
    <w:rsid w:val="003F42BF"/>
    <w:rsid w:val="003F5C46"/>
    <w:rsid w:val="003F717B"/>
    <w:rsid w:val="003F7CBB"/>
    <w:rsid w:val="003F7D34"/>
    <w:rsid w:val="004043DC"/>
    <w:rsid w:val="00405C7D"/>
    <w:rsid w:val="00405D26"/>
    <w:rsid w:val="004074B0"/>
    <w:rsid w:val="00411CB3"/>
    <w:rsid w:val="00412C8E"/>
    <w:rsid w:val="00413AC0"/>
    <w:rsid w:val="0041518D"/>
    <w:rsid w:val="00415381"/>
    <w:rsid w:val="0042221D"/>
    <w:rsid w:val="00424DD3"/>
    <w:rsid w:val="004269C5"/>
    <w:rsid w:val="004331EC"/>
    <w:rsid w:val="00435939"/>
    <w:rsid w:val="00436F1E"/>
    <w:rsid w:val="00437CC7"/>
    <w:rsid w:val="00440FB6"/>
    <w:rsid w:val="00442B9C"/>
    <w:rsid w:val="00445EFA"/>
    <w:rsid w:val="0044738A"/>
    <w:rsid w:val="004473D3"/>
    <w:rsid w:val="00451914"/>
    <w:rsid w:val="00452231"/>
    <w:rsid w:val="00455880"/>
    <w:rsid w:val="00460905"/>
    <w:rsid w:val="00460C13"/>
    <w:rsid w:val="00461CF4"/>
    <w:rsid w:val="00463228"/>
    <w:rsid w:val="00463782"/>
    <w:rsid w:val="004667E0"/>
    <w:rsid w:val="00466D53"/>
    <w:rsid w:val="0046760E"/>
    <w:rsid w:val="00470E10"/>
    <w:rsid w:val="00472D27"/>
    <w:rsid w:val="00477A97"/>
    <w:rsid w:val="004810BA"/>
    <w:rsid w:val="00481343"/>
    <w:rsid w:val="0048549E"/>
    <w:rsid w:val="004930C6"/>
    <w:rsid w:val="00493347"/>
    <w:rsid w:val="00496092"/>
    <w:rsid w:val="004A08DB"/>
    <w:rsid w:val="004A2219"/>
    <w:rsid w:val="004A25D0"/>
    <w:rsid w:val="004A37E8"/>
    <w:rsid w:val="004A7549"/>
    <w:rsid w:val="004B09D4"/>
    <w:rsid w:val="004B2CF1"/>
    <w:rsid w:val="004B309D"/>
    <w:rsid w:val="004B330A"/>
    <w:rsid w:val="004B7C8E"/>
    <w:rsid w:val="004C11AD"/>
    <w:rsid w:val="004C22EE"/>
    <w:rsid w:val="004C3D3C"/>
    <w:rsid w:val="004C58E2"/>
    <w:rsid w:val="004D0EDC"/>
    <w:rsid w:val="004D1220"/>
    <w:rsid w:val="004D14B3"/>
    <w:rsid w:val="004D1529"/>
    <w:rsid w:val="004D2253"/>
    <w:rsid w:val="004D5514"/>
    <w:rsid w:val="004D56C3"/>
    <w:rsid w:val="004E0338"/>
    <w:rsid w:val="004E3198"/>
    <w:rsid w:val="004E4FF3"/>
    <w:rsid w:val="004E56A8"/>
    <w:rsid w:val="004F3B55"/>
    <w:rsid w:val="004F428E"/>
    <w:rsid w:val="004F4E46"/>
    <w:rsid w:val="004F6B7D"/>
    <w:rsid w:val="005015F6"/>
    <w:rsid w:val="005028A0"/>
    <w:rsid w:val="005030C4"/>
    <w:rsid w:val="005031C5"/>
    <w:rsid w:val="00504FDC"/>
    <w:rsid w:val="0050762A"/>
    <w:rsid w:val="005120CC"/>
    <w:rsid w:val="00512B7B"/>
    <w:rsid w:val="00514161"/>
    <w:rsid w:val="00514EA1"/>
    <w:rsid w:val="0051798B"/>
    <w:rsid w:val="00521F5A"/>
    <w:rsid w:val="00525E06"/>
    <w:rsid w:val="00526454"/>
    <w:rsid w:val="00531823"/>
    <w:rsid w:val="00534023"/>
    <w:rsid w:val="00534ECC"/>
    <w:rsid w:val="0053720D"/>
    <w:rsid w:val="00537A73"/>
    <w:rsid w:val="00540CFC"/>
    <w:rsid w:val="00540EF5"/>
    <w:rsid w:val="00541558"/>
    <w:rsid w:val="00541BF3"/>
    <w:rsid w:val="00541CD3"/>
    <w:rsid w:val="005476FA"/>
    <w:rsid w:val="00552C6A"/>
    <w:rsid w:val="005551D2"/>
    <w:rsid w:val="0055595E"/>
    <w:rsid w:val="00557988"/>
    <w:rsid w:val="00562C49"/>
    <w:rsid w:val="00562DEF"/>
    <w:rsid w:val="0056321A"/>
    <w:rsid w:val="00563A35"/>
    <w:rsid w:val="00563FCB"/>
    <w:rsid w:val="0056406B"/>
    <w:rsid w:val="00564176"/>
    <w:rsid w:val="00566596"/>
    <w:rsid w:val="005719F7"/>
    <w:rsid w:val="005741E9"/>
    <w:rsid w:val="005748CF"/>
    <w:rsid w:val="00575345"/>
    <w:rsid w:val="005818BC"/>
    <w:rsid w:val="00584270"/>
    <w:rsid w:val="00584738"/>
    <w:rsid w:val="0059100A"/>
    <w:rsid w:val="005920B0"/>
    <w:rsid w:val="00593595"/>
    <w:rsid w:val="0059380D"/>
    <w:rsid w:val="00594741"/>
    <w:rsid w:val="00595251"/>
    <w:rsid w:val="00595A8F"/>
    <w:rsid w:val="005977C2"/>
    <w:rsid w:val="00597BF2"/>
    <w:rsid w:val="005A1A4B"/>
    <w:rsid w:val="005A1F54"/>
    <w:rsid w:val="005A3020"/>
    <w:rsid w:val="005A61E4"/>
    <w:rsid w:val="005B134E"/>
    <w:rsid w:val="005B1597"/>
    <w:rsid w:val="005B2039"/>
    <w:rsid w:val="005B344F"/>
    <w:rsid w:val="005B3952"/>
    <w:rsid w:val="005B3FBA"/>
    <w:rsid w:val="005B4A1D"/>
    <w:rsid w:val="005B644D"/>
    <w:rsid w:val="005B674D"/>
    <w:rsid w:val="005B689A"/>
    <w:rsid w:val="005B7099"/>
    <w:rsid w:val="005C056D"/>
    <w:rsid w:val="005C0CBE"/>
    <w:rsid w:val="005C1196"/>
    <w:rsid w:val="005C1FCF"/>
    <w:rsid w:val="005C3F41"/>
    <w:rsid w:val="005C59D1"/>
    <w:rsid w:val="005C732C"/>
    <w:rsid w:val="005D1885"/>
    <w:rsid w:val="005D1B79"/>
    <w:rsid w:val="005D390F"/>
    <w:rsid w:val="005D3B00"/>
    <w:rsid w:val="005D4A38"/>
    <w:rsid w:val="005D5D1F"/>
    <w:rsid w:val="005E0C4F"/>
    <w:rsid w:val="005E1B30"/>
    <w:rsid w:val="005E2BB9"/>
    <w:rsid w:val="005E2EEA"/>
    <w:rsid w:val="005E3708"/>
    <w:rsid w:val="005E3CCD"/>
    <w:rsid w:val="005E3D6B"/>
    <w:rsid w:val="005E3F15"/>
    <w:rsid w:val="005E5B55"/>
    <w:rsid w:val="005E5E4A"/>
    <w:rsid w:val="005E693D"/>
    <w:rsid w:val="005E75BF"/>
    <w:rsid w:val="005E7CEC"/>
    <w:rsid w:val="005F0711"/>
    <w:rsid w:val="005F57BA"/>
    <w:rsid w:val="005F61E6"/>
    <w:rsid w:val="005F6C45"/>
    <w:rsid w:val="005F7639"/>
    <w:rsid w:val="0060365A"/>
    <w:rsid w:val="00605A69"/>
    <w:rsid w:val="00606C54"/>
    <w:rsid w:val="00606C8B"/>
    <w:rsid w:val="00614375"/>
    <w:rsid w:val="00615B0A"/>
    <w:rsid w:val="00615FC8"/>
    <w:rsid w:val="006168CF"/>
    <w:rsid w:val="0062011B"/>
    <w:rsid w:val="00626DE0"/>
    <w:rsid w:val="00630901"/>
    <w:rsid w:val="00631549"/>
    <w:rsid w:val="00631F8E"/>
    <w:rsid w:val="00636EE9"/>
    <w:rsid w:val="00640950"/>
    <w:rsid w:val="00641AE7"/>
    <w:rsid w:val="00642229"/>
    <w:rsid w:val="00642629"/>
    <w:rsid w:val="0064727F"/>
    <w:rsid w:val="0064782B"/>
    <w:rsid w:val="00651D2A"/>
    <w:rsid w:val="0065293D"/>
    <w:rsid w:val="00653EFC"/>
    <w:rsid w:val="00654021"/>
    <w:rsid w:val="00657B34"/>
    <w:rsid w:val="00661045"/>
    <w:rsid w:val="006645D2"/>
    <w:rsid w:val="00666DA8"/>
    <w:rsid w:val="00666DAD"/>
    <w:rsid w:val="00667AC4"/>
    <w:rsid w:val="00671057"/>
    <w:rsid w:val="006740D1"/>
    <w:rsid w:val="00675AAF"/>
    <w:rsid w:val="00676003"/>
    <w:rsid w:val="0068031A"/>
    <w:rsid w:val="00681B2F"/>
    <w:rsid w:val="0068335F"/>
    <w:rsid w:val="00683AB6"/>
    <w:rsid w:val="00687217"/>
    <w:rsid w:val="00693302"/>
    <w:rsid w:val="0069640B"/>
    <w:rsid w:val="006A1B83"/>
    <w:rsid w:val="006A1E4C"/>
    <w:rsid w:val="006A21CD"/>
    <w:rsid w:val="006A282B"/>
    <w:rsid w:val="006A4689"/>
    <w:rsid w:val="006A4BDC"/>
    <w:rsid w:val="006A4FD6"/>
    <w:rsid w:val="006A5918"/>
    <w:rsid w:val="006B1C86"/>
    <w:rsid w:val="006B21B2"/>
    <w:rsid w:val="006B325F"/>
    <w:rsid w:val="006B4A4A"/>
    <w:rsid w:val="006C079F"/>
    <w:rsid w:val="006C19B2"/>
    <w:rsid w:val="006C4409"/>
    <w:rsid w:val="006C56E9"/>
    <w:rsid w:val="006C5BB8"/>
    <w:rsid w:val="006C6936"/>
    <w:rsid w:val="006C7B01"/>
    <w:rsid w:val="006C7C3A"/>
    <w:rsid w:val="006D0FE8"/>
    <w:rsid w:val="006D28A5"/>
    <w:rsid w:val="006D4B2B"/>
    <w:rsid w:val="006D4F3C"/>
    <w:rsid w:val="006D5677"/>
    <w:rsid w:val="006D5C66"/>
    <w:rsid w:val="006D7002"/>
    <w:rsid w:val="006E09C8"/>
    <w:rsid w:val="006E1B3C"/>
    <w:rsid w:val="006E23FB"/>
    <w:rsid w:val="006E325A"/>
    <w:rsid w:val="006E33EC"/>
    <w:rsid w:val="006E3802"/>
    <w:rsid w:val="006E6C02"/>
    <w:rsid w:val="006F13C2"/>
    <w:rsid w:val="006F231A"/>
    <w:rsid w:val="006F625E"/>
    <w:rsid w:val="006F6B55"/>
    <w:rsid w:val="006F788D"/>
    <w:rsid w:val="006F78E1"/>
    <w:rsid w:val="00701072"/>
    <w:rsid w:val="00702054"/>
    <w:rsid w:val="007035A4"/>
    <w:rsid w:val="00705703"/>
    <w:rsid w:val="00707BC0"/>
    <w:rsid w:val="00707DBE"/>
    <w:rsid w:val="00711799"/>
    <w:rsid w:val="00712B78"/>
    <w:rsid w:val="0071393B"/>
    <w:rsid w:val="00713EE2"/>
    <w:rsid w:val="007177FC"/>
    <w:rsid w:val="00720C5E"/>
    <w:rsid w:val="00721214"/>
    <w:rsid w:val="00721701"/>
    <w:rsid w:val="00722FBB"/>
    <w:rsid w:val="00726013"/>
    <w:rsid w:val="00731835"/>
    <w:rsid w:val="007341F8"/>
    <w:rsid w:val="00734372"/>
    <w:rsid w:val="00734EB8"/>
    <w:rsid w:val="00735F8B"/>
    <w:rsid w:val="0074090B"/>
    <w:rsid w:val="0074194D"/>
    <w:rsid w:val="00742D1F"/>
    <w:rsid w:val="00743EBA"/>
    <w:rsid w:val="00744C8E"/>
    <w:rsid w:val="00745234"/>
    <w:rsid w:val="0074707E"/>
    <w:rsid w:val="007516DC"/>
    <w:rsid w:val="00752E58"/>
    <w:rsid w:val="00754B80"/>
    <w:rsid w:val="00760B84"/>
    <w:rsid w:val="00761918"/>
    <w:rsid w:val="00762F03"/>
    <w:rsid w:val="00763B07"/>
    <w:rsid w:val="0076413B"/>
    <w:rsid w:val="007648AE"/>
    <w:rsid w:val="00764BF8"/>
    <w:rsid w:val="0076514D"/>
    <w:rsid w:val="00773661"/>
    <w:rsid w:val="00773D59"/>
    <w:rsid w:val="00777ED7"/>
    <w:rsid w:val="00781003"/>
    <w:rsid w:val="0078250E"/>
    <w:rsid w:val="00786FA3"/>
    <w:rsid w:val="007911FD"/>
    <w:rsid w:val="00793930"/>
    <w:rsid w:val="00793DD1"/>
    <w:rsid w:val="00794FEC"/>
    <w:rsid w:val="007966C5"/>
    <w:rsid w:val="00797CA2"/>
    <w:rsid w:val="007A003E"/>
    <w:rsid w:val="007A13C8"/>
    <w:rsid w:val="007A1965"/>
    <w:rsid w:val="007A2ED1"/>
    <w:rsid w:val="007A4BE6"/>
    <w:rsid w:val="007B0DC6"/>
    <w:rsid w:val="007B1094"/>
    <w:rsid w:val="007B1762"/>
    <w:rsid w:val="007B32B5"/>
    <w:rsid w:val="007B3320"/>
    <w:rsid w:val="007B3779"/>
    <w:rsid w:val="007B3889"/>
    <w:rsid w:val="007C301F"/>
    <w:rsid w:val="007C4540"/>
    <w:rsid w:val="007C54EC"/>
    <w:rsid w:val="007C65AF"/>
    <w:rsid w:val="007D135D"/>
    <w:rsid w:val="007D13FA"/>
    <w:rsid w:val="007D20EB"/>
    <w:rsid w:val="007D730F"/>
    <w:rsid w:val="007D7CD8"/>
    <w:rsid w:val="007E3AA7"/>
    <w:rsid w:val="007E4D03"/>
    <w:rsid w:val="007F0FA1"/>
    <w:rsid w:val="007F737D"/>
    <w:rsid w:val="0080038F"/>
    <w:rsid w:val="008016C9"/>
    <w:rsid w:val="00802FDF"/>
    <w:rsid w:val="0080308E"/>
    <w:rsid w:val="00805303"/>
    <w:rsid w:val="00806705"/>
    <w:rsid w:val="00806738"/>
    <w:rsid w:val="00806CE7"/>
    <w:rsid w:val="00807DF0"/>
    <w:rsid w:val="00810A91"/>
    <w:rsid w:val="00820C21"/>
    <w:rsid w:val="008216D5"/>
    <w:rsid w:val="008220A1"/>
    <w:rsid w:val="00823ED9"/>
    <w:rsid w:val="008249CE"/>
    <w:rsid w:val="00826632"/>
    <w:rsid w:val="00831A50"/>
    <w:rsid w:val="00831B3C"/>
    <w:rsid w:val="00831C89"/>
    <w:rsid w:val="00832114"/>
    <w:rsid w:val="00834C46"/>
    <w:rsid w:val="008377CF"/>
    <w:rsid w:val="008400B6"/>
    <w:rsid w:val="0084093E"/>
    <w:rsid w:val="00841CE1"/>
    <w:rsid w:val="0084316D"/>
    <w:rsid w:val="00843454"/>
    <w:rsid w:val="008439DB"/>
    <w:rsid w:val="008473D8"/>
    <w:rsid w:val="008528DC"/>
    <w:rsid w:val="00852B8C"/>
    <w:rsid w:val="00854981"/>
    <w:rsid w:val="00856D00"/>
    <w:rsid w:val="00864B2E"/>
    <w:rsid w:val="00865963"/>
    <w:rsid w:val="008664A1"/>
    <w:rsid w:val="00866640"/>
    <w:rsid w:val="00871869"/>
    <w:rsid w:val="00871C1D"/>
    <w:rsid w:val="0087450E"/>
    <w:rsid w:val="00875A82"/>
    <w:rsid w:val="00875D32"/>
    <w:rsid w:val="00876CA3"/>
    <w:rsid w:val="008772FE"/>
    <w:rsid w:val="008775F1"/>
    <w:rsid w:val="008821AE"/>
    <w:rsid w:val="00883D3A"/>
    <w:rsid w:val="00884351"/>
    <w:rsid w:val="008854F7"/>
    <w:rsid w:val="00885A9D"/>
    <w:rsid w:val="00886052"/>
    <w:rsid w:val="00887242"/>
    <w:rsid w:val="0089090A"/>
    <w:rsid w:val="008929D2"/>
    <w:rsid w:val="00892F8D"/>
    <w:rsid w:val="00893134"/>
    <w:rsid w:val="00893534"/>
    <w:rsid w:val="00893636"/>
    <w:rsid w:val="00893B94"/>
    <w:rsid w:val="00895904"/>
    <w:rsid w:val="00896E9D"/>
    <w:rsid w:val="00896F11"/>
    <w:rsid w:val="008A1049"/>
    <w:rsid w:val="008A1C98"/>
    <w:rsid w:val="008A230F"/>
    <w:rsid w:val="008A322D"/>
    <w:rsid w:val="008A4367"/>
    <w:rsid w:val="008A4D72"/>
    <w:rsid w:val="008A6285"/>
    <w:rsid w:val="008A63B2"/>
    <w:rsid w:val="008B0F34"/>
    <w:rsid w:val="008B345D"/>
    <w:rsid w:val="008C1FC2"/>
    <w:rsid w:val="008C2980"/>
    <w:rsid w:val="008C36CA"/>
    <w:rsid w:val="008C4CC5"/>
    <w:rsid w:val="008C4DD6"/>
    <w:rsid w:val="008C5AFB"/>
    <w:rsid w:val="008C6ED9"/>
    <w:rsid w:val="008D07FB"/>
    <w:rsid w:val="008D0C02"/>
    <w:rsid w:val="008D357D"/>
    <w:rsid w:val="008D435A"/>
    <w:rsid w:val="008E387B"/>
    <w:rsid w:val="008E6087"/>
    <w:rsid w:val="008E70FA"/>
    <w:rsid w:val="008E758D"/>
    <w:rsid w:val="008F10A7"/>
    <w:rsid w:val="008F2372"/>
    <w:rsid w:val="008F271F"/>
    <w:rsid w:val="008F2973"/>
    <w:rsid w:val="008F755D"/>
    <w:rsid w:val="008F7A39"/>
    <w:rsid w:val="009000D2"/>
    <w:rsid w:val="00901BFA"/>
    <w:rsid w:val="009021E8"/>
    <w:rsid w:val="00904677"/>
    <w:rsid w:val="00905EE2"/>
    <w:rsid w:val="009065BE"/>
    <w:rsid w:val="00911440"/>
    <w:rsid w:val="009114EB"/>
    <w:rsid w:val="00911712"/>
    <w:rsid w:val="00911B27"/>
    <w:rsid w:val="009170BE"/>
    <w:rsid w:val="00920B55"/>
    <w:rsid w:val="009262C9"/>
    <w:rsid w:val="00927DBF"/>
    <w:rsid w:val="00930EB9"/>
    <w:rsid w:val="00933DC7"/>
    <w:rsid w:val="009418F4"/>
    <w:rsid w:val="00942BBC"/>
    <w:rsid w:val="00944180"/>
    <w:rsid w:val="00944AA0"/>
    <w:rsid w:val="009467EC"/>
    <w:rsid w:val="00947DA2"/>
    <w:rsid w:val="00951177"/>
    <w:rsid w:val="009549FE"/>
    <w:rsid w:val="00957625"/>
    <w:rsid w:val="009673E8"/>
    <w:rsid w:val="00973E24"/>
    <w:rsid w:val="00974DB8"/>
    <w:rsid w:val="00980661"/>
    <w:rsid w:val="0098093B"/>
    <w:rsid w:val="009876D4"/>
    <w:rsid w:val="00990E57"/>
    <w:rsid w:val="009914A5"/>
    <w:rsid w:val="0099548E"/>
    <w:rsid w:val="00996456"/>
    <w:rsid w:val="00996A12"/>
    <w:rsid w:val="00997872"/>
    <w:rsid w:val="00997B0F"/>
    <w:rsid w:val="009A0CC3"/>
    <w:rsid w:val="009A1CAD"/>
    <w:rsid w:val="009A3440"/>
    <w:rsid w:val="009A5832"/>
    <w:rsid w:val="009A5B2B"/>
    <w:rsid w:val="009A5B51"/>
    <w:rsid w:val="009A664D"/>
    <w:rsid w:val="009A6838"/>
    <w:rsid w:val="009B1836"/>
    <w:rsid w:val="009B24B5"/>
    <w:rsid w:val="009B4EBC"/>
    <w:rsid w:val="009B5ABB"/>
    <w:rsid w:val="009B73CE"/>
    <w:rsid w:val="009C0EB7"/>
    <w:rsid w:val="009C2461"/>
    <w:rsid w:val="009C5A15"/>
    <w:rsid w:val="009C6FE2"/>
    <w:rsid w:val="009C7674"/>
    <w:rsid w:val="009D004A"/>
    <w:rsid w:val="009D1439"/>
    <w:rsid w:val="009D201A"/>
    <w:rsid w:val="009D5880"/>
    <w:rsid w:val="009D598B"/>
    <w:rsid w:val="009D6C50"/>
    <w:rsid w:val="009E1884"/>
    <w:rsid w:val="009E1DE3"/>
    <w:rsid w:val="009E1FD4"/>
    <w:rsid w:val="009E3B07"/>
    <w:rsid w:val="009E51D1"/>
    <w:rsid w:val="009E5531"/>
    <w:rsid w:val="009E7513"/>
    <w:rsid w:val="009F171E"/>
    <w:rsid w:val="009F3D2F"/>
    <w:rsid w:val="009F7052"/>
    <w:rsid w:val="00A00B33"/>
    <w:rsid w:val="00A02668"/>
    <w:rsid w:val="00A02801"/>
    <w:rsid w:val="00A02CB8"/>
    <w:rsid w:val="00A04217"/>
    <w:rsid w:val="00A04A13"/>
    <w:rsid w:val="00A06A39"/>
    <w:rsid w:val="00A06FB0"/>
    <w:rsid w:val="00A07F58"/>
    <w:rsid w:val="00A131CB"/>
    <w:rsid w:val="00A14847"/>
    <w:rsid w:val="00A16D6D"/>
    <w:rsid w:val="00A20397"/>
    <w:rsid w:val="00A21383"/>
    <w:rsid w:val="00A2199F"/>
    <w:rsid w:val="00A21B31"/>
    <w:rsid w:val="00A2360E"/>
    <w:rsid w:val="00A26565"/>
    <w:rsid w:val="00A26E0C"/>
    <w:rsid w:val="00A30B3B"/>
    <w:rsid w:val="00A311F6"/>
    <w:rsid w:val="00A32FCB"/>
    <w:rsid w:val="00A34C25"/>
    <w:rsid w:val="00A3507D"/>
    <w:rsid w:val="00A3717A"/>
    <w:rsid w:val="00A401F3"/>
    <w:rsid w:val="00A4088C"/>
    <w:rsid w:val="00A41D28"/>
    <w:rsid w:val="00A4456B"/>
    <w:rsid w:val="00A448D4"/>
    <w:rsid w:val="00A452E0"/>
    <w:rsid w:val="00A477F8"/>
    <w:rsid w:val="00A4797E"/>
    <w:rsid w:val="00A506DF"/>
    <w:rsid w:val="00A50A9F"/>
    <w:rsid w:val="00A51EA5"/>
    <w:rsid w:val="00A53742"/>
    <w:rsid w:val="00A550AD"/>
    <w:rsid w:val="00A557A1"/>
    <w:rsid w:val="00A63059"/>
    <w:rsid w:val="00A63AE3"/>
    <w:rsid w:val="00A63C71"/>
    <w:rsid w:val="00A64245"/>
    <w:rsid w:val="00A651A4"/>
    <w:rsid w:val="00A663F8"/>
    <w:rsid w:val="00A71361"/>
    <w:rsid w:val="00A746E2"/>
    <w:rsid w:val="00A75FCA"/>
    <w:rsid w:val="00A81FF2"/>
    <w:rsid w:val="00A82F3E"/>
    <w:rsid w:val="00A83904"/>
    <w:rsid w:val="00A86F38"/>
    <w:rsid w:val="00A90A79"/>
    <w:rsid w:val="00A949E9"/>
    <w:rsid w:val="00A96B30"/>
    <w:rsid w:val="00A97B81"/>
    <w:rsid w:val="00AA0AFD"/>
    <w:rsid w:val="00AA442D"/>
    <w:rsid w:val="00AA59B5"/>
    <w:rsid w:val="00AA6AFE"/>
    <w:rsid w:val="00AA73AC"/>
    <w:rsid w:val="00AA7777"/>
    <w:rsid w:val="00AA7B84"/>
    <w:rsid w:val="00AA7FB7"/>
    <w:rsid w:val="00AB0A72"/>
    <w:rsid w:val="00AB4FC2"/>
    <w:rsid w:val="00AB680B"/>
    <w:rsid w:val="00AB737E"/>
    <w:rsid w:val="00AC0B4C"/>
    <w:rsid w:val="00AC1164"/>
    <w:rsid w:val="00AC2296"/>
    <w:rsid w:val="00AC22B3"/>
    <w:rsid w:val="00AC2754"/>
    <w:rsid w:val="00AC48B0"/>
    <w:rsid w:val="00AC4ACD"/>
    <w:rsid w:val="00AC5DFB"/>
    <w:rsid w:val="00AC7038"/>
    <w:rsid w:val="00AD13DC"/>
    <w:rsid w:val="00AD6DE2"/>
    <w:rsid w:val="00AE0A40"/>
    <w:rsid w:val="00AE1ED4"/>
    <w:rsid w:val="00AE21E1"/>
    <w:rsid w:val="00AE249E"/>
    <w:rsid w:val="00AE2F8D"/>
    <w:rsid w:val="00AE3BAE"/>
    <w:rsid w:val="00AE6A21"/>
    <w:rsid w:val="00AF13C6"/>
    <w:rsid w:val="00AF1C8F"/>
    <w:rsid w:val="00AF2B68"/>
    <w:rsid w:val="00AF2C92"/>
    <w:rsid w:val="00AF3EC1"/>
    <w:rsid w:val="00AF4F46"/>
    <w:rsid w:val="00AF5025"/>
    <w:rsid w:val="00AF519F"/>
    <w:rsid w:val="00AF5387"/>
    <w:rsid w:val="00AF55F5"/>
    <w:rsid w:val="00AF7E86"/>
    <w:rsid w:val="00B024B9"/>
    <w:rsid w:val="00B0496B"/>
    <w:rsid w:val="00B077FA"/>
    <w:rsid w:val="00B12176"/>
    <w:rsid w:val="00B127D7"/>
    <w:rsid w:val="00B13B0C"/>
    <w:rsid w:val="00B142FD"/>
    <w:rsid w:val="00B14408"/>
    <w:rsid w:val="00B1453A"/>
    <w:rsid w:val="00B1627F"/>
    <w:rsid w:val="00B20F82"/>
    <w:rsid w:val="00B25B15"/>
    <w:rsid w:val="00B25BD5"/>
    <w:rsid w:val="00B30B36"/>
    <w:rsid w:val="00B34079"/>
    <w:rsid w:val="00B3793A"/>
    <w:rsid w:val="00B401BA"/>
    <w:rsid w:val="00B407E4"/>
    <w:rsid w:val="00B42237"/>
    <w:rsid w:val="00B425B6"/>
    <w:rsid w:val="00B42A72"/>
    <w:rsid w:val="00B441AE"/>
    <w:rsid w:val="00B45A65"/>
    <w:rsid w:val="00B45F33"/>
    <w:rsid w:val="00B46D50"/>
    <w:rsid w:val="00B5048C"/>
    <w:rsid w:val="00B5122F"/>
    <w:rsid w:val="00B523E6"/>
    <w:rsid w:val="00B53170"/>
    <w:rsid w:val="00B548B9"/>
    <w:rsid w:val="00B56DBE"/>
    <w:rsid w:val="00B62999"/>
    <w:rsid w:val="00B63BE3"/>
    <w:rsid w:val="00B64885"/>
    <w:rsid w:val="00B64FA3"/>
    <w:rsid w:val="00B657D0"/>
    <w:rsid w:val="00B66810"/>
    <w:rsid w:val="00B71087"/>
    <w:rsid w:val="00B72BE3"/>
    <w:rsid w:val="00B73B80"/>
    <w:rsid w:val="00B770C7"/>
    <w:rsid w:val="00B80F26"/>
    <w:rsid w:val="00B822BD"/>
    <w:rsid w:val="00B842F4"/>
    <w:rsid w:val="00B91A7B"/>
    <w:rsid w:val="00B929DD"/>
    <w:rsid w:val="00B936F0"/>
    <w:rsid w:val="00B939B7"/>
    <w:rsid w:val="00B93AF6"/>
    <w:rsid w:val="00B95405"/>
    <w:rsid w:val="00B963F1"/>
    <w:rsid w:val="00BA020A"/>
    <w:rsid w:val="00BA1050"/>
    <w:rsid w:val="00BA6316"/>
    <w:rsid w:val="00BB025A"/>
    <w:rsid w:val="00BB02A4"/>
    <w:rsid w:val="00BB1270"/>
    <w:rsid w:val="00BB1387"/>
    <w:rsid w:val="00BB1E44"/>
    <w:rsid w:val="00BB2F23"/>
    <w:rsid w:val="00BB5267"/>
    <w:rsid w:val="00BB52B8"/>
    <w:rsid w:val="00BB5934"/>
    <w:rsid w:val="00BB59D8"/>
    <w:rsid w:val="00BB6289"/>
    <w:rsid w:val="00BB63F5"/>
    <w:rsid w:val="00BB6463"/>
    <w:rsid w:val="00BB7E69"/>
    <w:rsid w:val="00BC0E51"/>
    <w:rsid w:val="00BC3C1F"/>
    <w:rsid w:val="00BC3F3A"/>
    <w:rsid w:val="00BC7CE7"/>
    <w:rsid w:val="00BD295E"/>
    <w:rsid w:val="00BD2FEB"/>
    <w:rsid w:val="00BD4664"/>
    <w:rsid w:val="00BD5615"/>
    <w:rsid w:val="00BE1193"/>
    <w:rsid w:val="00BF4849"/>
    <w:rsid w:val="00BF4EA7"/>
    <w:rsid w:val="00BF6525"/>
    <w:rsid w:val="00C00EDB"/>
    <w:rsid w:val="00C02863"/>
    <w:rsid w:val="00C03027"/>
    <w:rsid w:val="00C0383A"/>
    <w:rsid w:val="00C065B0"/>
    <w:rsid w:val="00C067FF"/>
    <w:rsid w:val="00C12862"/>
    <w:rsid w:val="00C13D28"/>
    <w:rsid w:val="00C14585"/>
    <w:rsid w:val="00C165A0"/>
    <w:rsid w:val="00C16BE0"/>
    <w:rsid w:val="00C21277"/>
    <w:rsid w:val="00C216CE"/>
    <w:rsid w:val="00C2184F"/>
    <w:rsid w:val="00C228AB"/>
    <w:rsid w:val="00C22A78"/>
    <w:rsid w:val="00C23C7E"/>
    <w:rsid w:val="00C246C5"/>
    <w:rsid w:val="00C25A82"/>
    <w:rsid w:val="00C30A2A"/>
    <w:rsid w:val="00C30B96"/>
    <w:rsid w:val="00C33993"/>
    <w:rsid w:val="00C4069E"/>
    <w:rsid w:val="00C41ADC"/>
    <w:rsid w:val="00C44149"/>
    <w:rsid w:val="00C44410"/>
    <w:rsid w:val="00C44A15"/>
    <w:rsid w:val="00C45B45"/>
    <w:rsid w:val="00C4630A"/>
    <w:rsid w:val="00C523F0"/>
    <w:rsid w:val="00C526D2"/>
    <w:rsid w:val="00C53A91"/>
    <w:rsid w:val="00C55873"/>
    <w:rsid w:val="00C5794E"/>
    <w:rsid w:val="00C60968"/>
    <w:rsid w:val="00C63D39"/>
    <w:rsid w:val="00C63EDD"/>
    <w:rsid w:val="00C650A5"/>
    <w:rsid w:val="00C65B36"/>
    <w:rsid w:val="00C66B6F"/>
    <w:rsid w:val="00C7292E"/>
    <w:rsid w:val="00C73660"/>
    <w:rsid w:val="00C74E88"/>
    <w:rsid w:val="00C74FD7"/>
    <w:rsid w:val="00C80924"/>
    <w:rsid w:val="00C8286B"/>
    <w:rsid w:val="00C947F8"/>
    <w:rsid w:val="00C9515F"/>
    <w:rsid w:val="00C963C5"/>
    <w:rsid w:val="00C971F6"/>
    <w:rsid w:val="00CA030C"/>
    <w:rsid w:val="00CA1F41"/>
    <w:rsid w:val="00CA32EE"/>
    <w:rsid w:val="00CA5771"/>
    <w:rsid w:val="00CA6A1A"/>
    <w:rsid w:val="00CB2719"/>
    <w:rsid w:val="00CB334B"/>
    <w:rsid w:val="00CC162F"/>
    <w:rsid w:val="00CC1E75"/>
    <w:rsid w:val="00CC2E0E"/>
    <w:rsid w:val="00CC361C"/>
    <w:rsid w:val="00CC449C"/>
    <w:rsid w:val="00CC474B"/>
    <w:rsid w:val="00CC658C"/>
    <w:rsid w:val="00CC67BF"/>
    <w:rsid w:val="00CD0843"/>
    <w:rsid w:val="00CD23DB"/>
    <w:rsid w:val="00CD30A1"/>
    <w:rsid w:val="00CD41FC"/>
    <w:rsid w:val="00CD4E31"/>
    <w:rsid w:val="00CD5A78"/>
    <w:rsid w:val="00CD7345"/>
    <w:rsid w:val="00CE372E"/>
    <w:rsid w:val="00CE4E60"/>
    <w:rsid w:val="00CE7CC8"/>
    <w:rsid w:val="00CF0A1B"/>
    <w:rsid w:val="00CF19F6"/>
    <w:rsid w:val="00CF2F4F"/>
    <w:rsid w:val="00CF536D"/>
    <w:rsid w:val="00D02E9D"/>
    <w:rsid w:val="00D03572"/>
    <w:rsid w:val="00D054CD"/>
    <w:rsid w:val="00D10CB8"/>
    <w:rsid w:val="00D12806"/>
    <w:rsid w:val="00D12D44"/>
    <w:rsid w:val="00D12E79"/>
    <w:rsid w:val="00D1497C"/>
    <w:rsid w:val="00D15018"/>
    <w:rsid w:val="00D158AC"/>
    <w:rsid w:val="00D1694C"/>
    <w:rsid w:val="00D20C3E"/>
    <w:rsid w:val="00D20F5E"/>
    <w:rsid w:val="00D2321C"/>
    <w:rsid w:val="00D23B76"/>
    <w:rsid w:val="00D24B4A"/>
    <w:rsid w:val="00D3587A"/>
    <w:rsid w:val="00D379A3"/>
    <w:rsid w:val="00D43185"/>
    <w:rsid w:val="00D45FF3"/>
    <w:rsid w:val="00D47AC4"/>
    <w:rsid w:val="00D512CF"/>
    <w:rsid w:val="00D528B9"/>
    <w:rsid w:val="00D53186"/>
    <w:rsid w:val="00D5487D"/>
    <w:rsid w:val="00D60140"/>
    <w:rsid w:val="00D6024A"/>
    <w:rsid w:val="00D608B5"/>
    <w:rsid w:val="00D64739"/>
    <w:rsid w:val="00D64BCE"/>
    <w:rsid w:val="00D701BB"/>
    <w:rsid w:val="00D71F99"/>
    <w:rsid w:val="00D731B7"/>
    <w:rsid w:val="00D73CA4"/>
    <w:rsid w:val="00D73D71"/>
    <w:rsid w:val="00D74396"/>
    <w:rsid w:val="00D75B85"/>
    <w:rsid w:val="00D80284"/>
    <w:rsid w:val="00D81F71"/>
    <w:rsid w:val="00D8642D"/>
    <w:rsid w:val="00D90A5E"/>
    <w:rsid w:val="00D91A68"/>
    <w:rsid w:val="00D94451"/>
    <w:rsid w:val="00D95A68"/>
    <w:rsid w:val="00DA17C7"/>
    <w:rsid w:val="00DA6A9A"/>
    <w:rsid w:val="00DB0781"/>
    <w:rsid w:val="00DB1EFD"/>
    <w:rsid w:val="00DB3EAF"/>
    <w:rsid w:val="00DB3F25"/>
    <w:rsid w:val="00DB42DE"/>
    <w:rsid w:val="00DB46C6"/>
    <w:rsid w:val="00DC2F34"/>
    <w:rsid w:val="00DC3203"/>
    <w:rsid w:val="00DC3C99"/>
    <w:rsid w:val="00DC52F5"/>
    <w:rsid w:val="00DC5FD0"/>
    <w:rsid w:val="00DD0354"/>
    <w:rsid w:val="00DD27D7"/>
    <w:rsid w:val="00DD3604"/>
    <w:rsid w:val="00DD458C"/>
    <w:rsid w:val="00DD705F"/>
    <w:rsid w:val="00DD72E9"/>
    <w:rsid w:val="00DD7605"/>
    <w:rsid w:val="00DE2020"/>
    <w:rsid w:val="00DE23B1"/>
    <w:rsid w:val="00DE3476"/>
    <w:rsid w:val="00DE7521"/>
    <w:rsid w:val="00DE7BEA"/>
    <w:rsid w:val="00DF5B84"/>
    <w:rsid w:val="00DF6D5B"/>
    <w:rsid w:val="00DF771B"/>
    <w:rsid w:val="00DF7EE2"/>
    <w:rsid w:val="00E01BAA"/>
    <w:rsid w:val="00E0282A"/>
    <w:rsid w:val="00E02F9B"/>
    <w:rsid w:val="00E07E14"/>
    <w:rsid w:val="00E11492"/>
    <w:rsid w:val="00E114CD"/>
    <w:rsid w:val="00E11819"/>
    <w:rsid w:val="00E1401E"/>
    <w:rsid w:val="00E14F94"/>
    <w:rsid w:val="00E17336"/>
    <w:rsid w:val="00E179B9"/>
    <w:rsid w:val="00E17D15"/>
    <w:rsid w:val="00E20A6F"/>
    <w:rsid w:val="00E22B95"/>
    <w:rsid w:val="00E24B87"/>
    <w:rsid w:val="00E30331"/>
    <w:rsid w:val="00E30BB8"/>
    <w:rsid w:val="00E31F9C"/>
    <w:rsid w:val="00E3622C"/>
    <w:rsid w:val="00E40488"/>
    <w:rsid w:val="00E42D4E"/>
    <w:rsid w:val="00E50367"/>
    <w:rsid w:val="00E51ABA"/>
    <w:rsid w:val="00E524CB"/>
    <w:rsid w:val="00E52CCE"/>
    <w:rsid w:val="00E53A56"/>
    <w:rsid w:val="00E56FDD"/>
    <w:rsid w:val="00E65456"/>
    <w:rsid w:val="00E65A91"/>
    <w:rsid w:val="00E66188"/>
    <w:rsid w:val="00E664FB"/>
    <w:rsid w:val="00E672F0"/>
    <w:rsid w:val="00E70373"/>
    <w:rsid w:val="00E71FC6"/>
    <w:rsid w:val="00E72E40"/>
    <w:rsid w:val="00E73665"/>
    <w:rsid w:val="00E73999"/>
    <w:rsid w:val="00E73BDC"/>
    <w:rsid w:val="00E73E9E"/>
    <w:rsid w:val="00E762A7"/>
    <w:rsid w:val="00E81660"/>
    <w:rsid w:val="00E834F1"/>
    <w:rsid w:val="00E835C0"/>
    <w:rsid w:val="00E854FE"/>
    <w:rsid w:val="00E906CC"/>
    <w:rsid w:val="00E93983"/>
    <w:rsid w:val="00E939A0"/>
    <w:rsid w:val="00E97633"/>
    <w:rsid w:val="00E97E4E"/>
    <w:rsid w:val="00EA1CC2"/>
    <w:rsid w:val="00EA2D76"/>
    <w:rsid w:val="00EA3775"/>
    <w:rsid w:val="00EA4644"/>
    <w:rsid w:val="00EA758A"/>
    <w:rsid w:val="00EB096F"/>
    <w:rsid w:val="00EB199F"/>
    <w:rsid w:val="00EB21A4"/>
    <w:rsid w:val="00EB27C4"/>
    <w:rsid w:val="00EB5387"/>
    <w:rsid w:val="00EB5C10"/>
    <w:rsid w:val="00EB7322"/>
    <w:rsid w:val="00EC0FE9"/>
    <w:rsid w:val="00EC198B"/>
    <w:rsid w:val="00EC1CA7"/>
    <w:rsid w:val="00EC2F49"/>
    <w:rsid w:val="00EC426D"/>
    <w:rsid w:val="00EC43DA"/>
    <w:rsid w:val="00EC571B"/>
    <w:rsid w:val="00EC57D7"/>
    <w:rsid w:val="00EC6385"/>
    <w:rsid w:val="00ED1DE9"/>
    <w:rsid w:val="00ED23D4"/>
    <w:rsid w:val="00ED5E0B"/>
    <w:rsid w:val="00ED64E6"/>
    <w:rsid w:val="00ED6CF5"/>
    <w:rsid w:val="00EE24EE"/>
    <w:rsid w:val="00EE37B6"/>
    <w:rsid w:val="00EF0F45"/>
    <w:rsid w:val="00EF37A7"/>
    <w:rsid w:val="00EF4BD0"/>
    <w:rsid w:val="00EF578A"/>
    <w:rsid w:val="00EF579D"/>
    <w:rsid w:val="00EF5DDD"/>
    <w:rsid w:val="00EF6EBC"/>
    <w:rsid w:val="00EF71C4"/>
    <w:rsid w:val="00EF7463"/>
    <w:rsid w:val="00EF7971"/>
    <w:rsid w:val="00F002EF"/>
    <w:rsid w:val="00F01EE9"/>
    <w:rsid w:val="00F04212"/>
    <w:rsid w:val="00F0440E"/>
    <w:rsid w:val="00F04900"/>
    <w:rsid w:val="00F065A4"/>
    <w:rsid w:val="00F126B9"/>
    <w:rsid w:val="00F12715"/>
    <w:rsid w:val="00F144D5"/>
    <w:rsid w:val="00F146F0"/>
    <w:rsid w:val="00F15039"/>
    <w:rsid w:val="00F159ED"/>
    <w:rsid w:val="00F17D5E"/>
    <w:rsid w:val="00F201FA"/>
    <w:rsid w:val="00F20FF3"/>
    <w:rsid w:val="00F2190B"/>
    <w:rsid w:val="00F228B5"/>
    <w:rsid w:val="00F2389C"/>
    <w:rsid w:val="00F24EED"/>
    <w:rsid w:val="00F252BA"/>
    <w:rsid w:val="00F25C67"/>
    <w:rsid w:val="00F30DFF"/>
    <w:rsid w:val="00F31544"/>
    <w:rsid w:val="00F32B80"/>
    <w:rsid w:val="00F340EB"/>
    <w:rsid w:val="00F35285"/>
    <w:rsid w:val="00F35F2C"/>
    <w:rsid w:val="00F36BC1"/>
    <w:rsid w:val="00F40CDC"/>
    <w:rsid w:val="00F43B9D"/>
    <w:rsid w:val="00F44D5E"/>
    <w:rsid w:val="00F53A35"/>
    <w:rsid w:val="00F55A3D"/>
    <w:rsid w:val="00F56DD9"/>
    <w:rsid w:val="00F5744B"/>
    <w:rsid w:val="00F57683"/>
    <w:rsid w:val="00F61209"/>
    <w:rsid w:val="00F6259E"/>
    <w:rsid w:val="00F65DD4"/>
    <w:rsid w:val="00F672B2"/>
    <w:rsid w:val="00F67DD3"/>
    <w:rsid w:val="00F758F6"/>
    <w:rsid w:val="00F83973"/>
    <w:rsid w:val="00F87FA3"/>
    <w:rsid w:val="00F93D8C"/>
    <w:rsid w:val="00FA1F99"/>
    <w:rsid w:val="00FA3102"/>
    <w:rsid w:val="00FA430D"/>
    <w:rsid w:val="00FA48D4"/>
    <w:rsid w:val="00FA5438"/>
    <w:rsid w:val="00FA54FA"/>
    <w:rsid w:val="00FA570C"/>
    <w:rsid w:val="00FA6D39"/>
    <w:rsid w:val="00FB2245"/>
    <w:rsid w:val="00FB227E"/>
    <w:rsid w:val="00FB3D61"/>
    <w:rsid w:val="00FB44CE"/>
    <w:rsid w:val="00FB4758"/>
    <w:rsid w:val="00FB5009"/>
    <w:rsid w:val="00FB76AB"/>
    <w:rsid w:val="00FC24B4"/>
    <w:rsid w:val="00FC421C"/>
    <w:rsid w:val="00FD03FE"/>
    <w:rsid w:val="00FD126E"/>
    <w:rsid w:val="00FD3C36"/>
    <w:rsid w:val="00FD4D81"/>
    <w:rsid w:val="00FD7498"/>
    <w:rsid w:val="00FD7FB3"/>
    <w:rsid w:val="00FE014F"/>
    <w:rsid w:val="00FE2458"/>
    <w:rsid w:val="00FE2DD0"/>
    <w:rsid w:val="00FE4713"/>
    <w:rsid w:val="00FF003D"/>
    <w:rsid w:val="00FF09CE"/>
    <w:rsid w:val="00FF1F44"/>
    <w:rsid w:val="00FF225E"/>
    <w:rsid w:val="00FF672C"/>
    <w:rsid w:val="00FF699E"/>
    <w:rsid w:val="00FF6CE8"/>
    <w:rsid w:val="00FF6F3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E2471D"/>
  <w14:defaultImageDpi w14:val="330"/>
  <w15:docId w15:val="{27518C76-4F67-4F0F-8793-D28314961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096F"/>
    <w:pPr>
      <w:spacing w:line="480" w:lineRule="auto"/>
    </w:pPr>
    <w:rPr>
      <w:sz w:val="24"/>
      <w:szCs w:val="24"/>
    </w:rPr>
  </w:style>
  <w:style w:type="paragraph" w:styleId="Heading1">
    <w:name w:val="heading 1"/>
    <w:basedOn w:val="Normal"/>
    <w:next w:val="Paragraph"/>
    <w:link w:val="Heading1Char"/>
    <w:qFormat/>
    <w:rsid w:val="004074B0"/>
    <w:pPr>
      <w:keepNext/>
      <w:spacing w:after="60" w:line="360" w:lineRule="auto"/>
      <w:ind w:right="567"/>
      <w:contextualSpacing/>
      <w:outlineLvl w:val="0"/>
    </w:pPr>
    <w:rPr>
      <w:rFonts w:cs="Arial"/>
      <w:b/>
      <w:bCs/>
      <w:kern w:val="32"/>
      <w:szCs w:val="32"/>
      <w:lang w:val="en-US"/>
    </w:rPr>
  </w:style>
  <w:style w:type="paragraph" w:styleId="Heading2">
    <w:name w:val="heading 2"/>
    <w:basedOn w:val="Normal"/>
    <w:next w:val="Paragraph"/>
    <w:link w:val="Heading2Char"/>
    <w:qFormat/>
    <w:rsid w:val="004074B0"/>
    <w:pPr>
      <w:keepNext/>
      <w:spacing w:line="360" w:lineRule="auto"/>
      <w:ind w:right="567"/>
      <w:contextualSpacing/>
      <w:outlineLvl w:val="1"/>
    </w:pPr>
    <w:rPr>
      <w:rFonts w:cs="Arial"/>
      <w:b/>
      <w:bCs/>
      <w:i/>
      <w:iCs/>
      <w:szCs w:val="28"/>
      <w:lang w:val="en-US"/>
    </w:rPr>
  </w:style>
  <w:style w:type="paragraph" w:styleId="Heading3">
    <w:name w:val="heading 3"/>
    <w:basedOn w:val="Normal"/>
    <w:next w:val="Paragraph"/>
    <w:link w:val="Heading3Char"/>
    <w:qFormat/>
    <w:rsid w:val="00DF7EE2"/>
    <w:pPr>
      <w:keepNext/>
      <w:spacing w:before="360" w:after="60" w:line="360" w:lineRule="auto"/>
      <w:ind w:right="567"/>
      <w:contextualSpacing/>
      <w:outlineLvl w:val="2"/>
    </w:pPr>
    <w:rPr>
      <w:rFonts w:cs="Arial"/>
      <w:bCs/>
      <w:i/>
      <w:szCs w:val="26"/>
    </w:rPr>
  </w:style>
  <w:style w:type="paragraph" w:styleId="Heading4">
    <w:name w:val="heading 4"/>
    <w:basedOn w:val="Paragraph"/>
    <w:next w:val="Newparagraph"/>
    <w:link w:val="Heading4Char"/>
    <w:rsid w:val="00F43B9D"/>
    <w:pPr>
      <w:spacing w:before="360"/>
      <w:outlineLvl w:val="3"/>
    </w:pPr>
    <w:rPr>
      <w:bCs/>
      <w:szCs w:val="28"/>
    </w:rPr>
  </w:style>
  <w:style w:type="paragraph" w:styleId="Heading5">
    <w:name w:val="heading 5"/>
    <w:basedOn w:val="Normal"/>
    <w:next w:val="Normal"/>
    <w:link w:val="Heading5Char"/>
    <w:rsid w:val="00D2321C"/>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cletitle">
    <w:name w:val="Article title"/>
    <w:basedOn w:val="Normal"/>
    <w:next w:val="Normal"/>
    <w:qFormat/>
    <w:rsid w:val="0024692A"/>
    <w:pPr>
      <w:spacing w:after="120" w:line="360" w:lineRule="auto"/>
    </w:pPr>
    <w:rPr>
      <w:b/>
      <w:sz w:val="28"/>
    </w:rPr>
  </w:style>
  <w:style w:type="paragraph" w:customStyle="1" w:styleId="Authornames">
    <w:name w:val="Author names"/>
    <w:basedOn w:val="Normal"/>
    <w:next w:val="Normal"/>
    <w:qFormat/>
    <w:rsid w:val="00F04900"/>
    <w:pPr>
      <w:spacing w:before="240" w:line="360" w:lineRule="auto"/>
    </w:pPr>
    <w:rPr>
      <w:sz w:val="28"/>
    </w:rPr>
  </w:style>
  <w:style w:type="paragraph" w:customStyle="1" w:styleId="Affiliation">
    <w:name w:val="Affiliation"/>
    <w:basedOn w:val="Normal"/>
    <w:qFormat/>
    <w:rsid w:val="00F04900"/>
    <w:pPr>
      <w:spacing w:before="240" w:line="360" w:lineRule="auto"/>
    </w:pPr>
    <w:rPr>
      <w:i/>
    </w:rPr>
  </w:style>
  <w:style w:type="paragraph" w:customStyle="1" w:styleId="Receiveddates">
    <w:name w:val="Received dates"/>
    <w:basedOn w:val="Affiliation"/>
    <w:next w:val="Normal"/>
    <w:qFormat/>
    <w:rsid w:val="00CC474B"/>
  </w:style>
  <w:style w:type="paragraph" w:customStyle="1" w:styleId="Abstract">
    <w:name w:val="Abstract"/>
    <w:basedOn w:val="Normal"/>
    <w:next w:val="Keywords"/>
    <w:qFormat/>
    <w:rsid w:val="00F56DD9"/>
    <w:pPr>
      <w:spacing w:before="360" w:after="300" w:line="360" w:lineRule="auto"/>
      <w:ind w:left="720" w:right="567"/>
      <w:jc w:val="both"/>
    </w:pPr>
    <w:rPr>
      <w:sz w:val="22"/>
    </w:rPr>
  </w:style>
  <w:style w:type="paragraph" w:customStyle="1" w:styleId="Keywords">
    <w:name w:val="Keywords"/>
    <w:basedOn w:val="Normal"/>
    <w:next w:val="Paragraph"/>
    <w:qFormat/>
    <w:rsid w:val="00BB1270"/>
    <w:pPr>
      <w:spacing w:before="240" w:after="240" w:line="360" w:lineRule="auto"/>
      <w:ind w:left="720" w:right="567"/>
    </w:pPr>
    <w:rPr>
      <w:sz w:val="22"/>
    </w:rPr>
  </w:style>
  <w:style w:type="paragraph" w:customStyle="1" w:styleId="Correspondencedetails">
    <w:name w:val="Correspondence details"/>
    <w:basedOn w:val="Normal"/>
    <w:qFormat/>
    <w:rsid w:val="00F04900"/>
    <w:pPr>
      <w:spacing w:before="240" w:line="360" w:lineRule="auto"/>
    </w:pPr>
  </w:style>
  <w:style w:type="paragraph" w:customStyle="1" w:styleId="Displayedquotation">
    <w:name w:val="Displayed quotation"/>
    <w:basedOn w:val="Normal"/>
    <w:qFormat/>
    <w:rsid w:val="00731835"/>
    <w:pPr>
      <w:tabs>
        <w:tab w:val="left" w:pos="1077"/>
        <w:tab w:val="left" w:pos="1440"/>
        <w:tab w:val="left" w:pos="1797"/>
        <w:tab w:val="left" w:pos="2155"/>
        <w:tab w:val="left" w:pos="2512"/>
      </w:tabs>
      <w:spacing w:before="240" w:after="360" w:line="360" w:lineRule="auto"/>
      <w:ind w:left="709" w:right="425"/>
      <w:contextualSpacing/>
    </w:pPr>
    <w:rPr>
      <w:sz w:val="22"/>
    </w:rPr>
  </w:style>
  <w:style w:type="paragraph" w:customStyle="1" w:styleId="Numberedlist">
    <w:name w:val="Numbered list"/>
    <w:basedOn w:val="Paragraph"/>
    <w:next w:val="Paragraph"/>
    <w:qFormat/>
    <w:rsid w:val="00D80284"/>
    <w:pPr>
      <w:widowControl/>
      <w:numPr>
        <w:numId w:val="24"/>
      </w:numPr>
      <w:spacing w:after="240"/>
      <w:contextualSpacing/>
    </w:pPr>
  </w:style>
  <w:style w:type="paragraph" w:customStyle="1" w:styleId="Displayedequation">
    <w:name w:val="Displayed equation"/>
    <w:basedOn w:val="Normal"/>
    <w:next w:val="Paragraph"/>
    <w:qFormat/>
    <w:rsid w:val="00EF0F45"/>
    <w:pPr>
      <w:tabs>
        <w:tab w:val="center" w:pos="4253"/>
        <w:tab w:val="right" w:pos="8222"/>
      </w:tabs>
      <w:spacing w:before="240" w:after="240"/>
      <w:jc w:val="center"/>
    </w:pPr>
  </w:style>
  <w:style w:type="paragraph" w:customStyle="1" w:styleId="Acknowledgements">
    <w:name w:val="Acknowledgements"/>
    <w:basedOn w:val="Normal"/>
    <w:next w:val="Normal"/>
    <w:qFormat/>
    <w:rsid w:val="00D379A3"/>
    <w:pPr>
      <w:spacing w:before="120" w:line="360" w:lineRule="auto"/>
    </w:pPr>
    <w:rPr>
      <w:sz w:val="22"/>
    </w:rPr>
  </w:style>
  <w:style w:type="paragraph" w:customStyle="1" w:styleId="Tabletitle">
    <w:name w:val="Table title"/>
    <w:basedOn w:val="Normal"/>
    <w:next w:val="Normal"/>
    <w:qFormat/>
    <w:rsid w:val="0031686C"/>
    <w:pPr>
      <w:spacing w:before="240" w:line="360" w:lineRule="auto"/>
    </w:pPr>
  </w:style>
  <w:style w:type="paragraph" w:customStyle="1" w:styleId="Figurecaption">
    <w:name w:val="Figure caption"/>
    <w:basedOn w:val="Normal"/>
    <w:next w:val="Normal"/>
    <w:qFormat/>
    <w:rsid w:val="0031686C"/>
    <w:pPr>
      <w:spacing w:before="240" w:line="360" w:lineRule="auto"/>
    </w:pPr>
  </w:style>
  <w:style w:type="paragraph" w:customStyle="1" w:styleId="Footnotes">
    <w:name w:val="Footnotes"/>
    <w:basedOn w:val="Normal"/>
    <w:qFormat/>
    <w:rsid w:val="006C6936"/>
    <w:pPr>
      <w:spacing w:before="120" w:line="360" w:lineRule="auto"/>
      <w:ind w:left="482" w:hanging="482"/>
      <w:contextualSpacing/>
    </w:pPr>
    <w:rPr>
      <w:sz w:val="22"/>
    </w:rPr>
  </w:style>
  <w:style w:type="paragraph" w:customStyle="1" w:styleId="Notesoncontributors">
    <w:name w:val="Notes on contributors"/>
    <w:basedOn w:val="Normal"/>
    <w:qFormat/>
    <w:rsid w:val="00F04900"/>
    <w:pPr>
      <w:spacing w:before="240" w:line="360" w:lineRule="auto"/>
    </w:pPr>
    <w:rPr>
      <w:sz w:val="22"/>
    </w:rPr>
  </w:style>
  <w:style w:type="paragraph" w:customStyle="1" w:styleId="Normalparagraphstyle">
    <w:name w:val="Normal paragraph style"/>
    <w:basedOn w:val="Normal"/>
    <w:next w:val="Normal"/>
    <w:rsid w:val="00562DEF"/>
  </w:style>
  <w:style w:type="paragraph" w:customStyle="1" w:styleId="Paragraph">
    <w:name w:val="Paragraph"/>
    <w:basedOn w:val="Normal"/>
    <w:next w:val="Newparagraph"/>
    <w:qFormat/>
    <w:rsid w:val="004074B0"/>
    <w:pPr>
      <w:widowControl w:val="0"/>
      <w:jc w:val="both"/>
    </w:pPr>
    <w:rPr>
      <w:rFonts w:asciiTheme="majorBidi" w:hAnsiTheme="majorBidi" w:cstheme="majorBidi"/>
      <w:shd w:val="clear" w:color="auto" w:fill="FFFFFF"/>
    </w:rPr>
  </w:style>
  <w:style w:type="paragraph" w:customStyle="1" w:styleId="Newparagraph">
    <w:name w:val="New paragraph"/>
    <w:basedOn w:val="Normal"/>
    <w:qFormat/>
    <w:rsid w:val="000D4280"/>
    <w:pPr>
      <w:ind w:firstLine="720"/>
      <w:jc w:val="both"/>
    </w:pPr>
  </w:style>
  <w:style w:type="paragraph" w:styleId="NormalIndent">
    <w:name w:val="Normal Indent"/>
    <w:basedOn w:val="Normal"/>
    <w:rsid w:val="00526454"/>
    <w:pPr>
      <w:ind w:left="720"/>
    </w:pPr>
  </w:style>
  <w:style w:type="paragraph" w:customStyle="1" w:styleId="References">
    <w:name w:val="References"/>
    <w:basedOn w:val="Normal"/>
    <w:qFormat/>
    <w:rsid w:val="002C53EE"/>
    <w:pPr>
      <w:spacing w:before="120" w:line="360" w:lineRule="auto"/>
      <w:ind w:left="720" w:hanging="720"/>
      <w:contextualSpacing/>
    </w:pPr>
  </w:style>
  <w:style w:type="paragraph" w:customStyle="1" w:styleId="Subjectcodes">
    <w:name w:val="Subject codes"/>
    <w:basedOn w:val="Keywords"/>
    <w:next w:val="Paragraph"/>
    <w:qFormat/>
    <w:rsid w:val="0000681B"/>
  </w:style>
  <w:style w:type="character" w:customStyle="1" w:styleId="Heading2Char">
    <w:name w:val="Heading 2 Char"/>
    <w:basedOn w:val="DefaultParagraphFont"/>
    <w:link w:val="Heading2"/>
    <w:rsid w:val="004074B0"/>
    <w:rPr>
      <w:rFonts w:cs="Arial"/>
      <w:b/>
      <w:bCs/>
      <w:i/>
      <w:iCs/>
      <w:sz w:val="24"/>
      <w:szCs w:val="28"/>
      <w:lang w:val="en-US"/>
    </w:rPr>
  </w:style>
  <w:style w:type="character" w:customStyle="1" w:styleId="Heading1Char">
    <w:name w:val="Heading 1 Char"/>
    <w:basedOn w:val="DefaultParagraphFont"/>
    <w:link w:val="Heading1"/>
    <w:rsid w:val="004074B0"/>
    <w:rPr>
      <w:rFonts w:cs="Arial"/>
      <w:b/>
      <w:bCs/>
      <w:kern w:val="32"/>
      <w:sz w:val="24"/>
      <w:szCs w:val="32"/>
      <w:lang w:val="en-US"/>
    </w:rPr>
  </w:style>
  <w:style w:type="character" w:customStyle="1" w:styleId="Heading3Char">
    <w:name w:val="Heading 3 Char"/>
    <w:basedOn w:val="DefaultParagraphFont"/>
    <w:link w:val="Heading3"/>
    <w:rsid w:val="00DF7EE2"/>
    <w:rPr>
      <w:rFonts w:eastAsia="Times New Roman" w:cs="Arial"/>
      <w:bCs/>
      <w:i/>
      <w:sz w:val="24"/>
      <w:szCs w:val="26"/>
      <w:lang w:eastAsia="en-GB"/>
    </w:rPr>
  </w:style>
  <w:style w:type="paragraph" w:customStyle="1" w:styleId="Bulletedlist">
    <w:name w:val="Bulleted list"/>
    <w:basedOn w:val="Paragraph"/>
    <w:next w:val="Paragraph"/>
    <w:qFormat/>
    <w:rsid w:val="004E0338"/>
    <w:pPr>
      <w:widowControl/>
      <w:numPr>
        <w:numId w:val="28"/>
      </w:numPr>
      <w:spacing w:after="240"/>
      <w:contextualSpacing/>
    </w:pPr>
  </w:style>
  <w:style w:type="paragraph" w:styleId="FootnoteText">
    <w:name w:val="footnote text"/>
    <w:basedOn w:val="Normal"/>
    <w:link w:val="FootnoteTextChar"/>
    <w:autoRedefine/>
    <w:uiPriority w:val="99"/>
    <w:rsid w:val="004043DC"/>
    <w:pPr>
      <w:spacing w:line="240" w:lineRule="auto"/>
      <w:ind w:left="284" w:hanging="284"/>
    </w:pPr>
    <w:rPr>
      <w:sz w:val="22"/>
      <w:szCs w:val="20"/>
    </w:rPr>
  </w:style>
  <w:style w:type="character" w:customStyle="1" w:styleId="FootnoteTextChar">
    <w:name w:val="Footnote Text Char"/>
    <w:basedOn w:val="DefaultParagraphFont"/>
    <w:link w:val="FootnoteText"/>
    <w:uiPriority w:val="99"/>
    <w:rsid w:val="004043DC"/>
    <w:rPr>
      <w:sz w:val="22"/>
    </w:rPr>
  </w:style>
  <w:style w:type="character" w:styleId="FootnoteReference">
    <w:name w:val="footnote reference"/>
    <w:basedOn w:val="DefaultParagraphFont"/>
    <w:uiPriority w:val="99"/>
    <w:rsid w:val="00AF2C92"/>
    <w:rPr>
      <w:vertAlign w:val="superscript"/>
    </w:rPr>
  </w:style>
  <w:style w:type="paragraph" w:styleId="EndnoteText">
    <w:name w:val="endnote text"/>
    <w:basedOn w:val="Normal"/>
    <w:link w:val="EndnoteTextChar"/>
    <w:autoRedefine/>
    <w:rsid w:val="006C19B2"/>
    <w:pPr>
      <w:ind w:left="284" w:hanging="284"/>
    </w:pPr>
    <w:rPr>
      <w:sz w:val="22"/>
      <w:szCs w:val="20"/>
    </w:rPr>
  </w:style>
  <w:style w:type="character" w:customStyle="1" w:styleId="EndnoteTextChar">
    <w:name w:val="Endnote Text Char"/>
    <w:basedOn w:val="DefaultParagraphFont"/>
    <w:link w:val="EndnoteText"/>
    <w:rsid w:val="006C19B2"/>
    <w:rPr>
      <w:sz w:val="22"/>
    </w:rPr>
  </w:style>
  <w:style w:type="character" w:styleId="EndnoteReference">
    <w:name w:val="endnote reference"/>
    <w:basedOn w:val="DefaultParagraphFont"/>
    <w:rsid w:val="00EC571B"/>
    <w:rPr>
      <w:vertAlign w:val="superscript"/>
    </w:rPr>
  </w:style>
  <w:style w:type="character" w:customStyle="1" w:styleId="Heading4Char">
    <w:name w:val="Heading 4 Char"/>
    <w:basedOn w:val="DefaultParagraphFont"/>
    <w:link w:val="Heading4"/>
    <w:rsid w:val="00F43B9D"/>
    <w:rPr>
      <w:bCs/>
      <w:sz w:val="24"/>
      <w:szCs w:val="28"/>
    </w:rPr>
  </w:style>
  <w:style w:type="paragraph" w:styleId="Header">
    <w:name w:val="header"/>
    <w:basedOn w:val="Normal"/>
    <w:link w:val="HeaderChar"/>
    <w:uiPriority w:val="99"/>
    <w:rsid w:val="003F193A"/>
    <w:pPr>
      <w:tabs>
        <w:tab w:val="center" w:pos="4320"/>
        <w:tab w:val="right" w:pos="8640"/>
      </w:tabs>
      <w:spacing w:after="120" w:line="240" w:lineRule="auto"/>
      <w:contextualSpacing/>
    </w:pPr>
  </w:style>
  <w:style w:type="character" w:customStyle="1" w:styleId="HeaderChar">
    <w:name w:val="Header Char"/>
    <w:basedOn w:val="DefaultParagraphFont"/>
    <w:link w:val="Header"/>
    <w:uiPriority w:val="99"/>
    <w:rsid w:val="003F193A"/>
    <w:rPr>
      <w:rFonts w:eastAsia="Times New Roman"/>
      <w:sz w:val="24"/>
      <w:szCs w:val="24"/>
      <w:lang w:eastAsia="en-GB"/>
    </w:rPr>
  </w:style>
  <w:style w:type="paragraph" w:styleId="Footer">
    <w:name w:val="footer"/>
    <w:basedOn w:val="Normal"/>
    <w:link w:val="FooterChar"/>
    <w:uiPriority w:val="99"/>
    <w:rsid w:val="00AE6A21"/>
    <w:pPr>
      <w:tabs>
        <w:tab w:val="center" w:pos="4320"/>
        <w:tab w:val="right" w:pos="8640"/>
      </w:tabs>
      <w:spacing w:before="240" w:line="240" w:lineRule="auto"/>
      <w:contextualSpacing/>
    </w:pPr>
  </w:style>
  <w:style w:type="character" w:customStyle="1" w:styleId="FooterChar">
    <w:name w:val="Footer Char"/>
    <w:basedOn w:val="DefaultParagraphFont"/>
    <w:link w:val="Footer"/>
    <w:uiPriority w:val="99"/>
    <w:rsid w:val="00AE6A21"/>
    <w:rPr>
      <w:sz w:val="24"/>
      <w:szCs w:val="24"/>
    </w:rPr>
  </w:style>
  <w:style w:type="paragraph" w:customStyle="1" w:styleId="Heading4Paragraph">
    <w:name w:val="Heading 4 + Paragraph"/>
    <w:basedOn w:val="Paragraph"/>
    <w:next w:val="Newparagraph"/>
    <w:qFormat/>
    <w:rsid w:val="00AE1ED4"/>
    <w:pPr>
      <w:widowControl/>
      <w:spacing w:before="360"/>
    </w:pPr>
  </w:style>
  <w:style w:type="character" w:styleId="Hyperlink">
    <w:name w:val="Hyperlink"/>
    <w:basedOn w:val="DefaultParagraphFont"/>
    <w:uiPriority w:val="99"/>
    <w:unhideWhenUsed/>
    <w:rsid w:val="005E3F15"/>
    <w:rPr>
      <w:color w:val="0000FF"/>
      <w:u w:val="single"/>
    </w:rPr>
  </w:style>
  <w:style w:type="character" w:styleId="CommentReference">
    <w:name w:val="annotation reference"/>
    <w:basedOn w:val="DefaultParagraphFont"/>
    <w:semiHidden/>
    <w:unhideWhenUsed/>
    <w:rsid w:val="00061050"/>
    <w:rPr>
      <w:sz w:val="16"/>
      <w:szCs w:val="16"/>
    </w:rPr>
  </w:style>
  <w:style w:type="paragraph" w:styleId="CommentText">
    <w:name w:val="annotation text"/>
    <w:basedOn w:val="Normal"/>
    <w:link w:val="CommentTextChar"/>
    <w:unhideWhenUsed/>
    <w:rsid w:val="00061050"/>
    <w:pPr>
      <w:spacing w:line="240" w:lineRule="auto"/>
    </w:pPr>
    <w:rPr>
      <w:sz w:val="20"/>
      <w:szCs w:val="20"/>
    </w:rPr>
  </w:style>
  <w:style w:type="character" w:customStyle="1" w:styleId="CommentTextChar">
    <w:name w:val="Comment Text Char"/>
    <w:basedOn w:val="DefaultParagraphFont"/>
    <w:link w:val="CommentText"/>
    <w:rsid w:val="00061050"/>
  </w:style>
  <w:style w:type="paragraph" w:styleId="CommentSubject">
    <w:name w:val="annotation subject"/>
    <w:basedOn w:val="CommentText"/>
    <w:next w:val="CommentText"/>
    <w:link w:val="CommentSubjectChar"/>
    <w:semiHidden/>
    <w:unhideWhenUsed/>
    <w:rsid w:val="00061050"/>
    <w:rPr>
      <w:b/>
      <w:bCs/>
    </w:rPr>
  </w:style>
  <w:style w:type="character" w:customStyle="1" w:styleId="CommentSubjectChar">
    <w:name w:val="Comment Subject Char"/>
    <w:basedOn w:val="CommentTextChar"/>
    <w:link w:val="CommentSubject"/>
    <w:semiHidden/>
    <w:rsid w:val="00061050"/>
    <w:rPr>
      <w:b/>
      <w:bCs/>
    </w:rPr>
  </w:style>
  <w:style w:type="character" w:customStyle="1" w:styleId="Heading5Char">
    <w:name w:val="Heading 5 Char"/>
    <w:basedOn w:val="DefaultParagraphFont"/>
    <w:link w:val="Heading5"/>
    <w:rsid w:val="00D2321C"/>
    <w:rPr>
      <w:rFonts w:asciiTheme="majorHAnsi" w:eastAsiaTheme="majorEastAsia" w:hAnsiTheme="majorHAnsi" w:cstheme="majorBidi"/>
      <w:color w:val="365F91" w:themeColor="accent1" w:themeShade="BF"/>
      <w:sz w:val="24"/>
      <w:szCs w:val="24"/>
    </w:rPr>
  </w:style>
  <w:style w:type="character" w:styleId="Emphasis">
    <w:name w:val="Emphasis"/>
    <w:basedOn w:val="DefaultParagraphFont"/>
    <w:uiPriority w:val="20"/>
    <w:qFormat/>
    <w:rsid w:val="00D2321C"/>
    <w:rPr>
      <w:i/>
      <w:iCs/>
    </w:rPr>
  </w:style>
  <w:style w:type="character" w:styleId="Strong">
    <w:name w:val="Strong"/>
    <w:basedOn w:val="DefaultParagraphFont"/>
    <w:uiPriority w:val="22"/>
    <w:qFormat/>
    <w:rsid w:val="00D2321C"/>
    <w:rPr>
      <w:b/>
      <w:bCs/>
    </w:rPr>
  </w:style>
  <w:style w:type="paragraph" w:styleId="Caption">
    <w:name w:val="caption"/>
    <w:basedOn w:val="Normal"/>
    <w:next w:val="Normal"/>
    <w:unhideWhenUsed/>
    <w:rsid w:val="00615FC8"/>
    <w:pPr>
      <w:spacing w:after="200" w:line="240" w:lineRule="auto"/>
    </w:pPr>
    <w:rPr>
      <w:i/>
      <w:iCs/>
      <w:color w:val="1F497D" w:themeColor="text2"/>
      <w:sz w:val="18"/>
      <w:szCs w:val="18"/>
    </w:rPr>
  </w:style>
  <w:style w:type="paragraph" w:styleId="NormalWeb">
    <w:name w:val="Normal (Web)"/>
    <w:basedOn w:val="Normal"/>
    <w:uiPriority w:val="99"/>
    <w:semiHidden/>
    <w:unhideWhenUsed/>
    <w:rsid w:val="00705703"/>
    <w:pPr>
      <w:spacing w:before="100" w:beforeAutospacing="1" w:after="100" w:afterAutospacing="1" w:line="240" w:lineRule="auto"/>
    </w:pPr>
    <w:rPr>
      <w:lang w:val="en-US" w:eastAsia="en-US" w:bidi="he-IL"/>
    </w:rPr>
  </w:style>
  <w:style w:type="character" w:customStyle="1" w:styleId="inline-flex">
    <w:name w:val="inline-flex"/>
    <w:basedOn w:val="DefaultParagraphFont"/>
    <w:rsid w:val="00192036"/>
  </w:style>
  <w:style w:type="character" w:customStyle="1" w:styleId="text-nowrap">
    <w:name w:val="text-nowrap"/>
    <w:basedOn w:val="DefaultParagraphFont"/>
    <w:rsid w:val="00192036"/>
  </w:style>
  <w:style w:type="paragraph" w:styleId="ListParagraph">
    <w:name w:val="List Paragraph"/>
    <w:basedOn w:val="Normal"/>
    <w:uiPriority w:val="34"/>
    <w:qFormat/>
    <w:rsid w:val="00ED6CF5"/>
    <w:pPr>
      <w:spacing w:line="240" w:lineRule="auto"/>
      <w:ind w:left="720"/>
      <w:contextualSpacing/>
    </w:pPr>
    <w:rPr>
      <w:lang w:val="en-US" w:eastAsia="en-US" w:bidi="he-IL"/>
    </w:rPr>
  </w:style>
  <w:style w:type="paragraph" w:styleId="Revision">
    <w:name w:val="Revision"/>
    <w:hidden/>
    <w:semiHidden/>
    <w:rsid w:val="0050762A"/>
    <w:rPr>
      <w:sz w:val="24"/>
      <w:szCs w:val="24"/>
    </w:rPr>
  </w:style>
  <w:style w:type="character" w:customStyle="1" w:styleId="gtcolumnspanner">
    <w:name w:val="gt_column_spanner"/>
    <w:basedOn w:val="DefaultParagraphFont"/>
    <w:rsid w:val="00DB0781"/>
  </w:style>
  <w:style w:type="character" w:customStyle="1" w:styleId="gtfootnotemarks">
    <w:name w:val="gt_footnote_marks"/>
    <w:basedOn w:val="DefaultParagraphFont"/>
    <w:rsid w:val="00DB0781"/>
  </w:style>
  <w:style w:type="paragraph" w:customStyle="1" w:styleId="whitespace-normal">
    <w:name w:val="whitespace-normal"/>
    <w:basedOn w:val="Normal"/>
    <w:rsid w:val="008220A1"/>
    <w:pPr>
      <w:spacing w:before="100" w:beforeAutospacing="1" w:after="100" w:afterAutospacing="1" w:line="240" w:lineRule="auto"/>
    </w:pPr>
    <w:rPr>
      <w:lang w:val="en-US" w:eastAsia="en-US" w:bidi="he-IL"/>
    </w:rPr>
  </w:style>
  <w:style w:type="character" w:styleId="UnresolvedMention">
    <w:name w:val="Unresolved Mention"/>
    <w:basedOn w:val="DefaultParagraphFont"/>
    <w:uiPriority w:val="99"/>
    <w:semiHidden/>
    <w:unhideWhenUsed/>
    <w:rsid w:val="00F56DD9"/>
    <w:rPr>
      <w:color w:val="605E5C"/>
      <w:shd w:val="clear" w:color="auto" w:fill="E1DFDD"/>
    </w:rPr>
  </w:style>
  <w:style w:type="paragraph" w:styleId="Bibliography">
    <w:name w:val="Bibliography"/>
    <w:basedOn w:val="Normal"/>
    <w:next w:val="Normal"/>
    <w:unhideWhenUsed/>
    <w:rsid w:val="000569EB"/>
    <w:pPr>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471931">
      <w:bodyDiv w:val="1"/>
      <w:marLeft w:val="0"/>
      <w:marRight w:val="0"/>
      <w:marTop w:val="0"/>
      <w:marBottom w:val="0"/>
      <w:divBdr>
        <w:top w:val="none" w:sz="0" w:space="0" w:color="auto"/>
        <w:left w:val="none" w:sz="0" w:space="0" w:color="auto"/>
        <w:bottom w:val="none" w:sz="0" w:space="0" w:color="auto"/>
        <w:right w:val="none" w:sz="0" w:space="0" w:color="auto"/>
      </w:divBdr>
    </w:div>
    <w:div w:id="909926053">
      <w:bodyDiv w:val="1"/>
      <w:marLeft w:val="0"/>
      <w:marRight w:val="0"/>
      <w:marTop w:val="0"/>
      <w:marBottom w:val="0"/>
      <w:divBdr>
        <w:top w:val="none" w:sz="0" w:space="0" w:color="auto"/>
        <w:left w:val="none" w:sz="0" w:space="0" w:color="auto"/>
        <w:bottom w:val="none" w:sz="0" w:space="0" w:color="auto"/>
        <w:right w:val="none" w:sz="0" w:space="0" w:color="auto"/>
      </w:divBdr>
    </w:div>
    <w:div w:id="1825734589">
      <w:bodyDiv w:val="1"/>
      <w:marLeft w:val="0"/>
      <w:marRight w:val="0"/>
      <w:marTop w:val="0"/>
      <w:marBottom w:val="0"/>
      <w:divBdr>
        <w:top w:val="none" w:sz="0" w:space="0" w:color="auto"/>
        <w:left w:val="none" w:sz="0" w:space="0" w:color="auto"/>
        <w:bottom w:val="none" w:sz="0" w:space="0" w:color="auto"/>
        <w:right w:val="none" w:sz="0" w:space="0" w:color="auto"/>
      </w:divBdr>
      <w:divsChild>
        <w:div w:id="270480801">
          <w:marLeft w:val="1080"/>
          <w:marRight w:val="0"/>
          <w:marTop w:val="100"/>
          <w:marBottom w:val="0"/>
          <w:divBdr>
            <w:top w:val="none" w:sz="0" w:space="0" w:color="auto"/>
            <w:left w:val="none" w:sz="0" w:space="0" w:color="auto"/>
            <w:bottom w:val="none" w:sz="0" w:space="0" w:color="auto"/>
            <w:right w:val="none" w:sz="0" w:space="0" w:color="auto"/>
          </w:divBdr>
        </w:div>
        <w:div w:id="415323466">
          <w:marLeft w:val="1080"/>
          <w:marRight w:val="0"/>
          <w:marTop w:val="100"/>
          <w:marBottom w:val="0"/>
          <w:divBdr>
            <w:top w:val="none" w:sz="0" w:space="0" w:color="auto"/>
            <w:left w:val="none" w:sz="0" w:space="0" w:color="auto"/>
            <w:bottom w:val="none" w:sz="0" w:space="0" w:color="auto"/>
            <w:right w:val="none" w:sz="0" w:space="0" w:color="auto"/>
          </w:divBdr>
        </w:div>
        <w:div w:id="815873048">
          <w:marLeft w:val="1080"/>
          <w:marRight w:val="0"/>
          <w:marTop w:val="100"/>
          <w:marBottom w:val="0"/>
          <w:divBdr>
            <w:top w:val="none" w:sz="0" w:space="0" w:color="auto"/>
            <w:left w:val="none" w:sz="0" w:space="0" w:color="auto"/>
            <w:bottom w:val="none" w:sz="0" w:space="0" w:color="auto"/>
            <w:right w:val="none" w:sz="0" w:space="0" w:color="auto"/>
          </w:divBdr>
        </w:div>
        <w:div w:id="2010713277">
          <w:marLeft w:val="108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mir61@gmail.com"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_rels/footnotes.xml.rels><?xml version="1.0" encoding="UTF-8" standalone="yes"?>
<Relationships xmlns="http://schemas.openxmlformats.org/package/2006/relationships"><Relationship Id="rId1" Type="http://schemas.openxmlformats.org/officeDocument/2006/relationships/hyperlink" Target="https://en.idi.org.il/media/26705/madd-d2024-eng05print.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ropbox\Amir\Amir%20personal\0%20RUNI\Political%20Extermism\Article%201\TF_Template_Word_Windows_201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02914E-4C3A-4163-A6C9-332A453E9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TF_Template_Word_Windows_2016.dotx</Template>
  <TotalTime>12055</TotalTime>
  <Pages>37</Pages>
  <Words>28396</Words>
  <Characters>161860</Characters>
  <Application>Microsoft Office Word</Application>
  <DocSecurity>0</DocSecurity>
  <Lines>1348</Lines>
  <Paragraphs>379</Paragraphs>
  <ScaleCrop>false</ScaleCrop>
  <HeadingPairs>
    <vt:vector size="2" baseType="variant">
      <vt:variant>
        <vt:lpstr>Title</vt:lpstr>
      </vt:variant>
      <vt:variant>
        <vt:i4>1</vt:i4>
      </vt:variant>
    </vt:vector>
  </HeadingPairs>
  <TitlesOfParts>
    <vt:vector size="1" baseType="lpstr">
      <vt:lpstr>TF_Template_Word_Windows_2016</vt:lpstr>
    </vt:vector>
  </TitlesOfParts>
  <Company>Informa Plc</Company>
  <LinksUpToDate>false</LinksUpToDate>
  <CharactersWithSpaces>189877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TF_Template_Word_Windows_2016</dc:title>
  <dc:subject/>
  <dc:creator>USER</dc:creator>
  <cp:keywords/>
  <dc:description/>
  <cp:lastModifiedBy>amir Freund</cp:lastModifiedBy>
  <cp:revision>7</cp:revision>
  <cp:lastPrinted>2025-12-31T18:29:00Z</cp:lastPrinted>
  <dcterms:created xsi:type="dcterms:W3CDTF">2025-11-16T08:22:00Z</dcterms:created>
  <dcterms:modified xsi:type="dcterms:W3CDTF">2026-01-16T12:06:00Z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938dee6c-d8f9-4802-9e69-d81c90309f4c</vt:lpwstr>
  </property>
  <property fmtid="{D5CDD505-2E9C-101B-9397-08002B2CF9AE}" pid="3" name="ZOTERO_PREF_1">
    <vt:lpwstr>&lt;data data-version="3" zotero-version="7.0.31"&gt;&lt;session id="oZkAP5sk"/&gt;&lt;style id="http://www.zotero.org/styles/apa" locale="en-US" hasBibliography="1" bibliographyStyleHasBeenSet="1"/&gt;&lt;prefs&gt;&lt;pref name="fieldType" value="Field"/&gt;&lt;/prefs&gt;&lt;/data&gt;</vt:lpwstr>
  </property>
</Properties>
</file>