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E13CA" w14:textId="49A37BBB" w:rsidR="00DB0FD1" w:rsidRDefault="00DB0FD1" w:rsidP="00DB0FD1">
      <w:pPr>
        <w:pStyle w:val="Title"/>
        <w:rPr>
          <w:sz w:val="44"/>
          <w:szCs w:val="44"/>
          <w:u w:val="single"/>
        </w:rPr>
      </w:pPr>
      <w:r w:rsidRPr="00DB0FD1">
        <w:rPr>
          <w:sz w:val="44"/>
          <w:szCs w:val="44"/>
          <w:u w:val="single"/>
        </w:rPr>
        <w:t>Stanford Comments</w:t>
      </w:r>
    </w:p>
    <w:p w14:paraId="52B85CC5" w14:textId="77777777" w:rsidR="00287FE6" w:rsidRDefault="00287FE6" w:rsidP="00287FE6"/>
    <w:tbl>
      <w:tblPr>
        <w:tblStyle w:val="TableGrid"/>
        <w:tblW w:w="0" w:type="auto"/>
        <w:tblLook w:val="04A0" w:firstRow="1" w:lastRow="0" w:firstColumn="1" w:lastColumn="0" w:noHBand="0" w:noVBand="1"/>
      </w:tblPr>
      <w:tblGrid>
        <w:gridCol w:w="445"/>
        <w:gridCol w:w="6808"/>
        <w:gridCol w:w="1377"/>
      </w:tblGrid>
      <w:tr w:rsidR="007A29E4" w14:paraId="58050DE3" w14:textId="77777777">
        <w:tc>
          <w:tcPr>
            <w:tcW w:w="445" w:type="dxa"/>
          </w:tcPr>
          <w:p w14:paraId="79669391" w14:textId="77777777" w:rsidR="007A29E4" w:rsidRDefault="007A29E4">
            <w:r>
              <w:t>#</w:t>
            </w:r>
          </w:p>
        </w:tc>
        <w:tc>
          <w:tcPr>
            <w:tcW w:w="6808" w:type="dxa"/>
          </w:tcPr>
          <w:p w14:paraId="6F380E52" w14:textId="77777777" w:rsidR="007A29E4" w:rsidRDefault="007A29E4">
            <w:r>
              <w:t>Description</w:t>
            </w:r>
          </w:p>
        </w:tc>
        <w:tc>
          <w:tcPr>
            <w:tcW w:w="1377" w:type="dxa"/>
          </w:tcPr>
          <w:p w14:paraId="548A4850" w14:textId="77777777" w:rsidR="007A29E4" w:rsidRDefault="007A29E4">
            <w:r>
              <w:t>Comments</w:t>
            </w:r>
          </w:p>
        </w:tc>
      </w:tr>
      <w:tr w:rsidR="007A29E4" w14:paraId="24FF9C17" w14:textId="77777777" w:rsidTr="00103929">
        <w:tc>
          <w:tcPr>
            <w:tcW w:w="445" w:type="dxa"/>
            <w:shd w:val="clear" w:color="auto" w:fill="D9F2D0" w:themeFill="accent6" w:themeFillTint="33"/>
          </w:tcPr>
          <w:p w14:paraId="54F29BB9" w14:textId="77777777" w:rsidR="007A29E4" w:rsidRDefault="007A29E4" w:rsidP="007A29E4">
            <w:pPr>
              <w:pStyle w:val="ListParagraph"/>
              <w:numPr>
                <w:ilvl w:val="0"/>
                <w:numId w:val="8"/>
              </w:numPr>
            </w:pPr>
          </w:p>
        </w:tc>
        <w:tc>
          <w:tcPr>
            <w:tcW w:w="6808" w:type="dxa"/>
          </w:tcPr>
          <w:p w14:paraId="7A4CF560" w14:textId="77777777" w:rsidR="007A29E4" w:rsidRDefault="007A29E4">
            <w:r>
              <w:t xml:space="preserve">Compare EL and EIN between the panel waves (3, 4) to show </w:t>
            </w:r>
            <w:r w:rsidRPr="00324C49">
              <w:rPr>
                <w:color w:val="00B050"/>
              </w:rPr>
              <w:t xml:space="preserve">recruitment/demobilization </w:t>
            </w:r>
            <w:r>
              <w:t xml:space="preserve">of the same people rather than radicalization. We need to show that people already in the extreme group in wave three did not radicalize in wave 4, and that the extremist group in wave 4 grew in comparison to wave three. </w:t>
            </w:r>
            <w:r>
              <w:br/>
              <w:t xml:space="preserve">Need to check across all political orientations and overall.  </w:t>
            </w:r>
            <w:r>
              <w:br/>
              <w:t>Prepare a table for all other events with changes in EL and EIN</w:t>
            </w:r>
          </w:p>
        </w:tc>
        <w:tc>
          <w:tcPr>
            <w:tcW w:w="1377" w:type="dxa"/>
          </w:tcPr>
          <w:p w14:paraId="756E56AA" w14:textId="77777777" w:rsidR="007A29E4" w:rsidRDefault="007A29E4">
            <w:r>
              <w:t>1, 19, 38</w:t>
            </w:r>
          </w:p>
        </w:tc>
      </w:tr>
      <w:tr w:rsidR="007A29E4" w14:paraId="2376934A" w14:textId="77777777" w:rsidTr="00684164">
        <w:tc>
          <w:tcPr>
            <w:tcW w:w="445" w:type="dxa"/>
            <w:shd w:val="clear" w:color="auto" w:fill="D9F2D0" w:themeFill="accent6" w:themeFillTint="33"/>
          </w:tcPr>
          <w:p w14:paraId="7D13DA38" w14:textId="77777777" w:rsidR="007A29E4" w:rsidRDefault="007A29E4" w:rsidP="007A29E4">
            <w:pPr>
              <w:pStyle w:val="ListParagraph"/>
              <w:numPr>
                <w:ilvl w:val="0"/>
                <w:numId w:val="8"/>
              </w:numPr>
            </w:pPr>
          </w:p>
        </w:tc>
        <w:tc>
          <w:tcPr>
            <w:tcW w:w="6808" w:type="dxa"/>
          </w:tcPr>
          <w:p w14:paraId="7DA79B90" w14:textId="77777777" w:rsidR="007A29E4" w:rsidRDefault="007A29E4">
            <w:r>
              <w:t xml:space="preserve">Elaborate a little bit more about what we did for the decision of </w:t>
            </w:r>
            <w:r w:rsidRPr="00324C49">
              <w:rPr>
                <w:color w:val="C1E4F5" w:themeColor="accent1" w:themeTint="33"/>
              </w:rPr>
              <w:t>K</w:t>
            </w:r>
            <w:r>
              <w:t>, and refer to the SI. Create a strong SI section.</w:t>
            </w:r>
          </w:p>
        </w:tc>
        <w:tc>
          <w:tcPr>
            <w:tcW w:w="1377" w:type="dxa"/>
          </w:tcPr>
          <w:p w14:paraId="2207E205" w14:textId="77777777" w:rsidR="007A29E4" w:rsidRDefault="007A29E4">
            <w:r>
              <w:t>2, 18, 37</w:t>
            </w:r>
          </w:p>
        </w:tc>
      </w:tr>
      <w:tr w:rsidR="007A29E4" w14:paraId="301A2373" w14:textId="77777777" w:rsidTr="00E001F5">
        <w:tc>
          <w:tcPr>
            <w:tcW w:w="445" w:type="dxa"/>
            <w:shd w:val="clear" w:color="auto" w:fill="D9F2D0" w:themeFill="accent6" w:themeFillTint="33"/>
          </w:tcPr>
          <w:p w14:paraId="16FD3D93" w14:textId="77777777" w:rsidR="007A29E4" w:rsidRDefault="007A29E4" w:rsidP="007A29E4">
            <w:pPr>
              <w:pStyle w:val="ListParagraph"/>
              <w:numPr>
                <w:ilvl w:val="0"/>
                <w:numId w:val="8"/>
              </w:numPr>
            </w:pPr>
          </w:p>
        </w:tc>
        <w:tc>
          <w:tcPr>
            <w:tcW w:w="6808" w:type="dxa"/>
          </w:tcPr>
          <w:p w14:paraId="0C2FF304" w14:textId="77777777" w:rsidR="007A29E4" w:rsidRDefault="007A29E4">
            <w:r>
              <w:t xml:space="preserve">Robustness for </w:t>
            </w:r>
            <w:r w:rsidRPr="00324C49">
              <w:rPr>
                <w:color w:val="7030A0"/>
              </w:rPr>
              <w:t>political orientation</w:t>
            </w:r>
            <w:r>
              <w:t xml:space="preserve">: add robustness in the </w:t>
            </w:r>
            <w:r w:rsidRPr="006969EE">
              <w:rPr>
                <w:color w:val="EE0000"/>
              </w:rPr>
              <w:t xml:space="preserve">MANOVA </w:t>
            </w:r>
            <w:r>
              <w:t>analysis, mention in the article, and refer to the SI</w:t>
            </w:r>
          </w:p>
        </w:tc>
        <w:tc>
          <w:tcPr>
            <w:tcW w:w="1377" w:type="dxa"/>
          </w:tcPr>
          <w:p w14:paraId="268AA64A" w14:textId="77777777" w:rsidR="007A29E4" w:rsidRDefault="007A29E4">
            <w:r>
              <w:t>3, 20, 40</w:t>
            </w:r>
          </w:p>
        </w:tc>
      </w:tr>
      <w:tr w:rsidR="007A29E4" w14:paraId="13EE984B" w14:textId="77777777" w:rsidTr="00346A0B">
        <w:tc>
          <w:tcPr>
            <w:tcW w:w="445" w:type="dxa"/>
            <w:shd w:val="clear" w:color="auto" w:fill="D9F2D0" w:themeFill="accent6" w:themeFillTint="33"/>
          </w:tcPr>
          <w:p w14:paraId="75CEBFF3" w14:textId="77777777" w:rsidR="007A29E4" w:rsidRDefault="007A29E4" w:rsidP="007A29E4">
            <w:pPr>
              <w:pStyle w:val="ListParagraph"/>
              <w:numPr>
                <w:ilvl w:val="0"/>
                <w:numId w:val="8"/>
              </w:numPr>
            </w:pPr>
          </w:p>
        </w:tc>
        <w:tc>
          <w:tcPr>
            <w:tcW w:w="6808" w:type="dxa"/>
          </w:tcPr>
          <w:p w14:paraId="17A6D0EE" w14:textId="77777777" w:rsidR="007A29E4" w:rsidRDefault="007A29E4">
            <w:r>
              <w:t>Identify where we state ‘</w:t>
            </w:r>
            <w:r w:rsidRPr="00324C49">
              <w:rPr>
                <w:color w:val="FFC000"/>
              </w:rPr>
              <w:t xml:space="preserve">context independence’ </w:t>
            </w:r>
            <w:r>
              <w:t xml:space="preserve">and see that it is theoretical only. Make sure to state in future research that it is required. </w:t>
            </w:r>
          </w:p>
        </w:tc>
        <w:tc>
          <w:tcPr>
            <w:tcW w:w="1377" w:type="dxa"/>
          </w:tcPr>
          <w:p w14:paraId="75A9F37A" w14:textId="77777777" w:rsidR="007A29E4" w:rsidRDefault="007A29E4">
            <w:r>
              <w:t>4, 35</w:t>
            </w:r>
          </w:p>
        </w:tc>
      </w:tr>
      <w:tr w:rsidR="007A29E4" w14:paraId="2D18D345" w14:textId="77777777" w:rsidTr="0018071F">
        <w:tc>
          <w:tcPr>
            <w:tcW w:w="445" w:type="dxa"/>
            <w:shd w:val="clear" w:color="auto" w:fill="D9F2D0" w:themeFill="accent6" w:themeFillTint="33"/>
          </w:tcPr>
          <w:p w14:paraId="43552A38" w14:textId="77777777" w:rsidR="007A29E4" w:rsidRDefault="007A29E4" w:rsidP="007A29E4">
            <w:pPr>
              <w:pStyle w:val="ListParagraph"/>
              <w:numPr>
                <w:ilvl w:val="0"/>
                <w:numId w:val="8"/>
              </w:numPr>
            </w:pPr>
          </w:p>
        </w:tc>
        <w:tc>
          <w:tcPr>
            <w:tcW w:w="6808" w:type="dxa"/>
          </w:tcPr>
          <w:p w14:paraId="3541904B" w14:textId="77777777" w:rsidR="007A29E4" w:rsidRPr="00544960" w:rsidRDefault="007A29E4">
            <w:r>
              <w:t xml:space="preserve">Provide more information in the SI on the </w:t>
            </w:r>
            <w:r w:rsidRPr="00324C49">
              <w:rPr>
                <w:color w:val="C00000"/>
              </w:rPr>
              <w:t>waves</w:t>
            </w:r>
            <w:r>
              <w:t xml:space="preserve"> (e.g., sampling, weighting, nonresponse, and attrition) – </w:t>
            </w:r>
            <w:r w:rsidRPr="006011C9">
              <w:rPr>
                <w:b/>
                <w:bCs/>
                <w:i/>
                <w:iCs/>
              </w:rPr>
              <w:t xml:space="preserve">If it exists in Julia’s material. </w:t>
            </w:r>
            <w:r>
              <w:t xml:space="preserve">Also, add which companies and other bullshit the survey was conducted with. This section can move to the SI. </w:t>
            </w:r>
          </w:p>
        </w:tc>
        <w:tc>
          <w:tcPr>
            <w:tcW w:w="1377" w:type="dxa"/>
          </w:tcPr>
          <w:p w14:paraId="2F4960F1" w14:textId="77777777" w:rsidR="007A29E4" w:rsidRDefault="007A29E4">
            <w:r>
              <w:t>5, 21, 39</w:t>
            </w:r>
          </w:p>
        </w:tc>
      </w:tr>
      <w:tr w:rsidR="007A29E4" w14:paraId="02371E0C" w14:textId="77777777" w:rsidTr="001E556B">
        <w:tc>
          <w:tcPr>
            <w:tcW w:w="445" w:type="dxa"/>
            <w:shd w:val="clear" w:color="auto" w:fill="D9F2D0" w:themeFill="accent6" w:themeFillTint="33"/>
          </w:tcPr>
          <w:p w14:paraId="2C6DD01D" w14:textId="77777777" w:rsidR="007A29E4" w:rsidRDefault="007A29E4" w:rsidP="007A29E4">
            <w:pPr>
              <w:pStyle w:val="ListParagraph"/>
              <w:numPr>
                <w:ilvl w:val="0"/>
                <w:numId w:val="8"/>
              </w:numPr>
            </w:pPr>
          </w:p>
        </w:tc>
        <w:tc>
          <w:tcPr>
            <w:tcW w:w="6808" w:type="dxa"/>
          </w:tcPr>
          <w:p w14:paraId="0BD5BE68" w14:textId="77777777" w:rsidR="007A29E4" w:rsidRDefault="007A29E4">
            <w:r>
              <w:t xml:space="preserve">Add additional </w:t>
            </w:r>
            <w:r w:rsidRPr="00324C49">
              <w:rPr>
                <w:highlight w:val="magenta"/>
              </w:rPr>
              <w:t>controls</w:t>
            </w:r>
            <w:r>
              <w:t xml:space="preserve"> (</w:t>
            </w:r>
            <w:r w:rsidRPr="00DB0FD1">
              <w:t>religiosity, education, ethnicity, region, and socio-economic</w:t>
            </w:r>
            <w:r>
              <w:t xml:space="preserve"> status). If possible, modify only the </w:t>
            </w:r>
            <w:r w:rsidRPr="006969EE">
              <w:rPr>
                <w:color w:val="EE0000"/>
              </w:rPr>
              <w:t xml:space="preserve">MANOVA </w:t>
            </w:r>
            <w:r>
              <w:t>analysis.</w:t>
            </w:r>
          </w:p>
        </w:tc>
        <w:tc>
          <w:tcPr>
            <w:tcW w:w="1377" w:type="dxa"/>
          </w:tcPr>
          <w:p w14:paraId="21F65567" w14:textId="77777777" w:rsidR="007A29E4" w:rsidRPr="00324C49" w:rsidRDefault="007A29E4">
            <w:pPr>
              <w:rPr>
                <w:b/>
                <w:bCs/>
              </w:rPr>
            </w:pPr>
            <w:r>
              <w:t>8, 25, 41</w:t>
            </w:r>
          </w:p>
        </w:tc>
      </w:tr>
      <w:tr w:rsidR="007A29E4" w14:paraId="0DA6EECB" w14:textId="77777777" w:rsidTr="006D46E6">
        <w:tc>
          <w:tcPr>
            <w:tcW w:w="445" w:type="dxa"/>
            <w:shd w:val="clear" w:color="auto" w:fill="D9F2D0" w:themeFill="accent6" w:themeFillTint="33"/>
          </w:tcPr>
          <w:p w14:paraId="17886CBB" w14:textId="77777777" w:rsidR="007A29E4" w:rsidRDefault="007A29E4" w:rsidP="007A29E4">
            <w:pPr>
              <w:pStyle w:val="ListParagraph"/>
              <w:numPr>
                <w:ilvl w:val="0"/>
                <w:numId w:val="8"/>
              </w:numPr>
            </w:pPr>
          </w:p>
        </w:tc>
        <w:tc>
          <w:tcPr>
            <w:tcW w:w="6808" w:type="dxa"/>
          </w:tcPr>
          <w:p w14:paraId="67C00884" w14:textId="77777777" w:rsidR="007A29E4" w:rsidRDefault="007A29E4">
            <w:r w:rsidRPr="006969EE">
              <w:rPr>
                <w:color w:val="EE0000"/>
              </w:rPr>
              <w:t xml:space="preserve">MANOVA </w:t>
            </w:r>
            <w:r>
              <w:t xml:space="preserve">information should include </w:t>
            </w:r>
            <w:r w:rsidRPr="00DB0FD1">
              <w:t>Effect sizes (partial eta-squared)</w:t>
            </w:r>
            <w:r>
              <w:t>,</w:t>
            </w:r>
            <w:r w:rsidRPr="00DB0FD1">
              <w:t xml:space="preserve"> and confidence intervals are not reported; Pillai’s Trace values are given without df and standardized effect sizes.</w:t>
            </w:r>
          </w:p>
          <w:p w14:paraId="4D13A4D7" w14:textId="77777777" w:rsidR="007A29E4" w:rsidRDefault="007A29E4">
            <w:r>
              <w:t>[</w:t>
            </w:r>
            <w:r w:rsidRPr="00DB0FD1">
              <w:t xml:space="preserve">add df, partial eta^2 (or generalized eta^2), confidence intervals, and standardized mean differences. </w:t>
            </w:r>
            <w:r>
              <w:t>]</w:t>
            </w:r>
          </w:p>
        </w:tc>
        <w:tc>
          <w:tcPr>
            <w:tcW w:w="1377" w:type="dxa"/>
          </w:tcPr>
          <w:p w14:paraId="05A7B3BC" w14:textId="77777777" w:rsidR="007A29E4" w:rsidRDefault="007A29E4">
            <w:r>
              <w:t>9, 23</w:t>
            </w:r>
          </w:p>
        </w:tc>
      </w:tr>
      <w:tr w:rsidR="007A29E4" w14:paraId="7D6A64D3" w14:textId="77777777" w:rsidTr="008B5A38">
        <w:tc>
          <w:tcPr>
            <w:tcW w:w="445" w:type="dxa"/>
            <w:shd w:val="clear" w:color="auto" w:fill="D9F2D0" w:themeFill="accent6" w:themeFillTint="33"/>
          </w:tcPr>
          <w:p w14:paraId="58239DC3" w14:textId="77777777" w:rsidR="007A29E4" w:rsidRDefault="007A29E4" w:rsidP="007A29E4">
            <w:pPr>
              <w:pStyle w:val="ListParagraph"/>
              <w:numPr>
                <w:ilvl w:val="0"/>
                <w:numId w:val="8"/>
              </w:numPr>
            </w:pPr>
          </w:p>
        </w:tc>
        <w:tc>
          <w:tcPr>
            <w:tcW w:w="6808" w:type="dxa"/>
          </w:tcPr>
          <w:p w14:paraId="69682EA2" w14:textId="77777777" w:rsidR="007A29E4" w:rsidRDefault="007A29E4">
            <w:r w:rsidRPr="00324C49">
              <w:rPr>
                <w:color w:val="0070C0"/>
              </w:rPr>
              <w:t xml:space="preserve">CFA </w:t>
            </w:r>
            <w:r>
              <w:t>strong section with Invariance paragraph in the SI</w:t>
            </w:r>
          </w:p>
        </w:tc>
        <w:tc>
          <w:tcPr>
            <w:tcW w:w="1377" w:type="dxa"/>
          </w:tcPr>
          <w:p w14:paraId="5CD1F329" w14:textId="77777777" w:rsidR="007A29E4" w:rsidRDefault="007A29E4">
            <w:r>
              <w:t>17, 22, 36</w:t>
            </w:r>
          </w:p>
        </w:tc>
      </w:tr>
    </w:tbl>
    <w:p w14:paraId="3EA92112" w14:textId="77777777" w:rsidR="007A29E4" w:rsidRPr="00287FE6" w:rsidRDefault="007A29E4" w:rsidP="00287FE6"/>
    <w:p w14:paraId="550D148E" w14:textId="77777777" w:rsidR="00287FE6" w:rsidRDefault="00287FE6">
      <w:pPr>
        <w:rPr>
          <w:b/>
          <w:bCs/>
        </w:rPr>
      </w:pPr>
      <w:r>
        <w:rPr>
          <w:b/>
          <w:bCs/>
        </w:rPr>
        <w:br w:type="page"/>
      </w:r>
    </w:p>
    <w:p w14:paraId="2896D015" w14:textId="0E25A3E4" w:rsidR="00DB0FD1" w:rsidRPr="00DB0FD1" w:rsidRDefault="00DB0FD1" w:rsidP="00DB0FD1">
      <w:pPr>
        <w:rPr>
          <w:b/>
          <w:bCs/>
        </w:rPr>
      </w:pPr>
      <w:r w:rsidRPr="00DB0FD1">
        <w:rPr>
          <w:b/>
          <w:bCs/>
        </w:rPr>
        <w:lastRenderedPageBreak/>
        <w:t>Weaknesses</w:t>
      </w:r>
    </w:p>
    <w:p w14:paraId="3CB98D5F" w14:textId="77777777" w:rsidR="00DB0FD1" w:rsidRPr="00DB0FD1" w:rsidRDefault="00DB0FD1" w:rsidP="00DB0FD1">
      <w:pPr>
        <w:numPr>
          <w:ilvl w:val="0"/>
          <w:numId w:val="4"/>
        </w:numPr>
        <w:rPr>
          <w:b/>
          <w:bCs/>
        </w:rPr>
      </w:pPr>
      <w:r w:rsidRPr="00DB0FD1">
        <w:rPr>
          <w:b/>
          <w:bCs/>
        </w:rPr>
        <w:t>Technical limitations or concerns</w:t>
      </w:r>
    </w:p>
    <w:p w14:paraId="357143E3" w14:textId="77777777" w:rsidR="00DB0FD1" w:rsidRPr="00DB0FD1" w:rsidRDefault="00DB0FD1" w:rsidP="00DB0FD1">
      <w:pPr>
        <w:numPr>
          <w:ilvl w:val="1"/>
          <w:numId w:val="7"/>
        </w:numPr>
      </w:pPr>
      <w:r w:rsidRPr="00DB0FD1">
        <w:t>The “recruitment/demobilization” mechanism is asserted but not convincingly demonstrated; evidence specific to transitions into/out of tails is not shown.</w:t>
      </w:r>
    </w:p>
    <w:p w14:paraId="55463527" w14:textId="77777777" w:rsidR="00DB0FD1" w:rsidRPr="00DB0FD1" w:rsidRDefault="00DB0FD1" w:rsidP="00DB0FD1">
      <w:pPr>
        <w:numPr>
          <w:ilvl w:val="1"/>
          <w:numId w:val="7"/>
        </w:numPr>
      </w:pPr>
      <w:r w:rsidRPr="00DB0FD1">
        <w:t>The EP threshold choice (K = 1.5) seems somewhat ad hoc without visible robustness checks in the main text; reliance on the SI is noted but readers need core sensitivity results in the main paper.</w:t>
      </w:r>
    </w:p>
    <w:p w14:paraId="01720345" w14:textId="77777777" w:rsidR="00DB0FD1" w:rsidRPr="00DB0FD1" w:rsidRDefault="00DB0FD1" w:rsidP="00DB0FD1">
      <w:pPr>
        <w:numPr>
          <w:ilvl w:val="1"/>
          <w:numId w:val="7"/>
        </w:numPr>
      </w:pPr>
      <w:r w:rsidRPr="00DB0FD1">
        <w:t>The center category is defined as a single scale point (4), which may be statistically fragile and conceptually narrow; it risks misclassification and unstable estimates.</w:t>
      </w:r>
    </w:p>
    <w:p w14:paraId="0DF42957" w14:textId="77777777" w:rsidR="00DB0FD1" w:rsidRPr="00DB0FD1" w:rsidRDefault="00DB0FD1" w:rsidP="00DB0FD1">
      <w:pPr>
        <w:numPr>
          <w:ilvl w:val="1"/>
          <w:numId w:val="7"/>
        </w:numPr>
      </w:pPr>
      <w:r w:rsidRPr="00DB0FD1">
        <w:t>Claims of context-independence are not substantiated without measurement invariance testing and cross-cultural replication.</w:t>
      </w:r>
    </w:p>
    <w:p w14:paraId="6AE295B8" w14:textId="77777777" w:rsidR="00DB0FD1" w:rsidRPr="00DB0FD1" w:rsidRDefault="00DB0FD1" w:rsidP="00DB0FD1">
      <w:pPr>
        <w:numPr>
          <w:ilvl w:val="0"/>
          <w:numId w:val="4"/>
        </w:numPr>
        <w:rPr>
          <w:b/>
          <w:bCs/>
        </w:rPr>
      </w:pPr>
      <w:r w:rsidRPr="00DB0FD1">
        <w:rPr>
          <w:b/>
          <w:bCs/>
        </w:rPr>
        <w:t>Experimental gaps or methodological issues</w:t>
      </w:r>
    </w:p>
    <w:p w14:paraId="11969225" w14:textId="77777777" w:rsidR="00DB0FD1" w:rsidRPr="00DB0FD1" w:rsidRDefault="00DB0FD1" w:rsidP="00DB0FD1">
      <w:pPr>
        <w:numPr>
          <w:ilvl w:val="1"/>
          <w:numId w:val="7"/>
        </w:numPr>
      </w:pPr>
      <w:r w:rsidRPr="00DB0FD1">
        <w:t>Cross-wave composition changes and panel conditioning are not sufficiently addressed (sampling, weighting, nonresponse, attrition). Only Wave 3–4 is a panel; the rest are independent cross-sections.</w:t>
      </w:r>
    </w:p>
    <w:p w14:paraId="58714CAA" w14:textId="77777777" w:rsidR="00DB0FD1" w:rsidRPr="003A1FAA" w:rsidRDefault="00DB0FD1" w:rsidP="00DB0FD1">
      <w:pPr>
        <w:numPr>
          <w:ilvl w:val="1"/>
          <w:numId w:val="7"/>
        </w:numPr>
        <w:rPr>
          <w:strike/>
        </w:rPr>
      </w:pPr>
      <w:r w:rsidRPr="003A1FAA">
        <w:rPr>
          <w:strike/>
        </w:rPr>
        <w:t>No demonstration of measurement invariance (configural/metric/scalar) across waves or political orientations; this is critical for comparing latent constructs over time and across groups.</w:t>
      </w:r>
    </w:p>
    <w:p w14:paraId="0D96EA94" w14:textId="77777777" w:rsidR="00DB0FD1" w:rsidRPr="003A1FAA" w:rsidRDefault="00DB0FD1" w:rsidP="00DB0FD1">
      <w:pPr>
        <w:numPr>
          <w:ilvl w:val="1"/>
          <w:numId w:val="7"/>
        </w:numPr>
        <w:rPr>
          <w:strike/>
        </w:rPr>
      </w:pPr>
      <w:r w:rsidRPr="003A1FAA">
        <w:rPr>
          <w:strike/>
        </w:rPr>
        <w:t>Analytic strategy remains largely descriptive/correlational. The design is not causal despite “quasi-experimental” language; more rigorous event-study/DID approaches are not employed.</w:t>
      </w:r>
    </w:p>
    <w:p w14:paraId="71B1FAEA" w14:textId="77777777" w:rsidR="00DB0FD1" w:rsidRPr="00DB0FD1" w:rsidRDefault="00DB0FD1" w:rsidP="00DB0FD1">
      <w:pPr>
        <w:numPr>
          <w:ilvl w:val="1"/>
          <w:numId w:val="7"/>
        </w:numPr>
      </w:pPr>
      <w:r w:rsidRPr="00DB0FD1">
        <w:t>Limited covariate controls (only age, gender). In the Israeli context, religiosity, education, ethnicity, region, and socio-economic status are likely confounders correlated with both orientation and extremism dimensions.</w:t>
      </w:r>
    </w:p>
    <w:p w14:paraId="53F3EA54" w14:textId="77777777" w:rsidR="00DB0FD1" w:rsidRPr="00DB0FD1" w:rsidRDefault="00DB0FD1" w:rsidP="00DB0FD1">
      <w:pPr>
        <w:numPr>
          <w:ilvl w:val="1"/>
          <w:numId w:val="7"/>
        </w:numPr>
      </w:pPr>
      <w:r w:rsidRPr="00DB0FD1">
        <w:t>Effect sizes (partial eta-squared) and confidence intervals are not reported; Pillai’s Trace values are given without df and standardized effect sizes.</w:t>
      </w:r>
    </w:p>
    <w:p w14:paraId="4F717427" w14:textId="77777777" w:rsidR="00DB0FD1" w:rsidRPr="00EF2379" w:rsidRDefault="00DB0FD1" w:rsidP="00DB0FD1">
      <w:pPr>
        <w:numPr>
          <w:ilvl w:val="1"/>
          <w:numId w:val="7"/>
        </w:numPr>
        <w:rPr>
          <w:strike/>
        </w:rPr>
      </w:pPr>
      <w:r w:rsidRPr="00EF2379">
        <w:rPr>
          <w:strike/>
        </w:rPr>
        <w:lastRenderedPageBreak/>
        <w:t>Multiple testing adjustments for per-dimension ANOVAs are not discussed.</w:t>
      </w:r>
    </w:p>
    <w:p w14:paraId="4E81DBA0" w14:textId="77777777" w:rsidR="00DB0FD1" w:rsidRPr="00DB0FD1" w:rsidRDefault="00DB0FD1" w:rsidP="00DB0FD1">
      <w:pPr>
        <w:numPr>
          <w:ilvl w:val="0"/>
          <w:numId w:val="4"/>
        </w:numPr>
        <w:rPr>
          <w:b/>
          <w:bCs/>
        </w:rPr>
      </w:pPr>
      <w:r w:rsidRPr="00DB0FD1">
        <w:rPr>
          <w:b/>
          <w:bCs/>
        </w:rPr>
        <w:t>Clarity or presentation issues</w:t>
      </w:r>
    </w:p>
    <w:p w14:paraId="66D372B2" w14:textId="77777777" w:rsidR="00DB0FD1" w:rsidRPr="008E733B" w:rsidRDefault="00DB0FD1" w:rsidP="00DB0FD1">
      <w:pPr>
        <w:numPr>
          <w:ilvl w:val="1"/>
          <w:numId w:val="7"/>
        </w:numPr>
        <w:rPr>
          <w:strike/>
        </w:rPr>
      </w:pPr>
      <w:r w:rsidRPr="008E733B">
        <w:rPr>
          <w:strike/>
        </w:rPr>
        <w:t>Some phrasing is normatively loaded (e.g., describing judicial reform “aiming to erode… democracy”), which may undermine neutrality; better to use balanced characterizations with citations.</w:t>
      </w:r>
    </w:p>
    <w:p w14:paraId="58E4143E" w14:textId="77777777" w:rsidR="00DB0FD1" w:rsidRPr="00893176" w:rsidRDefault="00DB0FD1" w:rsidP="00DB0FD1">
      <w:pPr>
        <w:numPr>
          <w:ilvl w:val="1"/>
          <w:numId w:val="7"/>
        </w:numPr>
        <w:rPr>
          <w:strike/>
        </w:rPr>
      </w:pPr>
      <w:r w:rsidRPr="00893176">
        <w:rPr>
          <w:strike/>
        </w:rPr>
        <w:t>Figures are described but not shown; the paper would benefit from actual distributional visuals (density/quantile plots) to support tail-based claims.</w:t>
      </w:r>
    </w:p>
    <w:p w14:paraId="40E978D9" w14:textId="77777777" w:rsidR="00DB0FD1" w:rsidRPr="00893176" w:rsidRDefault="00DB0FD1" w:rsidP="00DB0FD1">
      <w:pPr>
        <w:numPr>
          <w:ilvl w:val="1"/>
          <w:numId w:val="7"/>
        </w:numPr>
        <w:rPr>
          <w:strike/>
        </w:rPr>
      </w:pPr>
      <w:r w:rsidRPr="00893176">
        <w:rPr>
          <w:strike/>
        </w:rPr>
        <w:t>Item content for the CFA is not presented; loadings, model fit (CFI/TLI/RMSEA/SRMR), and reliability (omega/alpha) are not reported.</w:t>
      </w:r>
    </w:p>
    <w:p w14:paraId="57CDED01" w14:textId="77777777" w:rsidR="00DB0FD1" w:rsidRPr="00DB0FD1" w:rsidRDefault="00DB0FD1" w:rsidP="00DB0FD1">
      <w:pPr>
        <w:numPr>
          <w:ilvl w:val="0"/>
          <w:numId w:val="4"/>
        </w:numPr>
        <w:rPr>
          <w:b/>
          <w:bCs/>
        </w:rPr>
      </w:pPr>
      <w:r w:rsidRPr="00DB0FD1">
        <w:rPr>
          <w:b/>
          <w:bCs/>
        </w:rPr>
        <w:t>Missing related work or comparisons</w:t>
      </w:r>
    </w:p>
    <w:p w14:paraId="120A26D8" w14:textId="77777777" w:rsidR="00DB0FD1" w:rsidRPr="0038343B" w:rsidRDefault="00DB0FD1" w:rsidP="00DB0FD1">
      <w:pPr>
        <w:numPr>
          <w:ilvl w:val="1"/>
          <w:numId w:val="7"/>
        </w:numPr>
        <w:rPr>
          <w:strike/>
        </w:rPr>
      </w:pPr>
      <w:r w:rsidRPr="0038343B">
        <w:rPr>
          <w:strike/>
        </w:rPr>
        <w:t>The paper could better engage with work on event-driven online hardening and threat responses (e.g., 2405.00459; 2206.04987), crisis-induced preference change moderated by media and exposure (2202.12339), and multi-factor psychometric modeling of extremism (2501.04820).</w:t>
      </w:r>
    </w:p>
    <w:p w14:paraId="2A80DA07" w14:textId="77777777" w:rsidR="00DB0FD1" w:rsidRPr="00D16E8C" w:rsidRDefault="00DB0FD1" w:rsidP="00DB0FD1">
      <w:pPr>
        <w:numPr>
          <w:ilvl w:val="1"/>
          <w:numId w:val="7"/>
        </w:numPr>
        <w:rPr>
          <w:strike/>
        </w:rPr>
      </w:pPr>
      <w:r w:rsidRPr="00D16E8C">
        <w:rPr>
          <w:strike/>
        </w:rPr>
        <w:t>No discussion of reporting fatigue or panel conditioning (2411.03774), relevant to repeated surveying.</w:t>
      </w:r>
    </w:p>
    <w:p w14:paraId="2C3902CE" w14:textId="77777777" w:rsidR="00DB0FD1" w:rsidRPr="00D16E8C" w:rsidRDefault="00DB0FD1" w:rsidP="00DB0FD1">
      <w:pPr>
        <w:numPr>
          <w:ilvl w:val="1"/>
          <w:numId w:val="7"/>
        </w:numPr>
        <w:rPr>
          <w:strike/>
        </w:rPr>
      </w:pPr>
      <w:r w:rsidRPr="00D16E8C">
        <w:rPr>
          <w:strike/>
        </w:rPr>
        <w:t>The role of inequality in fostering intolerance (2401.07873) and spatial-temporal clustering of political violence and “fields of upsetness” (2503.14399) could enrich theorization of recruitment/demobilization.</w:t>
      </w:r>
    </w:p>
    <w:p w14:paraId="222D5E85" w14:textId="77777777" w:rsidR="00DB0FD1" w:rsidRPr="00DB0FD1" w:rsidRDefault="00DB0FD1" w:rsidP="00DB0FD1">
      <w:pPr>
        <w:rPr>
          <w:b/>
          <w:bCs/>
        </w:rPr>
      </w:pPr>
      <w:r w:rsidRPr="00DB0FD1">
        <w:rPr>
          <w:b/>
          <w:bCs/>
        </w:rPr>
        <w:t>Detailed Comments</w:t>
      </w:r>
    </w:p>
    <w:p w14:paraId="418FEB4F" w14:textId="77777777" w:rsidR="00DB0FD1" w:rsidRPr="00DB0FD1" w:rsidRDefault="00DB0FD1" w:rsidP="00DB0FD1">
      <w:pPr>
        <w:numPr>
          <w:ilvl w:val="0"/>
          <w:numId w:val="5"/>
        </w:numPr>
        <w:rPr>
          <w:b/>
          <w:bCs/>
        </w:rPr>
      </w:pPr>
      <w:r w:rsidRPr="00DB0FD1">
        <w:rPr>
          <w:b/>
          <w:bCs/>
        </w:rPr>
        <w:t>Technical soundness evaluation</w:t>
      </w:r>
    </w:p>
    <w:p w14:paraId="49430B1E" w14:textId="77777777" w:rsidR="00DB0FD1" w:rsidRPr="00DB0FD1" w:rsidRDefault="00DB0FD1" w:rsidP="00DB0FD1">
      <w:pPr>
        <w:numPr>
          <w:ilvl w:val="1"/>
          <w:numId w:val="7"/>
        </w:numPr>
      </w:pPr>
      <w:r w:rsidRPr="00DB0FD1">
        <w:t>The three-factor conceptualization is consistent with literature and arguably less contentious than ideology-only approaches; however, cross-wave/group comparability requires explicit measurement invariance tests. Without scalar invariance, changes in means (or thresholds) risk reflecting shifting measurement rather than substantive change.</w:t>
      </w:r>
    </w:p>
    <w:p w14:paraId="2C0E5A70" w14:textId="77777777" w:rsidR="00DB0FD1" w:rsidRPr="00DB0FD1" w:rsidRDefault="00DB0FD1" w:rsidP="00DB0FD1">
      <w:pPr>
        <w:numPr>
          <w:ilvl w:val="1"/>
          <w:numId w:val="7"/>
        </w:numPr>
      </w:pPr>
      <w:r w:rsidRPr="00DB0FD1">
        <w:lastRenderedPageBreak/>
        <w:t xml:space="preserve">The EP definition using MAD is robust to skew and outliers; however, the choice of K = 1.5 should be stress-tested: show sensitivity to K </w:t>
      </w:r>
      <w:r w:rsidRPr="00DB0FD1">
        <w:rPr>
          <w:rFonts w:ascii="Cambria Math" w:hAnsi="Cambria Math" w:cs="Cambria Math"/>
        </w:rPr>
        <w:t>∈</w:t>
      </w:r>
      <w:r w:rsidRPr="00DB0FD1">
        <w:t xml:space="preserve"> {1.0, 1.25, 1.5, 1.75, 2.0}, and compare with percentile-based thresholds (e.g., 90th, 95th) and robust z-scores.</w:t>
      </w:r>
    </w:p>
    <w:p w14:paraId="3DB03AAD" w14:textId="77777777" w:rsidR="00DB0FD1" w:rsidRPr="00DB0FD1" w:rsidRDefault="00DB0FD1" w:rsidP="00DB0FD1">
      <w:pPr>
        <w:numPr>
          <w:ilvl w:val="1"/>
          <w:numId w:val="7"/>
        </w:numPr>
      </w:pPr>
      <w:r w:rsidRPr="00DB0FD1">
        <w:t>The “recruitment vs intensification” claim needs formal decomposition: for each event, report changes in EL and EIN among those above EP, plus transition matrices in the panel portion (Wave 3→4) to measure entry/exit vs within-tail mean shifts. For cross-sections, use distributional methods (e.g., RIF regressions, quantile regressions) to show where in the distribution changes occur.</w:t>
      </w:r>
    </w:p>
    <w:p w14:paraId="2CC7DD55" w14:textId="77777777" w:rsidR="00DB0FD1" w:rsidRPr="00DB0FD1" w:rsidRDefault="00DB0FD1" w:rsidP="00DB0FD1">
      <w:pPr>
        <w:numPr>
          <w:ilvl w:val="1"/>
          <w:numId w:val="7"/>
        </w:numPr>
      </w:pPr>
      <w:r w:rsidRPr="00DB0FD1">
        <w:t>The center binning (exactly 4) compresses a continuum and likely yields a small and noisy subgroup. Consider a symmetric band (e.g., 3–5) or model orientation as continuous with interactions, with a robustness check via latent-class or spline-based orientation modeling.</w:t>
      </w:r>
    </w:p>
    <w:p w14:paraId="0A82E198" w14:textId="77777777" w:rsidR="00DB0FD1" w:rsidRPr="00DB0FD1" w:rsidRDefault="00DB0FD1" w:rsidP="00DB0FD1">
      <w:pPr>
        <w:numPr>
          <w:ilvl w:val="0"/>
          <w:numId w:val="5"/>
        </w:numPr>
        <w:rPr>
          <w:b/>
          <w:bCs/>
        </w:rPr>
      </w:pPr>
      <w:r w:rsidRPr="00DB0FD1">
        <w:rPr>
          <w:b/>
          <w:bCs/>
        </w:rPr>
        <w:t>Experimental evaluation assessment</w:t>
      </w:r>
    </w:p>
    <w:p w14:paraId="5A154448" w14:textId="77777777" w:rsidR="00DB0FD1" w:rsidRPr="00DB0FD1" w:rsidRDefault="00DB0FD1" w:rsidP="00DB0FD1">
      <w:pPr>
        <w:numPr>
          <w:ilvl w:val="1"/>
          <w:numId w:val="7"/>
        </w:numPr>
      </w:pPr>
      <w:r w:rsidRPr="00DB0FD1">
        <w:t>Sampling and weighting: clarify sampling frames, representativeness claims (panel provider? random digit dialing? online panel?), wave-specific weights, and how nonresponse/attrition were handled. Provide demographic balance tables and show stability of composition across waves.</w:t>
      </w:r>
    </w:p>
    <w:p w14:paraId="7CE9639B" w14:textId="77777777" w:rsidR="00DB0FD1" w:rsidRPr="00DB0FD1" w:rsidRDefault="00DB0FD1" w:rsidP="00DB0FD1">
      <w:pPr>
        <w:numPr>
          <w:ilvl w:val="1"/>
          <w:numId w:val="7"/>
        </w:numPr>
      </w:pPr>
      <w:r w:rsidRPr="00DB0FD1">
        <w:t>CFA details: list items, report fit indices (CFI/TLI/RMSEA/SRMR), factor loadings, and reliability for each wave and subgroup; test configural/metric/scalar invariance across waves and orientations. If scalar invariance fails, consider alignment optimization or IRT-based methods to compare latent means.</w:t>
      </w:r>
    </w:p>
    <w:p w14:paraId="209F2F44" w14:textId="77777777" w:rsidR="00DB0FD1" w:rsidRPr="00DB0FD1" w:rsidRDefault="00DB0FD1" w:rsidP="00DB0FD1">
      <w:pPr>
        <w:numPr>
          <w:ilvl w:val="1"/>
          <w:numId w:val="7"/>
        </w:numPr>
      </w:pPr>
      <w:r w:rsidRPr="00DB0FD1">
        <w:t>Statistical reporting: add df, partial eta^2 (or generalized eta^2), confidence intervals, and standardized mean differences. For multiple ANOVAs, either rely solely on the MANOVA gatekeeper or apply multiple-testing corrections for follow-ups.</w:t>
      </w:r>
    </w:p>
    <w:p w14:paraId="15E50438" w14:textId="77777777" w:rsidR="00DB0FD1" w:rsidRPr="00DB0FD1" w:rsidRDefault="00DB0FD1" w:rsidP="00DB0FD1">
      <w:pPr>
        <w:numPr>
          <w:ilvl w:val="1"/>
          <w:numId w:val="7"/>
        </w:numPr>
      </w:pPr>
      <w:r w:rsidRPr="00D36363">
        <w:rPr>
          <w:strike/>
        </w:rPr>
        <w:t>Identification strategy: temper “quasi-experimental” language and adopt more rigorous event-study approaches where feasible. With repeated cross-sections, you can implement group-time ATT estimators or generalized event studies; see 2311.15458 for guidance on appropriate estimands and estimators under staggered/event</w:t>
      </w:r>
      <w:r w:rsidRPr="00DB0FD1">
        <w:t xml:space="preserve"> </w:t>
      </w:r>
      <w:r w:rsidRPr="00D36363">
        <w:rPr>
          <w:strike/>
        </w:rPr>
        <w:lastRenderedPageBreak/>
        <w:t>timing. Even if causality remains out of reach, transparent estimands and diagnostics (pre-trends, placebo checks) would strengthen claims.</w:t>
      </w:r>
    </w:p>
    <w:p w14:paraId="0DDF9AE2" w14:textId="77777777" w:rsidR="00DB0FD1" w:rsidRPr="00DB0FD1" w:rsidRDefault="00DB0FD1" w:rsidP="00DB0FD1">
      <w:pPr>
        <w:numPr>
          <w:ilvl w:val="1"/>
          <w:numId w:val="7"/>
        </w:numPr>
      </w:pPr>
      <w:r w:rsidRPr="00DB0FD1">
        <w:t>Covariates: add education, religiosity/orthodoxy, socio-economic status, region, and ethnicity as controls. Consider interactions with political orientation to separate compositional from attitudinal shifts.</w:t>
      </w:r>
    </w:p>
    <w:p w14:paraId="56458EF7" w14:textId="77777777" w:rsidR="00DB0FD1" w:rsidRPr="00D36363" w:rsidRDefault="00DB0FD1" w:rsidP="00DB0FD1">
      <w:pPr>
        <w:numPr>
          <w:ilvl w:val="1"/>
          <w:numId w:val="7"/>
        </w:numPr>
        <w:rPr>
          <w:strike/>
        </w:rPr>
      </w:pPr>
      <w:r w:rsidRPr="00D36363">
        <w:rPr>
          <w:strike/>
        </w:rPr>
        <w:t>Robustness: perform placebo intervals, alternative time windows, and checks for contemporaneous confounders (e.g., other salient events, media cycles). Consider bounding exercises or sensitivity analyses for unobserved confounding.</w:t>
      </w:r>
    </w:p>
    <w:p w14:paraId="458A82C8" w14:textId="77777777" w:rsidR="00DB0FD1" w:rsidRPr="00DB0FD1" w:rsidRDefault="00DB0FD1" w:rsidP="00DB0FD1">
      <w:pPr>
        <w:numPr>
          <w:ilvl w:val="0"/>
          <w:numId w:val="5"/>
        </w:numPr>
        <w:rPr>
          <w:b/>
          <w:bCs/>
        </w:rPr>
      </w:pPr>
      <w:r w:rsidRPr="00DB0FD1">
        <w:rPr>
          <w:b/>
          <w:bCs/>
        </w:rPr>
        <w:t>Comparison with related work (using the summaries provided)</w:t>
      </w:r>
    </w:p>
    <w:p w14:paraId="6DC7FF75" w14:textId="77777777" w:rsidR="00DB0FD1" w:rsidRPr="007A29E4" w:rsidRDefault="00DB0FD1" w:rsidP="00DB0FD1">
      <w:pPr>
        <w:numPr>
          <w:ilvl w:val="1"/>
          <w:numId w:val="7"/>
        </w:numPr>
        <w:rPr>
          <w:strike/>
        </w:rPr>
      </w:pPr>
      <w:r w:rsidRPr="007A29E4">
        <w:rPr>
          <w:strike/>
        </w:rPr>
        <w:t>Threat and hardening: Your findings of dimension-specific and orientation-moderated responses parallel evidence that offline shocks produce network/content hardening (2405.00459) and consolidation of attention under threat (2206.04987). Linking your “recruitment” mechanism to surges in participation/engagement observed online would strengthen external validity; even short auxiliary analyses of social media exposure around your events could triangulate mechanisms.</w:t>
      </w:r>
    </w:p>
    <w:p w14:paraId="2CA00C50" w14:textId="77777777" w:rsidR="00DB0FD1" w:rsidRPr="007A29E4" w:rsidRDefault="00DB0FD1" w:rsidP="00DB0FD1">
      <w:pPr>
        <w:numPr>
          <w:ilvl w:val="1"/>
          <w:numId w:val="7"/>
        </w:numPr>
        <w:rPr>
          <w:strike/>
        </w:rPr>
      </w:pPr>
      <w:r w:rsidRPr="007A29E4">
        <w:rPr>
          <w:strike/>
        </w:rPr>
        <w:t>Crisis-driven preference change: The moderation of event effects by political orientation aligns with 2202.12339, which emphasizes the roles of direct experience and partisan media. Incorporating measures of personal exposure (victimization, local incidents) and media consumption could test whether exposure vs media diet channels shape the heterogeneity you observe.</w:t>
      </w:r>
    </w:p>
    <w:p w14:paraId="1305269E" w14:textId="77777777" w:rsidR="00DB0FD1" w:rsidRPr="007A29E4" w:rsidRDefault="00DB0FD1" w:rsidP="00DB0FD1">
      <w:pPr>
        <w:numPr>
          <w:ilvl w:val="1"/>
          <w:numId w:val="7"/>
        </w:numPr>
        <w:rPr>
          <w:strike/>
        </w:rPr>
      </w:pPr>
      <w:r w:rsidRPr="007A29E4">
        <w:rPr>
          <w:strike/>
        </w:rPr>
        <w:t>Multidimensional extremism: The Extremist Eleven (2501.04820) offers a multi-factor lens derived from psychometric text embeddings. Position your dimension choices relative to those factors, and consider convergent validity tests (e.g., mapping your scales onto related constructs like authoritarianism, nationalism, dogmatism).</w:t>
      </w:r>
    </w:p>
    <w:p w14:paraId="47A72ECD" w14:textId="77777777" w:rsidR="00DB0FD1" w:rsidRPr="007A29E4" w:rsidRDefault="00DB0FD1" w:rsidP="00DB0FD1">
      <w:pPr>
        <w:numPr>
          <w:ilvl w:val="1"/>
          <w:numId w:val="7"/>
        </w:numPr>
        <w:rPr>
          <w:strike/>
        </w:rPr>
      </w:pPr>
      <w:r w:rsidRPr="007A29E4">
        <w:rPr>
          <w:strike/>
        </w:rPr>
        <w:t>Inequality and intolerance: 2401.07873 shows intolerance can escalate absent new mutants under inequality; consider conditioning on perceived economic insecurity/inequality to see whether social-intolerance shifts are moderated by economic context.</w:t>
      </w:r>
    </w:p>
    <w:p w14:paraId="73BB392C" w14:textId="77777777" w:rsidR="00DB0FD1" w:rsidRPr="007A29E4" w:rsidRDefault="00DB0FD1" w:rsidP="00DB0FD1">
      <w:pPr>
        <w:numPr>
          <w:ilvl w:val="1"/>
          <w:numId w:val="7"/>
        </w:numPr>
        <w:rPr>
          <w:strike/>
        </w:rPr>
      </w:pPr>
      <w:r w:rsidRPr="007A29E4">
        <w:rPr>
          <w:strike/>
        </w:rPr>
        <w:lastRenderedPageBreak/>
        <w:t>Spatial-temporal clustering and “fields of upsetness”: 2503.14399 suggests clustering and heterogeneous triggers; briefly discuss whether regional proximity to events or local threat intensity modulates tail recruitment in your data.</w:t>
      </w:r>
    </w:p>
    <w:p w14:paraId="708D50DB" w14:textId="77777777" w:rsidR="00DB0FD1" w:rsidRPr="007A29E4" w:rsidRDefault="00DB0FD1" w:rsidP="00DB0FD1">
      <w:pPr>
        <w:numPr>
          <w:ilvl w:val="1"/>
          <w:numId w:val="7"/>
        </w:numPr>
        <w:rPr>
          <w:strike/>
        </w:rPr>
      </w:pPr>
      <w:r w:rsidRPr="007A29E4">
        <w:rPr>
          <w:strike/>
        </w:rPr>
        <w:t>Methodological guidance for causal panel/event designs: 2311.15458 provides a roadmap for event-study diagnostics and estimators; even if you remain descriptive, adopting their recommended estimands and robustness checks would enhance credibility.</w:t>
      </w:r>
    </w:p>
    <w:p w14:paraId="7863D5C5" w14:textId="77777777" w:rsidR="00DB0FD1" w:rsidRPr="007A29E4" w:rsidRDefault="00DB0FD1" w:rsidP="00DB0FD1">
      <w:pPr>
        <w:numPr>
          <w:ilvl w:val="1"/>
          <w:numId w:val="7"/>
        </w:numPr>
        <w:rPr>
          <w:strike/>
        </w:rPr>
      </w:pPr>
      <w:r w:rsidRPr="007A29E4">
        <w:rPr>
          <w:strike/>
        </w:rPr>
        <w:t>Survey design: Consider whether reporting fatigue/panel conditioning (2411.03774) could affect wave-to-wave shifts, especially in the panel pair; discuss and, if possible, adjust.</w:t>
      </w:r>
    </w:p>
    <w:p w14:paraId="290CDC48" w14:textId="77777777" w:rsidR="00DB0FD1" w:rsidRPr="00DB0FD1" w:rsidRDefault="00DB0FD1" w:rsidP="00DB0FD1">
      <w:pPr>
        <w:numPr>
          <w:ilvl w:val="0"/>
          <w:numId w:val="5"/>
        </w:numPr>
        <w:rPr>
          <w:b/>
          <w:bCs/>
        </w:rPr>
      </w:pPr>
      <w:r w:rsidRPr="00DB0FD1">
        <w:rPr>
          <w:b/>
          <w:bCs/>
        </w:rPr>
        <w:t>Discussion of broader impact and significance</w:t>
      </w:r>
    </w:p>
    <w:p w14:paraId="6D6B776B" w14:textId="77777777" w:rsidR="00DB0FD1" w:rsidRPr="007A29E4" w:rsidRDefault="00DB0FD1" w:rsidP="00DB0FD1">
      <w:pPr>
        <w:numPr>
          <w:ilvl w:val="1"/>
          <w:numId w:val="7"/>
        </w:numPr>
        <w:rPr>
          <w:strike/>
        </w:rPr>
      </w:pPr>
      <w:r w:rsidRPr="007A29E4">
        <w:rPr>
          <w:strike/>
        </w:rPr>
        <w:t>The gauge could help monitor democratic resilience and inform early-warning systems, but labeling “extremists” has ethical and policy risks. Emphasize safeguards: anonymization, aggregate reporting, transparency about thresholds, and avoidance of stigmatization or punitive uses without due process.</w:t>
      </w:r>
    </w:p>
    <w:p w14:paraId="4ED125BA" w14:textId="77777777" w:rsidR="00DB0FD1" w:rsidRPr="00DB0FD1" w:rsidRDefault="00DB0FD1" w:rsidP="00DB0FD1">
      <w:pPr>
        <w:numPr>
          <w:ilvl w:val="1"/>
          <w:numId w:val="7"/>
        </w:numPr>
      </w:pPr>
      <w:r w:rsidRPr="00DB0FD1">
        <w:t>Generalizability: The claim of context-independence is aspirational. A path to broader impact would include cross-national replications, translation and cultural adaptation of items, and formal measurement invariance across languages and political systems.</w:t>
      </w:r>
    </w:p>
    <w:p w14:paraId="48A1331A" w14:textId="77777777" w:rsidR="00DB0FD1" w:rsidRPr="00DB0FD1" w:rsidRDefault="00DB0FD1" w:rsidP="00DB0FD1">
      <w:pPr>
        <w:rPr>
          <w:b/>
          <w:bCs/>
        </w:rPr>
      </w:pPr>
      <w:r w:rsidRPr="00DB0FD1">
        <w:rPr>
          <w:b/>
          <w:bCs/>
        </w:rPr>
        <w:t>Questions for Authors</w:t>
      </w:r>
    </w:p>
    <w:p w14:paraId="6B3240D0" w14:textId="77777777" w:rsidR="00DB0FD1" w:rsidRPr="00DB0FD1" w:rsidRDefault="00DB0FD1" w:rsidP="00DB0FD1">
      <w:pPr>
        <w:numPr>
          <w:ilvl w:val="1"/>
          <w:numId w:val="7"/>
        </w:numPr>
      </w:pPr>
      <w:r w:rsidRPr="00DB0FD1">
        <w:t>Can you provide full CFA details (item lists, loadings, fit indices) and evidence of configural/metric/scalar invariance across waves and political orientations? If scalar invariance does not hold, how do you justify comparing means and thresholds over time?</w:t>
      </w:r>
    </w:p>
    <w:p w14:paraId="01ED59A3" w14:textId="77777777" w:rsidR="00DB0FD1" w:rsidRPr="00DB0FD1" w:rsidRDefault="00DB0FD1" w:rsidP="00DB0FD1">
      <w:pPr>
        <w:numPr>
          <w:ilvl w:val="1"/>
          <w:numId w:val="7"/>
        </w:numPr>
      </w:pPr>
      <w:r w:rsidRPr="00DB0FD1">
        <w:t>How sensitive are your findings to the choice of EP threshold (K = 1.5) and to alternative tail definitions (e.g., 90th/95th percentile, robust z-scores)? Please report main results under several thresholds.</w:t>
      </w:r>
    </w:p>
    <w:p w14:paraId="09946F40" w14:textId="77777777" w:rsidR="00DB0FD1" w:rsidRPr="00DB0FD1" w:rsidRDefault="00DB0FD1" w:rsidP="00DB0FD1">
      <w:pPr>
        <w:numPr>
          <w:ilvl w:val="1"/>
          <w:numId w:val="7"/>
        </w:numPr>
      </w:pPr>
      <w:r w:rsidRPr="00DB0FD1">
        <w:t>What evidence supports the “recruitment/demobilization” mechanism versus intensification among existing extremists? Can you show transitions across EP in the panel (Wave 3→4) and distributional decompositions (EL vs EIN) for each event?</w:t>
      </w:r>
    </w:p>
    <w:p w14:paraId="1E7CA419" w14:textId="77777777" w:rsidR="00DB0FD1" w:rsidRPr="00DB0FD1" w:rsidRDefault="00DB0FD1" w:rsidP="00DB0FD1">
      <w:pPr>
        <w:numPr>
          <w:ilvl w:val="1"/>
          <w:numId w:val="7"/>
        </w:numPr>
      </w:pPr>
      <w:r w:rsidRPr="00DB0FD1">
        <w:lastRenderedPageBreak/>
        <w:t>How were samples obtained and weighted in each wave, and how stable are demographic compositions across waves? Did you adjust for nonresponse, attrition, or panel conditioning? Any checks for reporting fatigue effects?</w:t>
      </w:r>
    </w:p>
    <w:p w14:paraId="2EB0263F" w14:textId="77777777" w:rsidR="00DB0FD1" w:rsidRPr="00DB0FD1" w:rsidRDefault="00DB0FD1" w:rsidP="00DB0FD1">
      <w:pPr>
        <w:numPr>
          <w:ilvl w:val="1"/>
          <w:numId w:val="7"/>
        </w:numPr>
      </w:pPr>
      <w:r w:rsidRPr="00DB0FD1">
        <w:t>Why is “center” defined as exactly 4 on a 1–7 scale? How do results change if center is defined as 3–5, or if orientation is treated as continuous with spline interactions?</w:t>
      </w:r>
    </w:p>
    <w:p w14:paraId="36B7FAF1" w14:textId="77777777" w:rsidR="00DB0FD1" w:rsidRPr="00DB0FD1" w:rsidRDefault="00DB0FD1" w:rsidP="00DB0FD1">
      <w:pPr>
        <w:numPr>
          <w:ilvl w:val="1"/>
          <w:numId w:val="7"/>
        </w:numPr>
      </w:pPr>
      <w:r w:rsidRPr="00DB0FD1">
        <w:t>Did you control for additional confounders (religiosity, education, socio-economic status, region, ethnicity) that are salient in the Israeli context? If not, how might omitted-variable bias affect your moderation findings?</w:t>
      </w:r>
    </w:p>
    <w:p w14:paraId="4B22CCA6" w14:textId="77777777" w:rsidR="00DB0FD1" w:rsidRPr="00DB0FD1" w:rsidRDefault="00DB0FD1" w:rsidP="00DB0FD1">
      <w:pPr>
        <w:numPr>
          <w:ilvl w:val="1"/>
          <w:numId w:val="7"/>
        </w:numPr>
      </w:pPr>
      <w:r w:rsidRPr="00DB0FD1">
        <w:t>Given the politically sensitive framing of some events, can you rephrase descriptions to maintain neutrality and provide references for contested characterizations (e.g., the judicial reform debate)?</w:t>
      </w:r>
    </w:p>
    <w:p w14:paraId="1111DD6A" w14:textId="77777777" w:rsidR="00DB0FD1" w:rsidRDefault="00DB0FD1" w:rsidP="00DB0FD1">
      <w:pPr>
        <w:numPr>
          <w:ilvl w:val="1"/>
          <w:numId w:val="7"/>
        </w:numPr>
      </w:pPr>
      <w:r w:rsidRPr="00DB0FD1">
        <w:t>Do your conclusions hold when using your relative indices (EL, EIN, ER1–ER3) as outcomes rather than only means and F-tests? Showing shifts in ranks and tail proportions would directly connect to your core claims.</w:t>
      </w:r>
    </w:p>
    <w:p w14:paraId="5BC78761" w14:textId="1C5A327A" w:rsidR="007A29E4" w:rsidRPr="007A29E4" w:rsidRDefault="007A29E4" w:rsidP="007A29E4">
      <w:pPr>
        <w:ind w:left="1440"/>
        <w:rPr>
          <w:b/>
          <w:bCs/>
          <w:i/>
          <w:iCs/>
        </w:rPr>
      </w:pPr>
      <w:r w:rsidRPr="007A29E4">
        <w:rPr>
          <w:b/>
          <w:bCs/>
          <w:i/>
          <w:iCs/>
        </w:rPr>
        <w:t>Not enough events/groups. Planned for subsequent comparative research – political extremism across multiple countries (WVS)</w:t>
      </w:r>
    </w:p>
    <w:p w14:paraId="7567EE91" w14:textId="77777777" w:rsidR="00DB0FD1" w:rsidRDefault="00DB0FD1" w:rsidP="00DB0FD1">
      <w:pPr>
        <w:numPr>
          <w:ilvl w:val="1"/>
          <w:numId w:val="7"/>
        </w:numPr>
      </w:pPr>
      <w:r w:rsidRPr="00DB0FD1">
        <w:t>How would you adapt and validate the Political Extremism Gauge for non-Israeli contexts and non-Jewish populations (e.g., Arab citizens of Israel), and what is your plan to establish cross-cultural measurement invariance?</w:t>
      </w:r>
    </w:p>
    <w:p w14:paraId="46FBAF98" w14:textId="12D4657C" w:rsidR="007A29E4" w:rsidRPr="007A29E4" w:rsidRDefault="007A29E4" w:rsidP="007A29E4">
      <w:pPr>
        <w:ind w:left="1440"/>
        <w:rPr>
          <w:b/>
          <w:bCs/>
        </w:rPr>
      </w:pPr>
      <w:r w:rsidRPr="007A29E4">
        <w:rPr>
          <w:b/>
          <w:bCs/>
        </w:rPr>
        <w:t xml:space="preserve">Addressing the Arabic population requires further study – not simple. </w:t>
      </w:r>
    </w:p>
    <w:p w14:paraId="63940364" w14:textId="3205CA08" w:rsidR="007A29E4" w:rsidRPr="00DB0FD1" w:rsidRDefault="007A29E4" w:rsidP="007A29E4">
      <w:pPr>
        <w:ind w:left="1440"/>
      </w:pPr>
      <w:r w:rsidRPr="007A29E4">
        <w:rPr>
          <w:b/>
          <w:bCs/>
          <w:i/>
          <w:iCs/>
        </w:rPr>
        <w:t>Planned for subsequent comparative research – political extremism across multiple countries (WVS)</w:t>
      </w:r>
    </w:p>
    <w:p w14:paraId="2F382052" w14:textId="77777777" w:rsidR="00DB0FD1" w:rsidRDefault="00DB0FD1" w:rsidP="00DB0FD1">
      <w:pPr>
        <w:numPr>
          <w:ilvl w:val="1"/>
          <w:numId w:val="7"/>
        </w:numPr>
      </w:pPr>
      <w:r w:rsidRPr="00DB0FD1">
        <w:t>Have you considered event-study or DID-style analyses with robustness checks (placebos, pre-trend diagnostics) as outlined in 2311.15458 to better separate event effects from secular trends?</w:t>
      </w:r>
    </w:p>
    <w:p w14:paraId="0C265F7E" w14:textId="7ADA0C57" w:rsidR="007A29E4" w:rsidRPr="007A29E4" w:rsidRDefault="007A29E4" w:rsidP="007A29E4">
      <w:pPr>
        <w:ind w:left="1440"/>
        <w:rPr>
          <w:b/>
          <w:bCs/>
        </w:rPr>
      </w:pPr>
      <w:r w:rsidRPr="007A29E4">
        <w:rPr>
          <w:b/>
          <w:bCs/>
        </w:rPr>
        <w:t xml:space="preserve">Yes – I have already performed a DID analysis showing that the center radicalized after the announcement of the judicial reform. I </w:t>
      </w:r>
      <w:r w:rsidRPr="007A29E4">
        <w:rPr>
          <w:b/>
          <w:bCs/>
        </w:rPr>
        <w:lastRenderedPageBreak/>
        <w:t xml:space="preserve">am considering extending this research and addressing the radicalization of European countries after the 2018 immigration wave. </w:t>
      </w:r>
    </w:p>
    <w:p w14:paraId="78069224" w14:textId="77777777" w:rsidR="001B52E3" w:rsidRDefault="001B52E3"/>
    <w:sectPr w:rsidR="001B52E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altName w:val="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52D1"/>
    <w:multiLevelType w:val="multilevel"/>
    <w:tmpl w:val="E2CC4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B224D"/>
    <w:multiLevelType w:val="multilevel"/>
    <w:tmpl w:val="C32046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763216"/>
    <w:multiLevelType w:val="multilevel"/>
    <w:tmpl w:val="E924D1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5241BA"/>
    <w:multiLevelType w:val="hybridMultilevel"/>
    <w:tmpl w:val="60700628"/>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5FAA45A4"/>
    <w:multiLevelType w:val="multilevel"/>
    <w:tmpl w:val="C6924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C177E4B"/>
    <w:multiLevelType w:val="multilevel"/>
    <w:tmpl w:val="BFC46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DB33155"/>
    <w:multiLevelType w:val="multilevel"/>
    <w:tmpl w:val="AEE070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F309EF"/>
    <w:multiLevelType w:val="multilevel"/>
    <w:tmpl w:val="8CB6A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68175">
    <w:abstractNumId w:val="1"/>
  </w:num>
  <w:num w:numId="2" w16cid:durableId="594870770">
    <w:abstractNumId w:val="6"/>
  </w:num>
  <w:num w:numId="3" w16cid:durableId="699206679">
    <w:abstractNumId w:val="4"/>
  </w:num>
  <w:num w:numId="4" w16cid:durableId="2140102302">
    <w:abstractNumId w:val="7"/>
  </w:num>
  <w:num w:numId="5" w16cid:durableId="1980183414">
    <w:abstractNumId w:val="0"/>
  </w:num>
  <w:num w:numId="6" w16cid:durableId="1532953959">
    <w:abstractNumId w:val="5"/>
  </w:num>
  <w:num w:numId="7" w16cid:durableId="997922332">
    <w:abstractNumId w:val="2"/>
  </w:num>
  <w:num w:numId="8" w16cid:durableId="1283225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DQ3MjGzNDA2MzYzMjBU0lEKTi0uzszPAykwrQUAbxfO+iwAAAA="/>
  </w:docVars>
  <w:rsids>
    <w:rsidRoot w:val="00DB0FD1"/>
    <w:rsid w:val="00101CEA"/>
    <w:rsid w:val="00103929"/>
    <w:rsid w:val="0018071F"/>
    <w:rsid w:val="001B52E3"/>
    <w:rsid w:val="001B7E56"/>
    <w:rsid w:val="001E556B"/>
    <w:rsid w:val="00287FE6"/>
    <w:rsid w:val="002F48F6"/>
    <w:rsid w:val="00346A0B"/>
    <w:rsid w:val="0038343B"/>
    <w:rsid w:val="003A1FAA"/>
    <w:rsid w:val="00684164"/>
    <w:rsid w:val="006A4689"/>
    <w:rsid w:val="006D46E6"/>
    <w:rsid w:val="00752C27"/>
    <w:rsid w:val="007A29E4"/>
    <w:rsid w:val="007B123B"/>
    <w:rsid w:val="00893176"/>
    <w:rsid w:val="008B5A38"/>
    <w:rsid w:val="008E733B"/>
    <w:rsid w:val="00B9122D"/>
    <w:rsid w:val="00D16E8C"/>
    <w:rsid w:val="00D36363"/>
    <w:rsid w:val="00DB0FD1"/>
    <w:rsid w:val="00E001F5"/>
    <w:rsid w:val="00EF2379"/>
    <w:rsid w:val="00F17AF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D32518"/>
  <w15:chartTrackingRefBased/>
  <w15:docId w15:val="{0ABBF52B-8E44-4BDF-AE0B-9E985C52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F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0F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F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F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F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F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F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F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F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0F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F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F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F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F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F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F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FD1"/>
    <w:rPr>
      <w:rFonts w:eastAsiaTheme="majorEastAsia" w:cstheme="majorBidi"/>
      <w:color w:val="272727" w:themeColor="text1" w:themeTint="D8"/>
    </w:rPr>
  </w:style>
  <w:style w:type="paragraph" w:styleId="Title">
    <w:name w:val="Title"/>
    <w:basedOn w:val="Normal"/>
    <w:next w:val="Normal"/>
    <w:link w:val="TitleChar"/>
    <w:uiPriority w:val="10"/>
    <w:qFormat/>
    <w:rsid w:val="00DB0F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F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F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F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FD1"/>
    <w:pPr>
      <w:spacing w:before="160"/>
      <w:jc w:val="center"/>
    </w:pPr>
    <w:rPr>
      <w:i/>
      <w:iCs/>
      <w:color w:val="404040" w:themeColor="text1" w:themeTint="BF"/>
    </w:rPr>
  </w:style>
  <w:style w:type="character" w:customStyle="1" w:styleId="QuoteChar">
    <w:name w:val="Quote Char"/>
    <w:basedOn w:val="DefaultParagraphFont"/>
    <w:link w:val="Quote"/>
    <w:uiPriority w:val="29"/>
    <w:rsid w:val="00DB0FD1"/>
    <w:rPr>
      <w:i/>
      <w:iCs/>
      <w:color w:val="404040" w:themeColor="text1" w:themeTint="BF"/>
    </w:rPr>
  </w:style>
  <w:style w:type="paragraph" w:styleId="ListParagraph">
    <w:name w:val="List Paragraph"/>
    <w:basedOn w:val="Normal"/>
    <w:uiPriority w:val="34"/>
    <w:qFormat/>
    <w:rsid w:val="00DB0FD1"/>
    <w:pPr>
      <w:ind w:left="720"/>
      <w:contextualSpacing/>
    </w:pPr>
  </w:style>
  <w:style w:type="character" w:styleId="IntenseEmphasis">
    <w:name w:val="Intense Emphasis"/>
    <w:basedOn w:val="DefaultParagraphFont"/>
    <w:uiPriority w:val="21"/>
    <w:qFormat/>
    <w:rsid w:val="00DB0FD1"/>
    <w:rPr>
      <w:i/>
      <w:iCs/>
      <w:color w:val="0F4761" w:themeColor="accent1" w:themeShade="BF"/>
    </w:rPr>
  </w:style>
  <w:style w:type="paragraph" w:styleId="IntenseQuote">
    <w:name w:val="Intense Quote"/>
    <w:basedOn w:val="Normal"/>
    <w:next w:val="Normal"/>
    <w:link w:val="IntenseQuoteChar"/>
    <w:uiPriority w:val="30"/>
    <w:qFormat/>
    <w:rsid w:val="00DB0F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FD1"/>
    <w:rPr>
      <w:i/>
      <w:iCs/>
      <w:color w:val="0F4761" w:themeColor="accent1" w:themeShade="BF"/>
    </w:rPr>
  </w:style>
  <w:style w:type="character" w:styleId="IntenseReference">
    <w:name w:val="Intense Reference"/>
    <w:basedOn w:val="DefaultParagraphFont"/>
    <w:uiPriority w:val="32"/>
    <w:qFormat/>
    <w:rsid w:val="00DB0FD1"/>
    <w:rPr>
      <w:b/>
      <w:bCs/>
      <w:smallCaps/>
      <w:color w:val="0F4761" w:themeColor="accent1" w:themeShade="BF"/>
      <w:spacing w:val="5"/>
    </w:rPr>
  </w:style>
  <w:style w:type="table" w:styleId="TableGrid">
    <w:name w:val="Table Grid"/>
    <w:basedOn w:val="TableNormal"/>
    <w:uiPriority w:val="39"/>
    <w:rsid w:val="00287F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2551</TotalTime>
  <Pages>8</Pages>
  <Words>1955</Words>
  <Characters>11147</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Freund</dc:creator>
  <cp:keywords/>
  <dc:description/>
  <cp:lastModifiedBy>amir Freund</cp:lastModifiedBy>
  <cp:revision>5</cp:revision>
  <dcterms:created xsi:type="dcterms:W3CDTF">2026-01-01T07:04:00Z</dcterms:created>
  <dcterms:modified xsi:type="dcterms:W3CDTF">2026-01-11T19:32:00Z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f0d0fb3e-4746-4539-a20e-b0f85b57ad22</vt:lpwstr>
  </property>
</Properties>
</file>