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A3A" w:rsidRDefault="003A0A3A" w:rsidP="003A0A3A">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Iron Mines to Iron Bars</w:t>
      </w:r>
    </w:p>
    <w:p w:rsidR="001C7D17" w:rsidRDefault="001C7D17" w:rsidP="003A0A3A">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John Garvey</w:t>
      </w:r>
    </w:p>
    <w:p w:rsidR="001A4EB4" w:rsidRPr="00715953" w:rsidRDefault="00715953" w:rsidP="001A13C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was recently reported by the Bureau of Labor Statistics of the US Department of Labor that, i</w:t>
      </w:r>
      <w:r w:rsidR="001A4EB4" w:rsidRPr="00715953">
        <w:rPr>
          <w:rFonts w:ascii="Times New Roman" w:hAnsi="Times New Roman" w:cs="Times New Roman"/>
          <w:sz w:val="24"/>
          <w:szCs w:val="24"/>
        </w:rPr>
        <w:t xml:space="preserve">n 2009, the </w:t>
      </w:r>
      <w:r w:rsidR="001A4EB4" w:rsidRPr="00715953">
        <w:rPr>
          <w:rFonts w:ascii="Times New Roman" w:hAnsi="Times New Roman" w:cs="Times New Roman"/>
          <w:bCs/>
          <w:sz w:val="24"/>
          <w:szCs w:val="24"/>
        </w:rPr>
        <w:t>union membership rate</w:t>
      </w:r>
      <w:r w:rsidR="001A4EB4" w:rsidRPr="00715953">
        <w:rPr>
          <w:rFonts w:ascii="Times New Roman" w:hAnsi="Times New Roman" w:cs="Times New Roman"/>
          <w:sz w:val="24"/>
          <w:szCs w:val="24"/>
        </w:rPr>
        <w:t>—the percent of wage and salary workers who were members of a union—was 12.3 percent, essentially unchanged from 12.4 percent a year earlier,</w:t>
      </w:r>
    </w:p>
    <w:p w:rsidR="001A4EB4" w:rsidRPr="00147985" w:rsidRDefault="001C7D17" w:rsidP="0071595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However, t</w:t>
      </w:r>
      <w:r w:rsidR="001A4EB4" w:rsidRPr="00715953">
        <w:rPr>
          <w:rFonts w:ascii="Times New Roman" w:hAnsi="Times New Roman" w:cs="Times New Roman"/>
          <w:sz w:val="24"/>
          <w:szCs w:val="24"/>
        </w:rPr>
        <w:t xml:space="preserve">he number of wage and salary workers belonging to unions declined by 771,000 to 15.3 million, largely reflecting the overall drop in employment due to the </w:t>
      </w:r>
      <w:r w:rsidR="00715953">
        <w:rPr>
          <w:rFonts w:ascii="Times New Roman" w:hAnsi="Times New Roman" w:cs="Times New Roman"/>
          <w:sz w:val="24"/>
          <w:szCs w:val="24"/>
        </w:rPr>
        <w:t>crisis</w:t>
      </w:r>
      <w:r w:rsidR="001A4EB4" w:rsidRPr="00715953">
        <w:rPr>
          <w:rFonts w:ascii="Times New Roman" w:hAnsi="Times New Roman" w:cs="Times New Roman"/>
          <w:sz w:val="24"/>
          <w:szCs w:val="24"/>
        </w:rPr>
        <w:t>.</w:t>
      </w:r>
      <w:r w:rsidR="00715953">
        <w:rPr>
          <w:rFonts w:ascii="Times New Roman" w:hAnsi="Times New Roman" w:cs="Times New Roman"/>
          <w:sz w:val="24"/>
          <w:szCs w:val="24"/>
        </w:rPr>
        <w:t xml:space="preserve">  </w:t>
      </w:r>
      <w:r w:rsidR="001A4EB4" w:rsidRPr="00147985">
        <w:rPr>
          <w:rFonts w:ascii="Times New Roman" w:hAnsi="Times New Roman" w:cs="Times New Roman"/>
          <w:sz w:val="24"/>
          <w:szCs w:val="24"/>
        </w:rPr>
        <w:t>In 1983,</w:t>
      </w:r>
      <w:r w:rsidR="00147985" w:rsidRPr="00147985">
        <w:rPr>
          <w:rFonts w:ascii="Times New Roman" w:hAnsi="Times New Roman" w:cs="Times New Roman"/>
          <w:sz w:val="24"/>
          <w:szCs w:val="24"/>
        </w:rPr>
        <w:t xml:space="preserve"> </w:t>
      </w:r>
      <w:r w:rsidR="001A4EB4" w:rsidRPr="00147985">
        <w:rPr>
          <w:rFonts w:ascii="Times New Roman" w:hAnsi="Times New Roman" w:cs="Times New Roman"/>
          <w:sz w:val="24"/>
          <w:szCs w:val="24"/>
        </w:rPr>
        <w:t>the first year for which comparable union data are available, the union membership rate was 20.1 percent, and there were 17.7 million union workers.</w:t>
      </w:r>
      <w:r w:rsidR="00715953">
        <w:rPr>
          <w:rFonts w:ascii="Times New Roman" w:hAnsi="Times New Roman" w:cs="Times New Roman"/>
          <w:sz w:val="24"/>
          <w:szCs w:val="24"/>
        </w:rPr>
        <w:t xml:space="preserve">  Nothing so surprising </w:t>
      </w:r>
      <w:r w:rsidR="00A9555A">
        <w:rPr>
          <w:rFonts w:ascii="Times New Roman" w:hAnsi="Times New Roman" w:cs="Times New Roman"/>
          <w:sz w:val="24"/>
          <w:szCs w:val="24"/>
        </w:rPr>
        <w:t>so far!</w:t>
      </w:r>
      <w:r w:rsidR="0042075B">
        <w:rPr>
          <w:rFonts w:ascii="Times New Roman" w:hAnsi="Times New Roman" w:cs="Times New Roman"/>
          <w:sz w:val="24"/>
          <w:szCs w:val="24"/>
        </w:rPr>
        <w:t xml:space="preserve">  A combination of employer assaults on unions and a deep-seated conviction on the part of many workers that unions seldom represented anything other th</w:t>
      </w:r>
      <w:r>
        <w:rPr>
          <w:rFonts w:ascii="Times New Roman" w:hAnsi="Times New Roman" w:cs="Times New Roman"/>
          <w:sz w:val="24"/>
          <w:szCs w:val="24"/>
        </w:rPr>
        <w:t>an the interests of those who ru</w:t>
      </w:r>
      <w:r w:rsidR="0042075B">
        <w:rPr>
          <w:rFonts w:ascii="Times New Roman" w:hAnsi="Times New Roman" w:cs="Times New Roman"/>
          <w:sz w:val="24"/>
          <w:szCs w:val="24"/>
        </w:rPr>
        <w:t>n them had all but inevitably contributed to a steady erosion in the ranks of union members.</w:t>
      </w:r>
    </w:p>
    <w:p w:rsidR="00147985" w:rsidRPr="00715953" w:rsidRDefault="00715953" w:rsidP="0042075B">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perhaps greater interest was the </w:t>
      </w:r>
      <w:r w:rsidR="001C7D17">
        <w:rPr>
          <w:rFonts w:ascii="Times New Roman" w:hAnsi="Times New Roman" w:cs="Times New Roman"/>
          <w:sz w:val="24"/>
          <w:szCs w:val="24"/>
        </w:rPr>
        <w:t>finding</w:t>
      </w:r>
      <w:r>
        <w:rPr>
          <w:rFonts w:ascii="Times New Roman" w:hAnsi="Times New Roman" w:cs="Times New Roman"/>
          <w:sz w:val="24"/>
          <w:szCs w:val="24"/>
        </w:rPr>
        <w:t xml:space="preserve"> that</w:t>
      </w:r>
      <w:r w:rsidR="00A9555A">
        <w:rPr>
          <w:rFonts w:ascii="Times New Roman" w:hAnsi="Times New Roman" w:cs="Times New Roman"/>
          <w:sz w:val="24"/>
          <w:szCs w:val="24"/>
        </w:rPr>
        <w:t>, for the first time,</w:t>
      </w:r>
      <w:r>
        <w:rPr>
          <w:rFonts w:ascii="Times New Roman" w:hAnsi="Times New Roman" w:cs="Times New Roman"/>
          <w:sz w:val="24"/>
          <w:szCs w:val="24"/>
        </w:rPr>
        <w:t xml:space="preserve"> m</w:t>
      </w:r>
      <w:r w:rsidR="001A4EB4" w:rsidRPr="00715953">
        <w:rPr>
          <w:rFonts w:ascii="Times New Roman" w:hAnsi="Times New Roman" w:cs="Times New Roman"/>
          <w:sz w:val="24"/>
          <w:szCs w:val="24"/>
        </w:rPr>
        <w:t>ore public sector employees (7.9 million) belonged to a union than did private sector</w:t>
      </w:r>
      <w:r w:rsidR="00147985" w:rsidRPr="00715953">
        <w:rPr>
          <w:rFonts w:ascii="Times New Roman" w:hAnsi="Times New Roman" w:cs="Times New Roman"/>
          <w:sz w:val="24"/>
          <w:szCs w:val="24"/>
        </w:rPr>
        <w:t xml:space="preserve"> </w:t>
      </w:r>
      <w:r w:rsidR="001A4EB4" w:rsidRPr="00715953">
        <w:rPr>
          <w:rFonts w:ascii="Times New Roman" w:hAnsi="Times New Roman" w:cs="Times New Roman"/>
          <w:sz w:val="24"/>
          <w:szCs w:val="24"/>
        </w:rPr>
        <w:t xml:space="preserve">employees (7.4 million), despite there being </w:t>
      </w:r>
      <w:r w:rsidR="001C7D17">
        <w:rPr>
          <w:rFonts w:ascii="Times New Roman" w:hAnsi="Times New Roman" w:cs="Times New Roman"/>
          <w:sz w:val="24"/>
          <w:szCs w:val="24"/>
        </w:rPr>
        <w:t>five</w:t>
      </w:r>
      <w:r w:rsidR="001A4EB4" w:rsidRPr="00715953">
        <w:rPr>
          <w:rFonts w:ascii="Times New Roman" w:hAnsi="Times New Roman" w:cs="Times New Roman"/>
          <w:sz w:val="24"/>
          <w:szCs w:val="24"/>
        </w:rPr>
        <w:t xml:space="preserve"> times more wage and salary workers in the</w:t>
      </w:r>
      <w:r w:rsidR="00147985" w:rsidRPr="00715953">
        <w:rPr>
          <w:rFonts w:ascii="Times New Roman" w:hAnsi="Times New Roman" w:cs="Times New Roman"/>
          <w:sz w:val="24"/>
          <w:szCs w:val="24"/>
        </w:rPr>
        <w:t xml:space="preserve"> </w:t>
      </w:r>
      <w:r w:rsidR="001A4EB4" w:rsidRPr="00715953">
        <w:rPr>
          <w:rFonts w:ascii="Times New Roman" w:hAnsi="Times New Roman" w:cs="Times New Roman"/>
          <w:sz w:val="24"/>
          <w:szCs w:val="24"/>
        </w:rPr>
        <w:t>private sector.</w:t>
      </w:r>
      <w:r w:rsidR="007C6FD0" w:rsidRPr="00715953">
        <w:rPr>
          <w:rFonts w:ascii="Times New Roman" w:hAnsi="Times New Roman" w:cs="Times New Roman"/>
          <w:sz w:val="24"/>
          <w:szCs w:val="24"/>
        </w:rPr>
        <w:t xml:space="preserve">  As a result, the union membership rate for public sector workers (37.4%) was much higher than the rate for private industry workers (7.2%</w:t>
      </w:r>
      <w:r w:rsidR="00A9555A">
        <w:rPr>
          <w:rFonts w:ascii="Times New Roman" w:hAnsi="Times New Roman" w:cs="Times New Roman"/>
          <w:sz w:val="24"/>
          <w:szCs w:val="24"/>
        </w:rPr>
        <w:t>)</w:t>
      </w:r>
      <w:r w:rsidR="007C6FD0" w:rsidRPr="00715953">
        <w:rPr>
          <w:rFonts w:ascii="Times New Roman" w:hAnsi="Times New Roman" w:cs="Times New Roman"/>
          <w:sz w:val="24"/>
          <w:szCs w:val="24"/>
        </w:rPr>
        <w:t>.</w:t>
      </w:r>
      <w:r w:rsidR="00A9555A">
        <w:rPr>
          <w:rFonts w:ascii="Times New Roman" w:hAnsi="Times New Roman" w:cs="Times New Roman"/>
          <w:sz w:val="24"/>
          <w:szCs w:val="24"/>
        </w:rPr>
        <w:t xml:space="preserve">  </w:t>
      </w:r>
      <w:r w:rsidR="001A4EB4" w:rsidRPr="00715953">
        <w:rPr>
          <w:rFonts w:ascii="Times New Roman" w:hAnsi="Times New Roman" w:cs="Times New Roman"/>
          <w:sz w:val="24"/>
          <w:szCs w:val="24"/>
        </w:rPr>
        <w:t>Workers in education, training, and library occupations had the highest unionization rate at</w:t>
      </w:r>
      <w:r w:rsidR="00147985" w:rsidRPr="00715953">
        <w:rPr>
          <w:rFonts w:ascii="Times New Roman" w:hAnsi="Times New Roman" w:cs="Times New Roman"/>
          <w:sz w:val="24"/>
          <w:szCs w:val="24"/>
        </w:rPr>
        <w:t xml:space="preserve"> </w:t>
      </w:r>
      <w:r w:rsidR="001A4EB4" w:rsidRPr="00715953">
        <w:rPr>
          <w:rFonts w:ascii="Times New Roman" w:hAnsi="Times New Roman" w:cs="Times New Roman"/>
          <w:sz w:val="24"/>
          <w:szCs w:val="24"/>
        </w:rPr>
        <w:t>38.1 percent.</w:t>
      </w:r>
      <w:r w:rsidR="007C6FD0" w:rsidRPr="00715953">
        <w:rPr>
          <w:rFonts w:ascii="Times New Roman" w:hAnsi="Times New Roman" w:cs="Times New Roman"/>
          <w:sz w:val="24"/>
          <w:szCs w:val="24"/>
        </w:rPr>
        <w:t xml:space="preserve">  Close behind were protective service workers at 35.6%.</w:t>
      </w:r>
      <w:r w:rsidR="00A27C6F" w:rsidRPr="00715953">
        <w:rPr>
          <w:rFonts w:ascii="Times New Roman" w:hAnsi="Times New Roman" w:cs="Times New Roman"/>
          <w:sz w:val="24"/>
          <w:szCs w:val="24"/>
        </w:rPr>
        <w:t xml:space="preserve">  Protective service workers include police, jail and prison guards.</w:t>
      </w:r>
    </w:p>
    <w:p w:rsidR="00715953" w:rsidRDefault="00715953" w:rsidP="0071595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essay, I’d like to explore some of the consequences of the long-term decline in union membership and the significant shift in membership towards public sector workers.  First off, I’d like to highlight the trend in enrollments in postsecondary institutions over the course of the last </w:t>
      </w:r>
      <w:r w:rsidR="00AF544A">
        <w:rPr>
          <w:rFonts w:ascii="Times New Roman" w:hAnsi="Times New Roman" w:cs="Times New Roman"/>
          <w:sz w:val="24"/>
          <w:szCs w:val="24"/>
        </w:rPr>
        <w:t>forty</w:t>
      </w:r>
      <w:r>
        <w:rPr>
          <w:rFonts w:ascii="Times New Roman" w:hAnsi="Times New Roman" w:cs="Times New Roman"/>
          <w:sz w:val="24"/>
          <w:szCs w:val="24"/>
        </w:rPr>
        <w:t xml:space="preserve"> years.  </w:t>
      </w:r>
      <w:r w:rsidR="00AF544A">
        <w:rPr>
          <w:rFonts w:ascii="Times New Roman" w:hAnsi="Times New Roman" w:cs="Times New Roman"/>
          <w:sz w:val="24"/>
          <w:szCs w:val="24"/>
        </w:rPr>
        <w:t xml:space="preserve">According to the Digest of Education Statistics, total enrollments in </w:t>
      </w:r>
      <w:r w:rsidR="00AF544A">
        <w:rPr>
          <w:rFonts w:ascii="Times New Roman" w:hAnsi="Times New Roman" w:cs="Times New Roman"/>
          <w:sz w:val="24"/>
          <w:szCs w:val="24"/>
        </w:rPr>
        <w:lastRenderedPageBreak/>
        <w:t>postsecondary degree granting institutions (including both public and private, community colleges, baccalaureate colleges and graduate schools) were as follows:</w:t>
      </w:r>
    </w:p>
    <w:tbl>
      <w:tblPr>
        <w:tblStyle w:val="TableGrid"/>
        <w:tblW w:w="0" w:type="auto"/>
        <w:tblLook w:val="04A0"/>
      </w:tblPr>
      <w:tblGrid>
        <w:gridCol w:w="2394"/>
        <w:gridCol w:w="2394"/>
        <w:gridCol w:w="2394"/>
        <w:gridCol w:w="2394"/>
      </w:tblGrid>
      <w:tr w:rsidR="009F3F90" w:rsidTr="009F3F90">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Year</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Total Enrollments</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Increase from Decade Earlier</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Percent Increase from Decade Earlier</w:t>
            </w:r>
          </w:p>
        </w:tc>
      </w:tr>
      <w:tr w:rsidR="009F3F90" w:rsidTr="009F3F90">
        <w:tc>
          <w:tcPr>
            <w:tcW w:w="2394" w:type="dxa"/>
          </w:tcPr>
          <w:p w:rsidR="009F3F90" w:rsidRDefault="009F3F90" w:rsidP="009F3F90">
            <w:pPr>
              <w:tabs>
                <w:tab w:val="right" w:pos="2178"/>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1970</w:t>
            </w:r>
            <w:r>
              <w:rPr>
                <w:rFonts w:ascii="Times New Roman" w:hAnsi="Times New Roman" w:cs="Times New Roman"/>
                <w:sz w:val="24"/>
                <w:szCs w:val="24"/>
              </w:rPr>
              <w:tab/>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8,531,000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p>
        </w:tc>
        <w:tc>
          <w:tcPr>
            <w:tcW w:w="2394" w:type="dxa"/>
          </w:tcPr>
          <w:p w:rsidR="009F3F90" w:rsidRDefault="009F3F90" w:rsidP="009F3F90">
            <w:pPr>
              <w:autoSpaceDE w:val="0"/>
              <w:autoSpaceDN w:val="0"/>
              <w:adjustRightInd w:val="0"/>
              <w:rPr>
                <w:rFonts w:ascii="Times New Roman" w:hAnsi="Times New Roman" w:cs="Times New Roman"/>
                <w:sz w:val="24"/>
                <w:szCs w:val="24"/>
              </w:rPr>
            </w:pPr>
          </w:p>
        </w:tc>
      </w:tr>
      <w:tr w:rsidR="009F3F90" w:rsidTr="009F3F90">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1980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12,097,000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3,516,000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41%</w:t>
            </w:r>
          </w:p>
        </w:tc>
      </w:tr>
      <w:tr w:rsidR="009F3F90" w:rsidTr="009F3F90">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1990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13,819,000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1,722,000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w:t>
            </w:r>
          </w:p>
        </w:tc>
      </w:tr>
      <w:tr w:rsidR="009F3F90" w:rsidTr="009F3F90">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15,312,000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1,493,000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w:t>
            </w:r>
          </w:p>
        </w:tc>
      </w:tr>
      <w:tr w:rsidR="009F3F90" w:rsidTr="009F3F90">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2010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18,613,000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3,301,000</w:t>
            </w:r>
          </w:p>
        </w:tc>
        <w:tc>
          <w:tcPr>
            <w:tcW w:w="2394" w:type="dxa"/>
          </w:tcPr>
          <w:p w:rsidR="009F3F90" w:rsidRDefault="009F3F90" w:rsidP="009F3F9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r>
    </w:tbl>
    <w:p w:rsidR="009F3F90" w:rsidRDefault="009F3F90" w:rsidP="009F3F9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9135E7" w:rsidRDefault="009F3F90" w:rsidP="009F3F90">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All told, the increase over the forty year period amounted to over ten million individuals or 117%.  Much of this extraordinary growth was fueled by the federal government’s financial aid policies—including Pell Grants and subsidized student loans.</w:t>
      </w:r>
      <w:r w:rsidR="00532AEB">
        <w:rPr>
          <w:rFonts w:ascii="Times New Roman" w:hAnsi="Times New Roman" w:cs="Times New Roman"/>
          <w:sz w:val="24"/>
          <w:szCs w:val="24"/>
        </w:rPr>
        <w:t xml:space="preserve">  Interestingly enough, the Pell Grant program has now become a major source of revenue for the fast-growing proprietary sector.  Those colleges enroll about 6% of all college students but account for 20% of all Pell grant awards.   They currently are fifteen of the twenty institutions receiving the most federal funds through the grant program.  In 2008-2009, the University of Phoenix received $658.9 million.  But this essay is not about the need to </w:t>
      </w:r>
      <w:r w:rsidR="009135E7">
        <w:rPr>
          <w:rFonts w:ascii="Times New Roman" w:hAnsi="Times New Roman" w:cs="Times New Roman"/>
          <w:sz w:val="24"/>
          <w:szCs w:val="24"/>
        </w:rPr>
        <w:t xml:space="preserve">reform the Pell Grant program. </w:t>
      </w:r>
    </w:p>
    <w:p w:rsidR="009F3F90" w:rsidRDefault="009135E7" w:rsidP="00445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most remarkable is that the continued growth in enrollment has occurred in spite of the fact that </w:t>
      </w:r>
      <w:r w:rsidR="00445131">
        <w:rPr>
          <w:rFonts w:ascii="Times New Roman" w:hAnsi="Times New Roman" w:cs="Times New Roman"/>
          <w:sz w:val="24"/>
          <w:szCs w:val="24"/>
        </w:rPr>
        <w:t xml:space="preserve">many </w:t>
      </w:r>
      <w:r w:rsidR="00532AEB">
        <w:rPr>
          <w:rFonts w:ascii="Times New Roman" w:hAnsi="Times New Roman" w:cs="Times New Roman"/>
          <w:sz w:val="24"/>
          <w:szCs w:val="24"/>
        </w:rPr>
        <w:t>individuals who enroll in college</w:t>
      </w:r>
      <w:r w:rsidR="00445131">
        <w:rPr>
          <w:rFonts w:ascii="Times New Roman" w:hAnsi="Times New Roman" w:cs="Times New Roman"/>
          <w:sz w:val="24"/>
          <w:szCs w:val="24"/>
        </w:rPr>
        <w:t>, especially community colleges,</w:t>
      </w:r>
      <w:r w:rsidR="00532AEB">
        <w:rPr>
          <w:rFonts w:ascii="Times New Roman" w:hAnsi="Times New Roman" w:cs="Times New Roman"/>
          <w:sz w:val="24"/>
          <w:szCs w:val="24"/>
        </w:rPr>
        <w:t xml:space="preserve"> </w:t>
      </w:r>
      <w:r w:rsidR="00445131">
        <w:rPr>
          <w:rFonts w:ascii="Times New Roman" w:hAnsi="Times New Roman" w:cs="Times New Roman"/>
          <w:sz w:val="24"/>
          <w:szCs w:val="24"/>
        </w:rPr>
        <w:t>n</w:t>
      </w:r>
      <w:r w:rsidR="00532AEB">
        <w:rPr>
          <w:rFonts w:ascii="Times New Roman" w:hAnsi="Times New Roman" w:cs="Times New Roman"/>
          <w:sz w:val="24"/>
          <w:szCs w:val="24"/>
        </w:rPr>
        <w:t>ever earn a college degree.</w:t>
      </w:r>
      <w:r>
        <w:rPr>
          <w:rFonts w:ascii="Times New Roman" w:hAnsi="Times New Roman" w:cs="Times New Roman"/>
          <w:sz w:val="24"/>
          <w:szCs w:val="24"/>
        </w:rPr>
        <w:t xml:space="preserve">  </w:t>
      </w:r>
      <w:r w:rsidR="00445131" w:rsidRPr="00445131">
        <w:rPr>
          <w:rFonts w:ascii="Times New Roman" w:hAnsi="Times New Roman" w:cs="Times New Roman"/>
          <w:sz w:val="24"/>
          <w:szCs w:val="24"/>
        </w:rPr>
        <w:t xml:space="preserve">At </w:t>
      </w:r>
      <w:r w:rsidR="003A0A3A">
        <w:rPr>
          <w:rFonts w:ascii="Times New Roman" w:hAnsi="Times New Roman" w:cs="Times New Roman"/>
          <w:sz w:val="24"/>
          <w:szCs w:val="24"/>
        </w:rPr>
        <w:t>the City University of New York (</w:t>
      </w:r>
      <w:r w:rsidR="00445131" w:rsidRPr="00445131">
        <w:rPr>
          <w:rFonts w:ascii="Times New Roman" w:hAnsi="Times New Roman" w:cs="Times New Roman"/>
          <w:sz w:val="24"/>
          <w:szCs w:val="24"/>
        </w:rPr>
        <w:t>CUNY</w:t>
      </w:r>
      <w:r w:rsidR="003A0A3A">
        <w:rPr>
          <w:rFonts w:ascii="Times New Roman" w:hAnsi="Times New Roman" w:cs="Times New Roman"/>
          <w:sz w:val="24"/>
          <w:szCs w:val="24"/>
        </w:rPr>
        <w:t>)</w:t>
      </w:r>
      <w:r w:rsidR="00445131" w:rsidRPr="00445131">
        <w:rPr>
          <w:rFonts w:ascii="Times New Roman" w:hAnsi="Times New Roman" w:cs="Times New Roman"/>
          <w:sz w:val="24"/>
          <w:szCs w:val="24"/>
        </w:rPr>
        <w:t>, just about 50% of students enrolled in baccalaureate programs earn a degree in six years but less than 30% do so at the associate degree level.  These figures don’t differ significantly from the national picture. Only about 52 percent of college students complete a degree, and very few do so within four years</w:t>
      </w:r>
      <w:r w:rsidR="00445131">
        <w:rPr>
          <w:rFonts w:ascii="Times New Roman" w:hAnsi="Times New Roman" w:cs="Times New Roman"/>
          <w:sz w:val="24"/>
          <w:szCs w:val="24"/>
        </w:rPr>
        <w:t xml:space="preserve">.  </w:t>
      </w:r>
    </w:p>
    <w:p w:rsidR="003A0A3A" w:rsidRDefault="00532AEB" w:rsidP="00FC403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So wh</w:t>
      </w:r>
      <w:r w:rsidR="001A13C9">
        <w:rPr>
          <w:rFonts w:ascii="Times New Roman" w:hAnsi="Times New Roman" w:cs="Times New Roman"/>
          <w:sz w:val="24"/>
          <w:szCs w:val="24"/>
        </w:rPr>
        <w:t xml:space="preserve">y do people keep enrolling?  I suggest that it is not unrelated to what has accompanied the long-term decline in union membership over the past several decades—de-industrialization and casualization—meaning the increased number of workers who are </w:t>
      </w:r>
      <w:r w:rsidR="001A13C9">
        <w:rPr>
          <w:rFonts w:ascii="Times New Roman" w:hAnsi="Times New Roman" w:cs="Times New Roman"/>
          <w:sz w:val="24"/>
          <w:szCs w:val="24"/>
        </w:rPr>
        <w:lastRenderedPageBreak/>
        <w:t xml:space="preserve">employed part-time, perhaps haphazardly, and all but certainly without security or benefits.  In the face of the steady disappearance of collective means for the defense and/or advance of workers’ interests, lots of individual workers found themselves with little alternative to trying to make the best of things for themselves by attending school and hoping to earn a credential that would perhaps give them what they couldn’t find—a job that might be worth it.  </w:t>
      </w:r>
    </w:p>
    <w:p w:rsidR="00FC4039" w:rsidRDefault="003A0A3A" w:rsidP="00472777">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they’re not finding it in college either.  </w:t>
      </w:r>
      <w:r w:rsidR="001A13C9">
        <w:rPr>
          <w:rFonts w:ascii="Times New Roman" w:hAnsi="Times New Roman" w:cs="Times New Roman"/>
          <w:sz w:val="24"/>
          <w:szCs w:val="24"/>
        </w:rPr>
        <w:t xml:space="preserve">Two authors have recently described the world of community college students—Mark Bosquet, in </w:t>
      </w:r>
      <w:r w:rsidR="001A13C9" w:rsidRPr="003A0A3A">
        <w:rPr>
          <w:rFonts w:ascii="Times New Roman" w:hAnsi="Times New Roman" w:cs="Times New Roman"/>
          <w:i/>
          <w:sz w:val="24"/>
          <w:szCs w:val="24"/>
        </w:rPr>
        <w:t>How the University Works</w:t>
      </w:r>
      <w:r w:rsidR="00472777">
        <w:rPr>
          <w:rFonts w:ascii="Times New Roman" w:hAnsi="Times New Roman" w:cs="Times New Roman"/>
          <w:i/>
          <w:sz w:val="24"/>
          <w:szCs w:val="24"/>
        </w:rPr>
        <w:t>: Higher Education in the Low-Wage Nation</w:t>
      </w:r>
      <w:r w:rsidR="001A13C9">
        <w:rPr>
          <w:rFonts w:ascii="Times New Roman" w:hAnsi="Times New Roman" w:cs="Times New Roman"/>
          <w:sz w:val="24"/>
          <w:szCs w:val="24"/>
        </w:rPr>
        <w:t xml:space="preserve">, concludes that most community college students are already workers and that the jobs they have make it all but impossible for them to be reasonably successful at being students—he has an especially harrowing description of students employed by UPS in Louisville.  Rebecca Cox, in </w:t>
      </w:r>
      <w:r w:rsidR="001A13C9" w:rsidRPr="003A0A3A">
        <w:rPr>
          <w:rFonts w:ascii="Times New Roman" w:hAnsi="Times New Roman" w:cs="Times New Roman"/>
          <w:i/>
          <w:sz w:val="24"/>
          <w:szCs w:val="24"/>
        </w:rPr>
        <w:t>The College Fear Factor</w:t>
      </w:r>
      <w:r w:rsidR="001A13C9">
        <w:rPr>
          <w:rFonts w:ascii="Times New Roman" w:hAnsi="Times New Roman" w:cs="Times New Roman"/>
          <w:sz w:val="24"/>
          <w:szCs w:val="24"/>
        </w:rPr>
        <w:t xml:space="preserve">, describes how students are haunted by a desperate hope that they’ll be able to find something better through completing a degree.  But, their desperation drives all too many of them to poor choices about which programs to enroll in and how to </w:t>
      </w:r>
      <w:r w:rsidR="00FC4039">
        <w:rPr>
          <w:rFonts w:ascii="Times New Roman" w:hAnsi="Times New Roman" w:cs="Times New Roman"/>
          <w:sz w:val="24"/>
          <w:szCs w:val="24"/>
        </w:rPr>
        <w:t xml:space="preserve">become successful students.  </w:t>
      </w:r>
      <w:r w:rsidR="00472777">
        <w:rPr>
          <w:rFonts w:ascii="Times New Roman" w:hAnsi="Times New Roman" w:cs="Times New Roman"/>
          <w:sz w:val="24"/>
          <w:szCs w:val="24"/>
        </w:rPr>
        <w:t xml:space="preserve">For the most part, </w:t>
      </w:r>
      <w:r w:rsidR="00A32DC0">
        <w:rPr>
          <w:rFonts w:ascii="Times New Roman" w:hAnsi="Times New Roman" w:cs="Times New Roman"/>
          <w:sz w:val="24"/>
          <w:szCs w:val="24"/>
        </w:rPr>
        <w:t xml:space="preserve">unlike membership in a union (even a rotten, lousy one), </w:t>
      </w:r>
      <w:r w:rsidR="00472777">
        <w:rPr>
          <w:rFonts w:ascii="Times New Roman" w:hAnsi="Times New Roman" w:cs="Times New Roman"/>
          <w:sz w:val="24"/>
          <w:szCs w:val="24"/>
        </w:rPr>
        <w:t>e</w:t>
      </w:r>
      <w:r w:rsidR="00FC4039">
        <w:rPr>
          <w:rFonts w:ascii="Times New Roman" w:hAnsi="Times New Roman" w:cs="Times New Roman"/>
          <w:sz w:val="24"/>
          <w:szCs w:val="24"/>
        </w:rPr>
        <w:t>ducation is</w:t>
      </w:r>
      <w:r>
        <w:rPr>
          <w:rFonts w:ascii="Times New Roman" w:hAnsi="Times New Roman" w:cs="Times New Roman"/>
          <w:sz w:val="24"/>
          <w:szCs w:val="24"/>
        </w:rPr>
        <w:t xml:space="preserve"> </w:t>
      </w:r>
      <w:r w:rsidR="00A32DC0">
        <w:rPr>
          <w:rFonts w:ascii="Times New Roman" w:hAnsi="Times New Roman" w:cs="Times New Roman"/>
          <w:sz w:val="24"/>
          <w:szCs w:val="24"/>
        </w:rPr>
        <w:t xml:space="preserve">seen as </w:t>
      </w:r>
      <w:r w:rsidR="00FC4039">
        <w:rPr>
          <w:rFonts w:ascii="Times New Roman" w:hAnsi="Times New Roman" w:cs="Times New Roman"/>
          <w:sz w:val="24"/>
          <w:szCs w:val="24"/>
        </w:rPr>
        <w:t>an individual strategy</w:t>
      </w:r>
      <w:r w:rsidR="00A32DC0">
        <w:rPr>
          <w:rFonts w:ascii="Times New Roman" w:hAnsi="Times New Roman" w:cs="Times New Roman"/>
          <w:sz w:val="24"/>
          <w:szCs w:val="24"/>
        </w:rPr>
        <w:t>.  When it</w:t>
      </w:r>
      <w:r w:rsidR="00FC4039">
        <w:rPr>
          <w:rFonts w:ascii="Times New Roman" w:hAnsi="Times New Roman" w:cs="Times New Roman"/>
          <w:sz w:val="24"/>
          <w:szCs w:val="24"/>
        </w:rPr>
        <w:t xml:space="preserve"> doesn’t work, the responsibility </w:t>
      </w:r>
      <w:r w:rsidR="00A32DC0">
        <w:rPr>
          <w:rFonts w:ascii="Times New Roman" w:hAnsi="Times New Roman" w:cs="Times New Roman"/>
          <w:sz w:val="24"/>
          <w:szCs w:val="24"/>
        </w:rPr>
        <w:t xml:space="preserve">for failure or defeat </w:t>
      </w:r>
      <w:r w:rsidR="00FC4039">
        <w:rPr>
          <w:rFonts w:ascii="Times New Roman" w:hAnsi="Times New Roman" w:cs="Times New Roman"/>
          <w:sz w:val="24"/>
          <w:szCs w:val="24"/>
        </w:rPr>
        <w:t xml:space="preserve">is </w:t>
      </w:r>
      <w:r w:rsidR="00A32DC0">
        <w:rPr>
          <w:rFonts w:ascii="Times New Roman" w:hAnsi="Times New Roman" w:cs="Times New Roman"/>
          <w:sz w:val="24"/>
          <w:szCs w:val="24"/>
        </w:rPr>
        <w:t>the individual’s</w:t>
      </w:r>
      <w:r w:rsidR="00FC4039">
        <w:rPr>
          <w:rFonts w:ascii="Times New Roman" w:hAnsi="Times New Roman" w:cs="Times New Roman"/>
          <w:sz w:val="24"/>
          <w:szCs w:val="24"/>
        </w:rPr>
        <w:t>—“I didn’t study enough; I picked the wrong major; I guess I’</w:t>
      </w:r>
      <w:r w:rsidR="00A32DC0">
        <w:rPr>
          <w:rFonts w:ascii="Times New Roman" w:hAnsi="Times New Roman" w:cs="Times New Roman"/>
          <w:sz w:val="24"/>
          <w:szCs w:val="24"/>
        </w:rPr>
        <w:t>m not cut out for school.  M</w:t>
      </w:r>
      <w:r w:rsidR="00FC4039">
        <w:rPr>
          <w:rFonts w:ascii="Times New Roman" w:hAnsi="Times New Roman" w:cs="Times New Roman"/>
          <w:sz w:val="24"/>
          <w:szCs w:val="24"/>
        </w:rPr>
        <w:t xml:space="preserve">aybe I deserve to be where I’m stuck.” </w:t>
      </w:r>
      <w:r w:rsidR="00A32DC0">
        <w:rPr>
          <w:rFonts w:ascii="Times New Roman" w:hAnsi="Times New Roman" w:cs="Times New Roman"/>
          <w:sz w:val="24"/>
          <w:szCs w:val="24"/>
        </w:rPr>
        <w:t xml:space="preserve">   To make matters worse, many unions (especially those in the health care fields) have increasingly encouraged their members to seek advancement and improvements in wages through participation in education and training programs.  Front and center of this trend has been Local 1199 of SEIU, the health care workers union in New York City.  Ariel Ducey, in </w:t>
      </w:r>
      <w:r w:rsidR="00A32DC0" w:rsidRPr="00923F43">
        <w:rPr>
          <w:rFonts w:ascii="Times New Roman" w:hAnsi="Times New Roman" w:cs="Times New Roman"/>
          <w:i/>
          <w:sz w:val="24"/>
          <w:szCs w:val="24"/>
        </w:rPr>
        <w:t>Never Good Enough: Health Care Workers and the False Promise of Job Training</w:t>
      </w:r>
      <w:r w:rsidR="00A32DC0">
        <w:rPr>
          <w:rFonts w:ascii="Times New Roman" w:hAnsi="Times New Roman" w:cs="Times New Roman"/>
          <w:sz w:val="24"/>
          <w:szCs w:val="24"/>
        </w:rPr>
        <w:t>, has captured the outcomes—little advancement, few improvements in wages and lots of bitter</w:t>
      </w:r>
      <w:r w:rsidR="00923F43">
        <w:rPr>
          <w:rFonts w:ascii="Times New Roman" w:hAnsi="Times New Roman" w:cs="Times New Roman"/>
          <w:sz w:val="24"/>
          <w:szCs w:val="24"/>
        </w:rPr>
        <w:t xml:space="preserve">ness among </w:t>
      </w:r>
      <w:r w:rsidR="00923F43">
        <w:rPr>
          <w:rFonts w:ascii="Times New Roman" w:hAnsi="Times New Roman" w:cs="Times New Roman"/>
          <w:sz w:val="24"/>
          <w:szCs w:val="24"/>
        </w:rPr>
        <w:lastRenderedPageBreak/>
        <w:t xml:space="preserve">frustrated </w:t>
      </w:r>
      <w:r w:rsidR="00A32DC0">
        <w:rPr>
          <w:rFonts w:ascii="Times New Roman" w:hAnsi="Times New Roman" w:cs="Times New Roman"/>
          <w:sz w:val="24"/>
          <w:szCs w:val="24"/>
        </w:rPr>
        <w:t>workers</w:t>
      </w:r>
      <w:r w:rsidR="00923F43">
        <w:rPr>
          <w:rFonts w:ascii="Times New Roman" w:hAnsi="Times New Roman" w:cs="Times New Roman"/>
          <w:sz w:val="24"/>
          <w:szCs w:val="24"/>
        </w:rPr>
        <w:t>.  But the bitterness is all too often accompanied by resignation—especially in a self-proclaimed and endlessly promoted “progressive” union like 1199.</w:t>
      </w:r>
    </w:p>
    <w:p w:rsidR="003028DA" w:rsidRDefault="00445131" w:rsidP="00FC403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Let’s turn now to the significance of the trend towards higher unionization rates in the public sector.  This growth has not been the result of a higher level of militance or strike activity.  Indeed, t</w:t>
      </w:r>
      <w:r w:rsidR="00A27C6F" w:rsidRPr="00715953">
        <w:rPr>
          <w:rFonts w:ascii="Times New Roman" w:hAnsi="Times New Roman" w:cs="Times New Roman"/>
          <w:sz w:val="24"/>
          <w:szCs w:val="24"/>
        </w:rPr>
        <w:t>here are numerous restrictions on the right of public sector workers to strike.  In New York State, the Taylor Law</w:t>
      </w:r>
      <w:r w:rsidR="003A0A3A">
        <w:rPr>
          <w:rFonts w:ascii="Times New Roman" w:hAnsi="Times New Roman" w:cs="Times New Roman"/>
          <w:sz w:val="24"/>
          <w:szCs w:val="24"/>
        </w:rPr>
        <w:t>,</w:t>
      </w:r>
      <w:r w:rsidR="00A27C6F" w:rsidRPr="00715953">
        <w:rPr>
          <w:rFonts w:ascii="Times New Roman" w:hAnsi="Times New Roman" w:cs="Times New Roman"/>
          <w:sz w:val="24"/>
          <w:szCs w:val="24"/>
        </w:rPr>
        <w:t xml:space="preserve"> approved after the 1966 transit workers’ strike in NYC</w:t>
      </w:r>
      <w:r w:rsidR="003A0A3A">
        <w:rPr>
          <w:rFonts w:ascii="Times New Roman" w:hAnsi="Times New Roman" w:cs="Times New Roman"/>
          <w:sz w:val="24"/>
          <w:szCs w:val="24"/>
        </w:rPr>
        <w:t>, imposes fines on unions and jail-time for union leaders if workers strike</w:t>
      </w:r>
      <w:r w:rsidR="00A27C6F" w:rsidRPr="00715953">
        <w:rPr>
          <w:rFonts w:ascii="Times New Roman" w:hAnsi="Times New Roman" w:cs="Times New Roman"/>
          <w:sz w:val="24"/>
          <w:szCs w:val="24"/>
        </w:rPr>
        <w:t xml:space="preserve">.  Federal workers are not </w:t>
      </w:r>
      <w:r w:rsidR="003A0A3A">
        <w:rPr>
          <w:rFonts w:ascii="Times New Roman" w:hAnsi="Times New Roman" w:cs="Times New Roman"/>
          <w:sz w:val="24"/>
          <w:szCs w:val="24"/>
        </w:rPr>
        <w:t xml:space="preserve">even </w:t>
      </w:r>
      <w:r w:rsidR="00A27C6F" w:rsidRPr="00715953">
        <w:rPr>
          <w:rFonts w:ascii="Times New Roman" w:hAnsi="Times New Roman" w:cs="Times New Roman"/>
          <w:sz w:val="24"/>
          <w:szCs w:val="24"/>
        </w:rPr>
        <w:t>allowed to be in unions that advocate strikes</w:t>
      </w:r>
      <w:r w:rsidR="00923F43">
        <w:rPr>
          <w:rFonts w:ascii="Times New Roman" w:hAnsi="Times New Roman" w:cs="Times New Roman"/>
          <w:sz w:val="24"/>
          <w:szCs w:val="24"/>
        </w:rPr>
        <w:t>--</w:t>
      </w:r>
      <w:r w:rsidR="00DA593A">
        <w:rPr>
          <w:rFonts w:ascii="Times New Roman" w:hAnsi="Times New Roman" w:cs="Times New Roman"/>
          <w:sz w:val="24"/>
          <w:szCs w:val="24"/>
        </w:rPr>
        <w:t xml:space="preserve">Reagan </w:t>
      </w:r>
      <w:r w:rsidR="003A0A3A">
        <w:rPr>
          <w:rFonts w:ascii="Times New Roman" w:hAnsi="Times New Roman" w:cs="Times New Roman"/>
          <w:sz w:val="24"/>
          <w:szCs w:val="24"/>
        </w:rPr>
        <w:t>had no trouble in firing</w:t>
      </w:r>
      <w:r w:rsidR="00DA593A">
        <w:rPr>
          <w:rFonts w:ascii="Times New Roman" w:hAnsi="Times New Roman" w:cs="Times New Roman"/>
          <w:sz w:val="24"/>
          <w:szCs w:val="24"/>
        </w:rPr>
        <w:t xml:space="preserve"> the </w:t>
      </w:r>
      <w:r w:rsidR="00A27C6F" w:rsidRPr="00715953">
        <w:rPr>
          <w:rFonts w:ascii="Times New Roman" w:hAnsi="Times New Roman" w:cs="Times New Roman"/>
          <w:sz w:val="24"/>
          <w:szCs w:val="24"/>
        </w:rPr>
        <w:t xml:space="preserve">PATCO </w:t>
      </w:r>
      <w:r w:rsidR="00DA593A">
        <w:rPr>
          <w:rFonts w:ascii="Times New Roman" w:hAnsi="Times New Roman" w:cs="Times New Roman"/>
          <w:sz w:val="24"/>
          <w:szCs w:val="24"/>
        </w:rPr>
        <w:t xml:space="preserve">air controllers.  </w:t>
      </w:r>
      <w:r w:rsidRPr="00715953">
        <w:rPr>
          <w:rFonts w:ascii="Times New Roman" w:hAnsi="Times New Roman" w:cs="Times New Roman"/>
          <w:sz w:val="24"/>
          <w:szCs w:val="24"/>
        </w:rPr>
        <w:t xml:space="preserve">As a result, public sector unions are heavily dependent on cultivating the good will and friendship of various political leaders—thus, they invest heavily in political campaigns and </w:t>
      </w:r>
      <w:r>
        <w:rPr>
          <w:rFonts w:ascii="Times New Roman" w:hAnsi="Times New Roman" w:cs="Times New Roman"/>
          <w:sz w:val="24"/>
          <w:szCs w:val="24"/>
        </w:rPr>
        <w:t>in</w:t>
      </w:r>
      <w:r w:rsidR="00BA50B9">
        <w:rPr>
          <w:rFonts w:ascii="Times New Roman" w:hAnsi="Times New Roman" w:cs="Times New Roman"/>
          <w:sz w:val="24"/>
          <w:szCs w:val="24"/>
        </w:rPr>
        <w:t xml:space="preserve"> </w:t>
      </w:r>
      <w:r w:rsidRPr="00715953">
        <w:rPr>
          <w:rFonts w:ascii="Times New Roman" w:hAnsi="Times New Roman" w:cs="Times New Roman"/>
          <w:sz w:val="24"/>
          <w:szCs w:val="24"/>
        </w:rPr>
        <w:t>lobbying on both sides of the two party aisle</w:t>
      </w:r>
      <w:r>
        <w:rPr>
          <w:rFonts w:ascii="Times New Roman" w:hAnsi="Times New Roman" w:cs="Times New Roman"/>
          <w:sz w:val="24"/>
          <w:szCs w:val="24"/>
        </w:rPr>
        <w:t>.  Recently, a veteran U</w:t>
      </w:r>
      <w:r w:rsidR="003A0A3A">
        <w:rPr>
          <w:rFonts w:ascii="Times New Roman" w:hAnsi="Times New Roman" w:cs="Times New Roman"/>
          <w:sz w:val="24"/>
          <w:szCs w:val="24"/>
        </w:rPr>
        <w:t>nited Federation of Teachers (U</w:t>
      </w:r>
      <w:r>
        <w:rPr>
          <w:rFonts w:ascii="Times New Roman" w:hAnsi="Times New Roman" w:cs="Times New Roman"/>
          <w:sz w:val="24"/>
          <w:szCs w:val="24"/>
        </w:rPr>
        <w:t>FT</w:t>
      </w:r>
      <w:r w:rsidR="003A0A3A">
        <w:rPr>
          <w:rFonts w:ascii="Times New Roman" w:hAnsi="Times New Roman" w:cs="Times New Roman"/>
          <w:sz w:val="24"/>
          <w:szCs w:val="24"/>
        </w:rPr>
        <w:t xml:space="preserve">—the union that represents public school teachers in New York City) </w:t>
      </w:r>
      <w:r>
        <w:rPr>
          <w:rFonts w:ascii="Times New Roman" w:hAnsi="Times New Roman" w:cs="Times New Roman"/>
          <w:sz w:val="24"/>
          <w:szCs w:val="24"/>
        </w:rPr>
        <w:t xml:space="preserve">member and union staffer wrote an </w:t>
      </w:r>
      <w:r w:rsidR="00DA593A">
        <w:rPr>
          <w:rFonts w:ascii="Times New Roman" w:hAnsi="Times New Roman" w:cs="Times New Roman"/>
          <w:sz w:val="24"/>
          <w:szCs w:val="24"/>
        </w:rPr>
        <w:t>essay arguing for political realism in th</w:t>
      </w:r>
      <w:r>
        <w:rPr>
          <w:rFonts w:ascii="Times New Roman" w:hAnsi="Times New Roman" w:cs="Times New Roman"/>
          <w:sz w:val="24"/>
          <w:szCs w:val="24"/>
        </w:rPr>
        <w:t xml:space="preserve">e current </w:t>
      </w:r>
      <w:r w:rsidR="00DA593A">
        <w:rPr>
          <w:rFonts w:ascii="Times New Roman" w:hAnsi="Times New Roman" w:cs="Times New Roman"/>
          <w:sz w:val="24"/>
          <w:szCs w:val="24"/>
        </w:rPr>
        <w:t>round</w:t>
      </w:r>
      <w:r>
        <w:rPr>
          <w:rFonts w:ascii="Times New Roman" w:hAnsi="Times New Roman" w:cs="Times New Roman"/>
          <w:sz w:val="24"/>
          <w:szCs w:val="24"/>
        </w:rPr>
        <w:t xml:space="preserve"> of collective bargaining between the union and the city.  </w:t>
      </w:r>
      <w:r w:rsidR="00093C53">
        <w:rPr>
          <w:rFonts w:ascii="Times New Roman" w:hAnsi="Times New Roman" w:cs="Times New Roman"/>
          <w:sz w:val="24"/>
          <w:szCs w:val="24"/>
        </w:rPr>
        <w:t xml:space="preserve">To do so, he </w:t>
      </w:r>
      <w:r>
        <w:rPr>
          <w:rFonts w:ascii="Times New Roman" w:hAnsi="Times New Roman" w:cs="Times New Roman"/>
          <w:sz w:val="24"/>
          <w:szCs w:val="24"/>
        </w:rPr>
        <w:t xml:space="preserve">recalled </w:t>
      </w:r>
      <w:r w:rsidR="00923F43">
        <w:rPr>
          <w:rFonts w:ascii="Times New Roman" w:hAnsi="Times New Roman" w:cs="Times New Roman"/>
          <w:sz w:val="24"/>
          <w:szCs w:val="24"/>
        </w:rPr>
        <w:t xml:space="preserve">the aftermath of </w:t>
      </w:r>
      <w:r w:rsidR="006E49C8">
        <w:rPr>
          <w:rFonts w:ascii="Times New Roman" w:hAnsi="Times New Roman" w:cs="Times New Roman"/>
          <w:sz w:val="24"/>
          <w:szCs w:val="24"/>
        </w:rPr>
        <w:t>a</w:t>
      </w:r>
      <w:r w:rsidR="00923F43">
        <w:rPr>
          <w:rFonts w:ascii="Times New Roman" w:hAnsi="Times New Roman" w:cs="Times New Roman"/>
          <w:sz w:val="24"/>
          <w:szCs w:val="24"/>
        </w:rPr>
        <w:t xml:space="preserve"> teacher strike in 1968</w:t>
      </w:r>
      <w:r w:rsidR="00093C53">
        <w:rPr>
          <w:rFonts w:ascii="Times New Roman" w:hAnsi="Times New Roman" w:cs="Times New Roman"/>
          <w:sz w:val="24"/>
          <w:szCs w:val="24"/>
        </w:rPr>
        <w:t>:</w:t>
      </w:r>
    </w:p>
    <w:p w:rsidR="00166223" w:rsidRDefault="00BA50B9" w:rsidP="00DA593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 November of 1968, after a brutal forty day strike teachers stumbled back to school, the dailies, the liberal intelligentsia flayed teachers and their union and the impact of the strike resonates forty years later.  To make matters worse, the contract was ending, it looked as if another war was brewing with Mayor John Lindsay.  A year later with the negotiations concluded the mayor and the union stood arm in arm as Governor Rockefeller signed Tier I into law, a change in the pension that was so dramatic as to boggle the mind.  As they walked out of the Governor’s Office</w:t>
      </w:r>
      <w:r w:rsidR="003028DA">
        <w:rPr>
          <w:rFonts w:ascii="Times New Roman" w:hAnsi="Times New Roman" w:cs="Times New Roman"/>
          <w:sz w:val="24"/>
          <w:szCs w:val="24"/>
        </w:rPr>
        <w:t xml:space="preserve"> the author of the plan Dave Wittes, the UFT Secretary, leaned over and whispered to my wife, “They have no idea what they have done…” ….Why did a mayor who had done everything in his power to destroy the union agree to such a rich benefit?  It was simple, just plain old politics.  John Lindsay wanted to be President and he needed Al Shanker and his teachers.</w:t>
      </w:r>
    </w:p>
    <w:p w:rsidR="00166223" w:rsidRDefault="00166223" w:rsidP="00166223">
      <w:pPr>
        <w:autoSpaceDE w:val="0"/>
        <w:autoSpaceDN w:val="0"/>
        <w:adjustRightInd w:val="0"/>
        <w:spacing w:after="0" w:line="240" w:lineRule="auto"/>
        <w:rPr>
          <w:rFonts w:ascii="Times New Roman" w:hAnsi="Times New Roman" w:cs="Times New Roman"/>
          <w:sz w:val="24"/>
          <w:szCs w:val="24"/>
        </w:rPr>
      </w:pPr>
    </w:p>
    <w:p w:rsidR="00093C53" w:rsidRDefault="00093C53" w:rsidP="006E49C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neglected to mention what the strike had been about.  Put simply, it was an effort by the union to defeat efforts by the city’s black communities to achieve community control of the </w:t>
      </w:r>
      <w:r>
        <w:rPr>
          <w:rFonts w:ascii="Times New Roman" w:hAnsi="Times New Roman" w:cs="Times New Roman"/>
          <w:sz w:val="24"/>
          <w:szCs w:val="24"/>
        </w:rPr>
        <w:lastRenderedPageBreak/>
        <w:t xml:space="preserve">schools after numerous </w:t>
      </w:r>
      <w:r w:rsidR="006E49C8">
        <w:rPr>
          <w:rFonts w:ascii="Times New Roman" w:hAnsi="Times New Roman" w:cs="Times New Roman"/>
          <w:sz w:val="24"/>
          <w:szCs w:val="24"/>
        </w:rPr>
        <w:t xml:space="preserve">earlier </w:t>
      </w:r>
      <w:r>
        <w:rPr>
          <w:rFonts w:ascii="Times New Roman" w:hAnsi="Times New Roman" w:cs="Times New Roman"/>
          <w:sz w:val="24"/>
          <w:szCs w:val="24"/>
        </w:rPr>
        <w:t xml:space="preserve">efforts at school integration had failed in the face of white opposition.  The strike ended with a series of compromises—to the </w:t>
      </w:r>
      <w:r w:rsidR="006E49C8">
        <w:rPr>
          <w:rFonts w:ascii="Times New Roman" w:hAnsi="Times New Roman" w:cs="Times New Roman"/>
          <w:sz w:val="24"/>
          <w:szCs w:val="24"/>
        </w:rPr>
        <w:t xml:space="preserve">ultimate and </w:t>
      </w:r>
      <w:r>
        <w:rPr>
          <w:rFonts w:ascii="Times New Roman" w:hAnsi="Times New Roman" w:cs="Times New Roman"/>
          <w:sz w:val="24"/>
          <w:szCs w:val="24"/>
        </w:rPr>
        <w:t xml:space="preserve">profound disadvantage of the students attending schools in black communities. (See Jerold Podair’s </w:t>
      </w:r>
      <w:r w:rsidRPr="00923F43">
        <w:rPr>
          <w:rFonts w:ascii="Times New Roman" w:hAnsi="Times New Roman" w:cs="Times New Roman"/>
          <w:i/>
          <w:sz w:val="24"/>
          <w:szCs w:val="24"/>
        </w:rPr>
        <w:t>The Strike That Changed New York</w:t>
      </w:r>
      <w:r>
        <w:rPr>
          <w:rFonts w:ascii="Times New Roman" w:hAnsi="Times New Roman" w:cs="Times New Roman"/>
          <w:sz w:val="24"/>
          <w:szCs w:val="24"/>
        </w:rPr>
        <w:t>).  But,</w:t>
      </w:r>
      <w:r w:rsidR="006E49C8">
        <w:rPr>
          <w:rFonts w:ascii="Times New Roman" w:hAnsi="Times New Roman" w:cs="Times New Roman"/>
          <w:sz w:val="24"/>
          <w:szCs w:val="24"/>
        </w:rPr>
        <w:t xml:space="preserve"> </w:t>
      </w:r>
      <w:r>
        <w:rPr>
          <w:rFonts w:ascii="Times New Roman" w:hAnsi="Times New Roman" w:cs="Times New Roman"/>
          <w:sz w:val="24"/>
          <w:szCs w:val="24"/>
        </w:rPr>
        <w:t xml:space="preserve">as the staffer noted, it did wonders for the UFT.  Indeed, the book by Podair could have been titled </w:t>
      </w:r>
      <w:r w:rsidRPr="006E49C8">
        <w:rPr>
          <w:rFonts w:ascii="Times New Roman" w:hAnsi="Times New Roman" w:cs="Times New Roman"/>
          <w:i/>
          <w:sz w:val="24"/>
          <w:szCs w:val="24"/>
        </w:rPr>
        <w:t>The Strike That Made the Union</w:t>
      </w:r>
      <w:r>
        <w:rPr>
          <w:rFonts w:ascii="Times New Roman" w:hAnsi="Times New Roman" w:cs="Times New Roman"/>
          <w:sz w:val="24"/>
          <w:szCs w:val="24"/>
        </w:rPr>
        <w:t>.</w:t>
      </w:r>
    </w:p>
    <w:p w:rsidR="00166223" w:rsidRDefault="00166223" w:rsidP="006E49C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years after 1968, several legislative acts had reduced the rich benefits gained in 1968 for teachers who joined the system </w:t>
      </w:r>
      <w:r w:rsidR="003A0A3A">
        <w:rPr>
          <w:rFonts w:ascii="Times New Roman" w:hAnsi="Times New Roman" w:cs="Times New Roman"/>
          <w:sz w:val="24"/>
          <w:szCs w:val="24"/>
        </w:rPr>
        <w:t>afterwards—specifically by raising the retirement age</w:t>
      </w:r>
      <w:r>
        <w:rPr>
          <w:rFonts w:ascii="Times New Roman" w:hAnsi="Times New Roman" w:cs="Times New Roman"/>
          <w:sz w:val="24"/>
          <w:szCs w:val="24"/>
        </w:rPr>
        <w:t xml:space="preserve">.  In 2005, the same author quoted above </w:t>
      </w:r>
      <w:r w:rsidR="006E49C8">
        <w:rPr>
          <w:rFonts w:ascii="Times New Roman" w:hAnsi="Times New Roman" w:cs="Times New Roman"/>
          <w:sz w:val="24"/>
          <w:szCs w:val="24"/>
        </w:rPr>
        <w:t>was advising</w:t>
      </w:r>
      <w:r>
        <w:rPr>
          <w:rFonts w:ascii="Times New Roman" w:hAnsi="Times New Roman" w:cs="Times New Roman"/>
          <w:sz w:val="24"/>
          <w:szCs w:val="24"/>
        </w:rPr>
        <w:t xml:space="preserve"> UFT members looking to restore a lower retirement age:</w:t>
      </w:r>
    </w:p>
    <w:p w:rsidR="00166223" w:rsidRDefault="00166223" w:rsidP="00166223">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NYS Constitution guarantees that pension benefits for public employees may not be reduced.  The legislature can create new Tiers of the pension system for future employees.  Pension improvements, however, require the cooperation of the Mayor and the support of the State legislature and the Governor.  Members who rail against our support of Republicans as well as Democrats are shortsighted.  One party does not pass legislation.  If we can take advantage of a political climate to create significant pension improvements we should seize the moment.</w:t>
      </w:r>
    </w:p>
    <w:p w:rsidR="00166223" w:rsidRDefault="00166223" w:rsidP="00166223">
      <w:pPr>
        <w:autoSpaceDE w:val="0"/>
        <w:autoSpaceDN w:val="0"/>
        <w:adjustRightInd w:val="0"/>
        <w:spacing w:after="0" w:line="240" w:lineRule="auto"/>
        <w:rPr>
          <w:rFonts w:ascii="Times New Roman" w:hAnsi="Times New Roman" w:cs="Times New Roman"/>
          <w:sz w:val="24"/>
          <w:szCs w:val="24"/>
        </w:rPr>
      </w:pPr>
    </w:p>
    <w:p w:rsidR="002006B1" w:rsidRDefault="002006B1" w:rsidP="006E49C8">
      <w:pPr>
        <w:spacing w:after="0" w:line="480" w:lineRule="auto"/>
        <w:rPr>
          <w:rFonts w:ascii="Times New Roman" w:hAnsi="Times New Roman" w:cs="Times New Roman"/>
          <w:sz w:val="24"/>
          <w:szCs w:val="24"/>
        </w:rPr>
      </w:pPr>
      <w:r>
        <w:rPr>
          <w:rFonts w:ascii="Times New Roman" w:hAnsi="Times New Roman" w:cs="Times New Roman"/>
          <w:sz w:val="24"/>
          <w:szCs w:val="24"/>
        </w:rPr>
        <w:t>It took the UFT until 2008 to secure the victory it wanted but they did get it.</w:t>
      </w:r>
    </w:p>
    <w:p w:rsidR="001163F9" w:rsidRDefault="002006B1" w:rsidP="002006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don’t wan</w:t>
      </w:r>
      <w:r w:rsidR="00FC4039">
        <w:rPr>
          <w:rFonts w:ascii="Times New Roman" w:hAnsi="Times New Roman" w:cs="Times New Roman"/>
          <w:sz w:val="24"/>
          <w:szCs w:val="24"/>
        </w:rPr>
        <w:t>t</w:t>
      </w:r>
      <w:r>
        <w:rPr>
          <w:rFonts w:ascii="Times New Roman" w:hAnsi="Times New Roman" w:cs="Times New Roman"/>
          <w:sz w:val="24"/>
          <w:szCs w:val="24"/>
        </w:rPr>
        <w:t xml:space="preserve"> to pick on the UFT but there’s another recent example of the ways in which public sector unions, especially the larger ones with substantial dues revenues, can use the regular political system to their advantage</w:t>
      </w:r>
      <w:r w:rsidR="003A0A3A">
        <w:rPr>
          <w:rFonts w:ascii="Times New Roman" w:hAnsi="Times New Roman" w:cs="Times New Roman"/>
          <w:sz w:val="24"/>
          <w:szCs w:val="24"/>
        </w:rPr>
        <w:t xml:space="preserve"> (specifically </w:t>
      </w:r>
      <w:r w:rsidR="006E49C8">
        <w:rPr>
          <w:rFonts w:ascii="Times New Roman" w:hAnsi="Times New Roman" w:cs="Times New Roman"/>
          <w:sz w:val="24"/>
          <w:szCs w:val="24"/>
        </w:rPr>
        <w:t xml:space="preserve">for the </w:t>
      </w:r>
      <w:r w:rsidR="003A0A3A">
        <w:rPr>
          <w:rFonts w:ascii="Times New Roman" w:hAnsi="Times New Roman" w:cs="Times New Roman"/>
          <w:sz w:val="24"/>
          <w:szCs w:val="24"/>
        </w:rPr>
        <w:t>increase of their dues revenues)</w:t>
      </w:r>
      <w:r>
        <w:rPr>
          <w:rFonts w:ascii="Times New Roman" w:hAnsi="Times New Roman" w:cs="Times New Roman"/>
          <w:sz w:val="24"/>
          <w:szCs w:val="24"/>
        </w:rPr>
        <w:t>.  While Geor</w:t>
      </w:r>
      <w:r w:rsidR="00FC4039">
        <w:rPr>
          <w:rFonts w:ascii="Times New Roman" w:hAnsi="Times New Roman" w:cs="Times New Roman"/>
          <w:sz w:val="24"/>
          <w:szCs w:val="24"/>
        </w:rPr>
        <w:t xml:space="preserve">ge Pataki </w:t>
      </w:r>
      <w:r w:rsidR="003A0A3A">
        <w:rPr>
          <w:rFonts w:ascii="Times New Roman" w:hAnsi="Times New Roman" w:cs="Times New Roman"/>
          <w:sz w:val="24"/>
          <w:szCs w:val="24"/>
        </w:rPr>
        <w:t>was G</w:t>
      </w:r>
      <w:r w:rsidR="00FC4039">
        <w:rPr>
          <w:rFonts w:ascii="Times New Roman" w:hAnsi="Times New Roman" w:cs="Times New Roman"/>
          <w:sz w:val="24"/>
          <w:szCs w:val="24"/>
        </w:rPr>
        <w:t>overnor of N</w:t>
      </w:r>
      <w:r>
        <w:rPr>
          <w:rFonts w:ascii="Times New Roman" w:hAnsi="Times New Roman" w:cs="Times New Roman"/>
          <w:sz w:val="24"/>
          <w:szCs w:val="24"/>
        </w:rPr>
        <w:t>ew York</w:t>
      </w:r>
      <w:r w:rsidR="003A0A3A">
        <w:rPr>
          <w:rFonts w:ascii="Times New Roman" w:hAnsi="Times New Roman" w:cs="Times New Roman"/>
          <w:sz w:val="24"/>
          <w:szCs w:val="24"/>
        </w:rPr>
        <w:t>,</w:t>
      </w:r>
      <w:r>
        <w:rPr>
          <w:rFonts w:ascii="Times New Roman" w:hAnsi="Times New Roman" w:cs="Times New Roman"/>
          <w:sz w:val="24"/>
          <w:szCs w:val="24"/>
        </w:rPr>
        <w:t xml:space="preserve"> the state legislature passed a bill to allow individuals who provided child care services in their homes to be represented by a union.  Pataki vetoed it but when he was replaced by Eliot Spitzer, the same allowance was approved through an Executive Order.  In October of 2007, a representation election was held and more than 8,000 of these home providers voted to be represented by the UFT.  As a result, the UFT secured the rights to represent and collect dues from 28,000 providers in NYC.  The Civil Service </w:t>
      </w:r>
      <w:r>
        <w:rPr>
          <w:rFonts w:ascii="Times New Roman" w:hAnsi="Times New Roman" w:cs="Times New Roman"/>
          <w:sz w:val="24"/>
          <w:szCs w:val="24"/>
        </w:rPr>
        <w:lastRenderedPageBreak/>
        <w:t xml:space="preserve">Employees Association (CSEA) got to do the same for another 26,000 individuals elsewhere in the state.  Then, in 2009, the UFT and CSEA negotiated their first contracts with the New York State Office of Children and Family Services for the newly organized child care providers.  So, to recap, the unions persuaded legislators and a friendly governor to approve the right of the providers to be represented; then, the same unions won the </w:t>
      </w:r>
      <w:r w:rsidR="001163F9">
        <w:rPr>
          <w:rFonts w:ascii="Times New Roman" w:hAnsi="Times New Roman" w:cs="Times New Roman"/>
          <w:sz w:val="24"/>
          <w:szCs w:val="24"/>
        </w:rPr>
        <w:t>right to represent those workers and finally negotiated a contract with a state agency.  And lest it be forgotten, underneath all this is simple politics—money, votes and re-elections.  Although the details may vary across the country, I suggest that the pattern represented in these stories goes a long way towards explaining why there are now more union members in the public sector.</w:t>
      </w:r>
    </w:p>
    <w:p w:rsidR="001163F9" w:rsidRDefault="001163F9" w:rsidP="002006B1">
      <w:pPr>
        <w:spacing w:line="480" w:lineRule="auto"/>
        <w:ind w:firstLine="720"/>
        <w:rPr>
          <w:rFonts w:ascii="Times New Roman" w:hAnsi="Times New Roman" w:cs="Times New Roman"/>
          <w:sz w:val="24"/>
          <w:szCs w:val="24"/>
        </w:rPr>
      </w:pPr>
      <w:r>
        <w:rPr>
          <w:rFonts w:ascii="Times New Roman" w:hAnsi="Times New Roman" w:cs="Times New Roman"/>
          <w:sz w:val="24"/>
          <w:szCs w:val="24"/>
        </w:rPr>
        <w:t>But it doesn’t stop there.  In another recent development, the current governor</w:t>
      </w:r>
      <w:r w:rsidR="006E49C8">
        <w:rPr>
          <w:rFonts w:ascii="Times New Roman" w:hAnsi="Times New Roman" w:cs="Times New Roman"/>
          <w:sz w:val="24"/>
          <w:szCs w:val="24"/>
        </w:rPr>
        <w:t xml:space="preserve"> of new York</w:t>
      </w:r>
      <w:r>
        <w:rPr>
          <w:rFonts w:ascii="Times New Roman" w:hAnsi="Times New Roman" w:cs="Times New Roman"/>
          <w:sz w:val="24"/>
          <w:szCs w:val="24"/>
        </w:rPr>
        <w:t xml:space="preserve">, David Patterson announced plans to close the Moriah </w:t>
      </w:r>
      <w:r w:rsidR="00DA593A">
        <w:rPr>
          <w:rFonts w:ascii="Times New Roman" w:hAnsi="Times New Roman" w:cs="Times New Roman"/>
          <w:sz w:val="24"/>
          <w:szCs w:val="24"/>
        </w:rPr>
        <w:t xml:space="preserve">Shock Incarceration </w:t>
      </w:r>
      <w:r w:rsidR="00FC237A">
        <w:rPr>
          <w:rFonts w:ascii="Times New Roman" w:hAnsi="Times New Roman" w:cs="Times New Roman"/>
          <w:sz w:val="24"/>
          <w:szCs w:val="24"/>
        </w:rPr>
        <w:t xml:space="preserve">Correctional </w:t>
      </w:r>
      <w:r w:rsidR="00DA593A">
        <w:rPr>
          <w:rFonts w:ascii="Times New Roman" w:hAnsi="Times New Roman" w:cs="Times New Roman"/>
          <w:sz w:val="24"/>
          <w:szCs w:val="24"/>
        </w:rPr>
        <w:t>Facility near Mineville in the Adirondacks Mountains as part of his strategy to close the state’s budget gap.  The facility, which is a special facility designed to shock inmates out of their criminal inclinations</w:t>
      </w:r>
      <w:r w:rsidR="00FC237A">
        <w:rPr>
          <w:rFonts w:ascii="Times New Roman" w:hAnsi="Times New Roman" w:cs="Times New Roman"/>
          <w:sz w:val="24"/>
          <w:szCs w:val="24"/>
        </w:rPr>
        <w:t xml:space="preserve"> through a kind of intensive basic training</w:t>
      </w:r>
      <w:r w:rsidR="00DA593A">
        <w:rPr>
          <w:rFonts w:ascii="Times New Roman" w:hAnsi="Times New Roman" w:cs="Times New Roman"/>
          <w:sz w:val="24"/>
          <w:szCs w:val="24"/>
        </w:rPr>
        <w:t>, is located upon the abandoned site of a Republic Steel iron-ore mine.  Currently, there are just over a hundred staff members and fewer than 200 inmates.  The people who work at Moriah are represented by the Public Employees Federation (PEF), which has thrown itself full force into a campaign to save the jobs.   Their argument is straightforward enough: “Moriah Shock Incarceration Correctional Facility is a community,” said Richard Sheffer, a PEF staffer, at a community rally.  He went on: “Moriah embraced the facility, as it did the mines, to provide employment for the surrounding area.”  From iron mines to iron bars!</w:t>
      </w:r>
    </w:p>
    <w:p w:rsidR="002006B1" w:rsidRDefault="00DA593A" w:rsidP="00A9555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Which brings us to the last of the trends of the last few decades—the trend towards incredibly high rates of imprisonment and entanglement with the various parts of the criminal justice system.</w:t>
      </w:r>
      <w:r w:rsidR="00FC237A">
        <w:rPr>
          <w:rFonts w:ascii="Times New Roman" w:hAnsi="Times New Roman" w:cs="Times New Roman"/>
          <w:sz w:val="24"/>
          <w:szCs w:val="24"/>
        </w:rPr>
        <w:t xml:space="preserve">  Look at this graph!</w:t>
      </w:r>
    </w:p>
    <w:p w:rsidR="009C0AF3" w:rsidRPr="009C0AF3" w:rsidRDefault="009C0AF3" w:rsidP="009C0AF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48100" cy="2486025"/>
            <wp:effectExtent l="19050" t="0" r="0" b="0"/>
            <wp:docPr id="1" name="Picture 1" descr="Correctional Popula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ional Populations">
                      <a:hlinkClick r:id="rId7"/>
                    </pic:cNvPr>
                    <pic:cNvPicPr>
                      <a:picLocks noChangeAspect="1" noChangeArrowheads="1"/>
                    </pic:cNvPicPr>
                  </pic:nvPicPr>
                  <pic:blipFill>
                    <a:blip r:embed="rId8" cstate="print"/>
                    <a:srcRect/>
                    <a:stretch>
                      <a:fillRect/>
                    </a:stretch>
                  </pic:blipFill>
                  <pic:spPr bwMode="auto">
                    <a:xfrm>
                      <a:off x="0" y="0"/>
                      <a:ext cx="3848100" cy="2486025"/>
                    </a:xfrm>
                    <a:prstGeom prst="rect">
                      <a:avLst/>
                    </a:prstGeom>
                    <a:noFill/>
                    <a:ln w="9525">
                      <a:noFill/>
                      <a:miter lim="800000"/>
                      <a:headEnd/>
                      <a:tailEnd/>
                    </a:ln>
                  </pic:spPr>
                </pic:pic>
              </a:graphicData>
            </a:graphic>
          </wp:inline>
        </w:drawing>
      </w:r>
      <w:hyperlink r:id="rId9" w:history="1">
        <w:r w:rsidRPr="009C0AF3">
          <w:rPr>
            <w:rFonts w:ascii="Times New Roman" w:eastAsia="Times New Roman" w:hAnsi="Times New Roman" w:cs="Times New Roman"/>
            <w:b/>
            <w:bCs/>
            <w:color w:val="0000FF"/>
            <w:sz w:val="24"/>
            <w:szCs w:val="24"/>
            <w:u w:val="single"/>
          </w:rPr>
          <w:t>[D]</w:t>
        </w:r>
      </w:hyperlink>
      <w:r w:rsidRPr="009C0AF3">
        <w:rPr>
          <w:rFonts w:ascii="Times New Roman" w:eastAsia="Times New Roman" w:hAnsi="Times New Roman" w:cs="Times New Roman"/>
          <w:sz w:val="24"/>
          <w:szCs w:val="24"/>
        </w:rPr>
        <w:t xml:space="preserve"> </w:t>
      </w:r>
    </w:p>
    <w:p w:rsidR="009C0AF3" w:rsidRPr="009C0AF3" w:rsidRDefault="009C0AF3" w:rsidP="009C0AF3">
      <w:pPr>
        <w:spacing w:after="0" w:line="240" w:lineRule="auto"/>
        <w:rPr>
          <w:rFonts w:ascii="Times New Roman" w:eastAsia="Times New Roman" w:hAnsi="Times New Roman" w:cs="Times New Roman"/>
          <w:sz w:val="24"/>
          <w:szCs w:val="24"/>
        </w:rPr>
      </w:pPr>
      <w:r w:rsidRPr="009C0AF3">
        <w:rPr>
          <w:rFonts w:ascii="Times New Roman" w:eastAsia="Times New Roman" w:hAnsi="Times New Roman" w:cs="Times New Roman"/>
          <w:sz w:val="24"/>
          <w:szCs w:val="24"/>
        </w:rPr>
        <w:t xml:space="preserve">Source: Bureau of Justice Statistics Correctional Surveys </w:t>
      </w:r>
    </w:p>
    <w:p w:rsidR="009C0AF3" w:rsidRDefault="009C0AF3" w:rsidP="009C0AF3">
      <w:pPr>
        <w:spacing w:line="480" w:lineRule="auto"/>
        <w:rPr>
          <w:rFonts w:ascii="Times New Roman" w:hAnsi="Times New Roman" w:cs="Times New Roman"/>
          <w:sz w:val="24"/>
          <w:szCs w:val="24"/>
        </w:rPr>
      </w:pPr>
    </w:p>
    <w:p w:rsidR="009C0AF3" w:rsidRDefault="009C0AF3" w:rsidP="009C0AF3">
      <w:pPr>
        <w:spacing w:line="480" w:lineRule="auto"/>
        <w:rPr>
          <w:rFonts w:ascii="Times New Roman" w:hAnsi="Times New Roman" w:cs="Times New Roman"/>
          <w:sz w:val="24"/>
          <w:szCs w:val="24"/>
        </w:rPr>
      </w:pPr>
      <w:r>
        <w:rPr>
          <w:rFonts w:ascii="Times New Roman" w:hAnsi="Times New Roman" w:cs="Times New Roman"/>
          <w:sz w:val="24"/>
          <w:szCs w:val="24"/>
        </w:rPr>
        <w:t>All told, seven million adults are caught up in this nightmare.  And the union movement in upstate New York just wants its small share and the jobs that g</w:t>
      </w:r>
      <w:r w:rsidR="007A5DB2">
        <w:rPr>
          <w:rFonts w:ascii="Times New Roman" w:hAnsi="Times New Roman" w:cs="Times New Roman"/>
          <w:sz w:val="24"/>
          <w:szCs w:val="24"/>
        </w:rPr>
        <w:t xml:space="preserve">o </w:t>
      </w:r>
      <w:r w:rsidR="006E49C8">
        <w:rPr>
          <w:rFonts w:ascii="Times New Roman" w:hAnsi="Times New Roman" w:cs="Times New Roman"/>
          <w:sz w:val="24"/>
          <w:szCs w:val="24"/>
        </w:rPr>
        <w:t>along with it. They want to be “</w:t>
      </w:r>
      <w:r w:rsidR="007A5DB2">
        <w:rPr>
          <w:rFonts w:ascii="Times New Roman" w:hAnsi="Times New Roman" w:cs="Times New Roman"/>
          <w:sz w:val="24"/>
          <w:szCs w:val="24"/>
        </w:rPr>
        <w:t>unionized</w:t>
      </w:r>
      <w:r w:rsidR="006E49C8">
        <w:rPr>
          <w:rFonts w:ascii="Times New Roman" w:hAnsi="Times New Roman" w:cs="Times New Roman"/>
          <w:sz w:val="24"/>
          <w:szCs w:val="24"/>
        </w:rPr>
        <w:t>:</w:t>
      </w:r>
      <w:r w:rsidR="007A5DB2">
        <w:rPr>
          <w:rFonts w:ascii="Times New Roman" w:hAnsi="Times New Roman" w:cs="Times New Roman"/>
          <w:sz w:val="24"/>
          <w:szCs w:val="24"/>
        </w:rPr>
        <w:t xml:space="preserve"> protective service workers.  </w:t>
      </w:r>
      <w:r>
        <w:rPr>
          <w:rFonts w:ascii="Times New Roman" w:hAnsi="Times New Roman" w:cs="Times New Roman"/>
          <w:sz w:val="24"/>
          <w:szCs w:val="24"/>
        </w:rPr>
        <w:t xml:space="preserve">I wonder how many of the inmates and how many of the correctional staff </w:t>
      </w:r>
      <w:r w:rsidR="006E49C8">
        <w:rPr>
          <w:rFonts w:ascii="Times New Roman" w:hAnsi="Times New Roman" w:cs="Times New Roman"/>
          <w:sz w:val="24"/>
          <w:szCs w:val="24"/>
        </w:rPr>
        <w:t>have</w:t>
      </w:r>
      <w:r w:rsidR="00FC237A">
        <w:rPr>
          <w:rFonts w:ascii="Times New Roman" w:hAnsi="Times New Roman" w:cs="Times New Roman"/>
          <w:sz w:val="24"/>
          <w:szCs w:val="24"/>
        </w:rPr>
        <w:t xml:space="preserve"> ever been members of a union not in the</w:t>
      </w:r>
      <w:r w:rsidR="006E49C8">
        <w:rPr>
          <w:rFonts w:ascii="Times New Roman" w:hAnsi="Times New Roman" w:cs="Times New Roman"/>
          <w:sz w:val="24"/>
          <w:szCs w:val="24"/>
        </w:rPr>
        <w:t xml:space="preserve"> public sector and how many have </w:t>
      </w:r>
      <w:r>
        <w:rPr>
          <w:rFonts w:ascii="Times New Roman" w:hAnsi="Times New Roman" w:cs="Times New Roman"/>
          <w:sz w:val="24"/>
          <w:szCs w:val="24"/>
        </w:rPr>
        <w:t>dropped out of community college.</w:t>
      </w:r>
      <w:r w:rsidR="00FC237A">
        <w:rPr>
          <w:rFonts w:ascii="Times New Roman" w:hAnsi="Times New Roman" w:cs="Times New Roman"/>
          <w:sz w:val="24"/>
          <w:szCs w:val="24"/>
        </w:rPr>
        <w:t xml:space="preserve">  But, similar experiences aside, it does matter which side of the bars you’re on.</w:t>
      </w:r>
    </w:p>
    <w:p w:rsidR="009C0AF3" w:rsidRDefault="009C0AF3" w:rsidP="009C0AF3">
      <w:pPr>
        <w:spacing w:line="480" w:lineRule="auto"/>
        <w:rPr>
          <w:rFonts w:ascii="Times New Roman" w:hAnsi="Times New Roman" w:cs="Times New Roman"/>
          <w:sz w:val="24"/>
          <w:szCs w:val="24"/>
        </w:rPr>
      </w:pPr>
      <w:r>
        <w:rPr>
          <w:rFonts w:ascii="Times New Roman" w:hAnsi="Times New Roman" w:cs="Times New Roman"/>
          <w:sz w:val="24"/>
          <w:szCs w:val="24"/>
        </w:rPr>
        <w:tab/>
        <w:t>This is part of the state of affairs of working class struggle, or lack thereof, in the United States in 2010.</w:t>
      </w:r>
    </w:p>
    <w:p w:rsidR="002006B1" w:rsidRDefault="002006B1" w:rsidP="00715953">
      <w:pPr>
        <w:spacing w:line="480" w:lineRule="auto"/>
        <w:rPr>
          <w:rFonts w:ascii="Times New Roman" w:hAnsi="Times New Roman" w:cs="Times New Roman"/>
          <w:sz w:val="24"/>
          <w:szCs w:val="24"/>
        </w:rPr>
      </w:pPr>
    </w:p>
    <w:p w:rsidR="002006B1" w:rsidRDefault="002006B1" w:rsidP="00715953">
      <w:pPr>
        <w:spacing w:line="480" w:lineRule="auto"/>
        <w:rPr>
          <w:rFonts w:ascii="Times New Roman" w:hAnsi="Times New Roman" w:cs="Times New Roman"/>
          <w:sz w:val="24"/>
          <w:szCs w:val="24"/>
        </w:rPr>
      </w:pPr>
    </w:p>
    <w:sectPr w:rsidR="002006B1" w:rsidSect="0029097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1C1" w:rsidRDefault="00F931C1" w:rsidP="00472777">
      <w:pPr>
        <w:spacing w:after="0" w:line="240" w:lineRule="auto"/>
      </w:pPr>
      <w:r>
        <w:separator/>
      </w:r>
    </w:p>
  </w:endnote>
  <w:endnote w:type="continuationSeparator" w:id="0">
    <w:p w:rsidR="00F931C1" w:rsidRDefault="00F931C1" w:rsidP="00472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DC0" w:rsidRDefault="00A32D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04964"/>
      <w:docPartObj>
        <w:docPartGallery w:val="Page Numbers (Bottom of Page)"/>
        <w:docPartUnique/>
      </w:docPartObj>
    </w:sdtPr>
    <w:sdtContent>
      <w:p w:rsidR="00A32DC0" w:rsidRDefault="00A32DC0">
        <w:pPr>
          <w:pStyle w:val="Footer"/>
        </w:pPr>
        <w:fldSimple w:instr=" PAGE   \* MERGEFORMAT ">
          <w:r w:rsidR="0023738B">
            <w:rPr>
              <w:noProof/>
            </w:rPr>
            <w:t>3</w:t>
          </w:r>
        </w:fldSimple>
      </w:p>
    </w:sdtContent>
  </w:sdt>
  <w:p w:rsidR="00A32DC0" w:rsidRDefault="00A32DC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DC0" w:rsidRDefault="00A32D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1C1" w:rsidRDefault="00F931C1" w:rsidP="00472777">
      <w:pPr>
        <w:spacing w:after="0" w:line="240" w:lineRule="auto"/>
      </w:pPr>
      <w:r>
        <w:separator/>
      </w:r>
    </w:p>
  </w:footnote>
  <w:footnote w:type="continuationSeparator" w:id="0">
    <w:p w:rsidR="00F931C1" w:rsidRDefault="00F931C1" w:rsidP="004727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DC0" w:rsidRDefault="00A32D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DC0" w:rsidRDefault="00A32DC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DC0" w:rsidRDefault="00A32D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965"/>
    <w:multiLevelType w:val="hybridMultilevel"/>
    <w:tmpl w:val="4BA6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4325D"/>
    <w:multiLevelType w:val="hybridMultilevel"/>
    <w:tmpl w:val="993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E330D"/>
    <w:multiLevelType w:val="hybridMultilevel"/>
    <w:tmpl w:val="CD3A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1"/>
    <w:footnote w:id="0"/>
  </w:footnotePr>
  <w:endnotePr>
    <w:endnote w:id="-1"/>
    <w:endnote w:id="0"/>
  </w:endnotePr>
  <w:compat/>
  <w:rsids>
    <w:rsidRoot w:val="001A4EB4"/>
    <w:rsid w:val="000533A9"/>
    <w:rsid w:val="00093C53"/>
    <w:rsid w:val="000F12A1"/>
    <w:rsid w:val="001163F9"/>
    <w:rsid w:val="00127C4A"/>
    <w:rsid w:val="001418B4"/>
    <w:rsid w:val="00147985"/>
    <w:rsid w:val="00166223"/>
    <w:rsid w:val="001663F8"/>
    <w:rsid w:val="001A13C9"/>
    <w:rsid w:val="001A4EB4"/>
    <w:rsid w:val="001C7D17"/>
    <w:rsid w:val="001F583E"/>
    <w:rsid w:val="002006B1"/>
    <w:rsid w:val="0023738B"/>
    <w:rsid w:val="00290971"/>
    <w:rsid w:val="003028DA"/>
    <w:rsid w:val="003714B2"/>
    <w:rsid w:val="003A0A3A"/>
    <w:rsid w:val="0042075B"/>
    <w:rsid w:val="00445131"/>
    <w:rsid w:val="00472777"/>
    <w:rsid w:val="00532AEB"/>
    <w:rsid w:val="006E49C8"/>
    <w:rsid w:val="006E5E7D"/>
    <w:rsid w:val="00715953"/>
    <w:rsid w:val="007249D5"/>
    <w:rsid w:val="007A5DB2"/>
    <w:rsid w:val="007C1D3C"/>
    <w:rsid w:val="007C6FD0"/>
    <w:rsid w:val="007E6EF2"/>
    <w:rsid w:val="008616E3"/>
    <w:rsid w:val="008734FB"/>
    <w:rsid w:val="009135E7"/>
    <w:rsid w:val="00923F43"/>
    <w:rsid w:val="009C0AF3"/>
    <w:rsid w:val="009F3F90"/>
    <w:rsid w:val="00A27C6F"/>
    <w:rsid w:val="00A32DC0"/>
    <w:rsid w:val="00A9555A"/>
    <w:rsid w:val="00AF544A"/>
    <w:rsid w:val="00BA50B9"/>
    <w:rsid w:val="00C8769A"/>
    <w:rsid w:val="00CD4CA3"/>
    <w:rsid w:val="00DA593A"/>
    <w:rsid w:val="00DE5EA4"/>
    <w:rsid w:val="00E8273B"/>
    <w:rsid w:val="00EC6AB9"/>
    <w:rsid w:val="00F931C1"/>
    <w:rsid w:val="00FC237A"/>
    <w:rsid w:val="00FC4039"/>
    <w:rsid w:val="00FD7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985"/>
    <w:pPr>
      <w:ind w:left="720"/>
      <w:contextualSpacing/>
    </w:pPr>
  </w:style>
  <w:style w:type="table" w:styleId="TableGrid">
    <w:name w:val="Table Grid"/>
    <w:basedOn w:val="TableNormal"/>
    <w:uiPriority w:val="59"/>
    <w:rsid w:val="009F3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C0AF3"/>
    <w:rPr>
      <w:color w:val="0000FF"/>
      <w:u w:val="single"/>
    </w:rPr>
  </w:style>
  <w:style w:type="paragraph" w:styleId="NormalWeb">
    <w:name w:val="Normal (Web)"/>
    <w:basedOn w:val="Normal"/>
    <w:uiPriority w:val="99"/>
    <w:semiHidden/>
    <w:unhideWhenUsed/>
    <w:rsid w:val="009C0A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0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AF3"/>
    <w:rPr>
      <w:rFonts w:ascii="Tahoma" w:hAnsi="Tahoma" w:cs="Tahoma"/>
      <w:sz w:val="16"/>
      <w:szCs w:val="16"/>
    </w:rPr>
  </w:style>
  <w:style w:type="paragraph" w:styleId="Header">
    <w:name w:val="header"/>
    <w:basedOn w:val="Normal"/>
    <w:link w:val="HeaderChar"/>
    <w:uiPriority w:val="99"/>
    <w:semiHidden/>
    <w:unhideWhenUsed/>
    <w:rsid w:val="004727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2777"/>
  </w:style>
  <w:style w:type="paragraph" w:styleId="Footer">
    <w:name w:val="footer"/>
    <w:basedOn w:val="Normal"/>
    <w:link w:val="FooterChar"/>
    <w:uiPriority w:val="99"/>
    <w:unhideWhenUsed/>
    <w:rsid w:val="00472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777"/>
  </w:style>
</w:styles>
</file>

<file path=word/webSettings.xml><?xml version="1.0" encoding="utf-8"?>
<w:webSettings xmlns:r="http://schemas.openxmlformats.org/officeDocument/2006/relationships" xmlns:w="http://schemas.openxmlformats.org/wordprocessingml/2006/main">
  <w:divs>
    <w:div w:id="400174328">
      <w:bodyDiv w:val="1"/>
      <w:marLeft w:val="0"/>
      <w:marRight w:val="0"/>
      <w:marTop w:val="0"/>
      <w:marBottom w:val="0"/>
      <w:divBdr>
        <w:top w:val="none" w:sz="0" w:space="0" w:color="auto"/>
        <w:left w:val="none" w:sz="0" w:space="0" w:color="auto"/>
        <w:bottom w:val="none" w:sz="0" w:space="0" w:color="auto"/>
        <w:right w:val="none" w:sz="0" w:space="0" w:color="auto"/>
      </w:divBdr>
      <w:divsChild>
        <w:div w:id="983973386">
          <w:marLeft w:val="0"/>
          <w:marRight w:val="0"/>
          <w:marTop w:val="0"/>
          <w:marBottom w:val="0"/>
          <w:divBdr>
            <w:top w:val="none" w:sz="0" w:space="0" w:color="auto"/>
            <w:left w:val="none" w:sz="0" w:space="0" w:color="auto"/>
            <w:bottom w:val="none" w:sz="0" w:space="0" w:color="auto"/>
            <w:right w:val="none" w:sz="0" w:space="0" w:color="auto"/>
          </w:divBdr>
          <w:divsChild>
            <w:div w:id="1101874653">
              <w:marLeft w:val="0"/>
              <w:marRight w:val="0"/>
              <w:marTop w:val="0"/>
              <w:marBottom w:val="0"/>
              <w:divBdr>
                <w:top w:val="none" w:sz="0" w:space="0" w:color="auto"/>
                <w:left w:val="none" w:sz="0" w:space="0" w:color="auto"/>
                <w:bottom w:val="none" w:sz="0" w:space="0" w:color="auto"/>
                <w:right w:val="none" w:sz="0" w:space="0" w:color="auto"/>
              </w:divBdr>
              <w:divsChild>
                <w:div w:id="1648827509">
                  <w:marLeft w:val="0"/>
                  <w:marRight w:val="0"/>
                  <w:marTop w:val="0"/>
                  <w:marBottom w:val="0"/>
                  <w:divBdr>
                    <w:top w:val="none" w:sz="0" w:space="0" w:color="auto"/>
                    <w:left w:val="none" w:sz="0" w:space="0" w:color="auto"/>
                    <w:bottom w:val="none" w:sz="0" w:space="0" w:color="auto"/>
                    <w:right w:val="none" w:sz="0" w:space="0" w:color="auto"/>
                  </w:divBdr>
                  <w:divsChild>
                    <w:div w:id="253825384">
                      <w:marLeft w:val="0"/>
                      <w:marRight w:val="0"/>
                      <w:marTop w:val="0"/>
                      <w:marBottom w:val="0"/>
                      <w:divBdr>
                        <w:top w:val="none" w:sz="0" w:space="0" w:color="auto"/>
                        <w:left w:val="none" w:sz="0" w:space="0" w:color="auto"/>
                        <w:bottom w:val="none" w:sz="0" w:space="0" w:color="auto"/>
                        <w:right w:val="none" w:sz="0" w:space="0" w:color="auto"/>
                      </w:divBdr>
                      <w:divsChild>
                        <w:div w:id="584146531">
                          <w:marLeft w:val="0"/>
                          <w:marRight w:val="0"/>
                          <w:marTop w:val="0"/>
                          <w:marBottom w:val="0"/>
                          <w:divBdr>
                            <w:top w:val="none" w:sz="0" w:space="0" w:color="auto"/>
                            <w:left w:val="none" w:sz="0" w:space="0" w:color="auto"/>
                            <w:bottom w:val="none" w:sz="0" w:space="0" w:color="auto"/>
                            <w:right w:val="none" w:sz="0" w:space="0" w:color="auto"/>
                          </w:divBdr>
                          <w:divsChild>
                            <w:div w:id="10928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bjs.ojp.usdoj.gov/content/glance/tables/corr2tab.cf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js.ojp.usdoj.gov/content/glance/d_corr2.cf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garvey</dc:creator>
  <cp:lastModifiedBy>john garvey</cp:lastModifiedBy>
  <cp:revision>6</cp:revision>
  <cp:lastPrinted>2010-05-18T17:36:00Z</cp:lastPrinted>
  <dcterms:created xsi:type="dcterms:W3CDTF">2010-05-25T01:05:00Z</dcterms:created>
  <dcterms:modified xsi:type="dcterms:W3CDTF">2010-06-07T01:10:00Z</dcterms:modified>
</cp:coreProperties>
</file>