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From Reconstruction to Regeneration: Mesenchymal Stem Cells and Tissue Engineering Strategies for Post-Treatment Lung Tissue Restoration in Non-small-cell Lung Cancer (NSCLC)</w:t>
      </w:r>
    </w:p>
    <w:p>
      <w:pPr>
        <w:pStyle w:val="Heading1"/>
        <w:spacing w:after="200" w:before="360"/>
      </w:pPr>
      <w:r>
        <w:t xml:space="preserve">A. Revised Introduction</w:t>
      </w:r>
    </w:p>
    <w:p>
      <w:pPr>
        <w:spacing w:after="160"/>
      </w:pPr>
      <w:r>
        <w:rPr>
          <w:b/>
          <w:bCs/>
          <w:sz w:val="26"/>
          <w:szCs w:val="26"/>
        </w:rPr>
        <w:t xml:space="preserve">Introduction</w:t>
      </w:r>
    </w:p>
    <w:p>
      <w:pPr>
        <w:spacing w:after="160" w:line="360"/>
        <w:ind w:firstLine="425"/>
        <w:jc w:val="both"/>
      </w:pPr>
      <w:r>
        <w:t xml:space="preserve">Radiotherapy is a central component of treatment for non-small-cell lung cancer (NSCLC), the histological group that accounts for most lung cancers (1). It can be combined with chemotherapy, and the two are often given together as concurrent chemoradiotherapy (CCRT) (2). Because the lung around the tumor lies within or near the radiation field, the treatment that controls the cancer can also injure the organ in which it arose. Radiation pneumonitis (RP), an early inflammatory reaction of irradiated lung tissue (2), reaches clinical significance in an estimated 15% to 40% of patients with NSCLC who receive CCRT (1). In some patients this inflammatory phase is followed by radiation-induced pulmonary fibrosis (RIPF), a chronic and largely irreversible scarring process reported in 5% to 50% of irradiated patients across studies (3). Together, these conditions constitute radiation-induced lung injury (RILI), the main pulmonary complication of thoracic radiotherapy and a recognized constraint on its delivery (4). Its consequences outlast the treatment course: a tumor may be controlled while the remaining lung is left inflamed or scarred, with reduced function (3, 4).</w:t>
      </w:r>
    </w:p>
    <w:p>
      <w:pPr>
        <w:spacing w:after="160" w:line="360"/>
        <w:ind w:firstLine="425"/>
        <w:jc w:val="both"/>
      </w:pPr>
      <w:r>
        <w:t xml:space="preserve">The progression from pneumonitis to fibrosis reflects a cascade involving several cell populations rather than a single lesion. Radiation damages alveolar epithelial cells and vascular endothelial cells, and the ensuing response engages macrophages, fibroblasts and myofibroblasts through pathways that include transforming growth factor-β (TGF-β) signaling and the high-mobility group box 1/nuclear factor-κB (HMGB1/NF-κB) axis (4). Once fibroblast activation and matrix deposition dominate, the injury is no longer purely inflammatory, and fibrotic tissue progressively replaces the alveolar structure that supports gas exchange (3, 4). Clinical management has largely followed this sequence instead of anticipating it. Treatment usually begins when symptoms of pneumonitis or fibrosis appear, and the options for established fibrosis remain mainly supportive (3). Drugs aimed at the underlying pathways have been proposed, yet most candidates described to date have been studied in preclinical models (4). Suppressing inflammation can relieve pneumonitis, but it does not rebuild the epithelial and endothelial compartments that radiation has destroyed. Not every irradiated patient develops lasting damage. For those who do, the unmet need is repair: limiting fibrotic remodeling and supporting recovery of the alveolar–capillary unit, not only controlling symptoms.</w:t>
      </w:r>
    </w:p>
    <w:p>
      <w:pPr>
        <w:spacing w:after="160" w:line="360"/>
        <w:ind w:firstLine="425"/>
        <w:jc w:val="both"/>
      </w:pPr>
      <w:r>
        <w:t xml:space="preserve">Mesenchymal stem/stromal cells (MSCs) have been investigated as one answer to this repair problem in the injured lung (5). They are adherent, multipotent cells that can be isolated from several tissues, including perinatal sources such as the umbilical cord, placenta and amniotic fluid (6), and adult human bone marrow-derived MSCs were shown to differentiate along several mesenchymal lineages in culture (7). Their potential value in RILI depends less on this lineage plasticity than on how they act within injured tissue. MSCs have been reported to migrate toward damaged sites and to support remodeling there (5), a property of interest because radiation injury is largely confined to the irradiated volume. They also modulate immune responses, mainly through secreted mediators, which bears directly on the inflammatory phase that precedes fibrosis. Much of the evidence for these effects, however, comes from other settings. In a mouse model of carbon tetrachloride-induced acute liver injury, for example, MSCs altered the metabolic profile of liver-resident immune cells (8), and the clinical studies summarized for injured lung concern acute respiratory distress syndrome (ARDS) and COVID-19 (6). Such data make a mechanism in irradiated lung plausible without demonstrating it. Direct replacement of alveolar epithelial or endothelial cells by transplanted MSCs is a still weaker basis for the argument, since differentiation in culture (7) does not show that these cells engraft and function as lung epithelium in vivo. For post-treatment lung injury, the case for MSCs therefore rests mainly on paracrine and immunomodulatory activity, with cell replacement remaining a hypothesis.</w:t>
      </w:r>
    </w:p>
    <w:p>
      <w:pPr>
        <w:spacing w:after="160" w:line="360"/>
        <w:ind w:firstLine="425"/>
        <w:jc w:val="both"/>
      </w:pPr>
      <w:r>
        <w:t xml:space="preserve">For any of these mechanisms to matter, MSCs must reach the injured region, remain there and stay functional, and each of these steps limits current cell-based therapies (9). After intravenous infusion, a large proportion of MSCs is retained in the lungs. Intravital imaging in mice showed that the cells arrested mechanically at branch points of the pulmonary microvasculature, where their size prevented further passage, and that retention increased during </w:t>
      </w:r>
      <w:r>
        <w:rPr>
          <w:i/>
          <w:iCs/>
        </w:rPr>
        <w:t xml:space="preserve">Escherichia coli</w:t>
      </w:r>
      <w:r>
        <w:t xml:space="preserve"> infection (10). For a lung target, this first-pass entrapment is a mixed outcome. It brings cells to the organ but places them in capillaries rather than in injured alveolar tissue, and it was characterized in bacterial infection, not in irradiated lung. Survival after delivery is a second obstacle. In acute kidney injury, 80% to 90% of transplanted MSCs were reported to die within the first week, and the hypoxic, inflammatory environment of injured tissue also impaired the paracrine function on which their benefit depends (11). Variation in the quality of MSC preparations between tissue sources adds further uncertainty (9). Taken together, these observations suggest that infused MSCs may act only briefly and inconsistently. Cells that lodge in the vasculature or die within days are unlikely to sustain the signaling that durable repair of irradiated lung would require.</w:t>
      </w:r>
    </w:p>
    <w:p>
      <w:pPr>
        <w:spacing w:after="160" w:line="360"/>
        <w:ind w:firstLine="425"/>
        <w:jc w:val="both"/>
      </w:pPr>
      <w:r>
        <w:t xml:space="preserve">These constraints concern the environment into which cells are delivered as much as the cells themselves, and this is where tissue engineering enters the argument. Lung bioengineering now includes artificial scaffolds, other biomaterial-based systems and acellular lung matrices, which are being explored as supports for cell survival and integration (12). In this approach, MSCs are seeded within a three-dimensional scaffold that mimics features of the native extracellular matrix (ECM) and provides structural and biochemical support (13). Each feature of the design answers a specific weakness of infusion. Local implantation removes the dependence on passage through the pulmonary microvasculature, an ECM-like substrate gives adherent cells a surface to attach to, and a defined niche may help preserve paracrine output for longer. A study of umbilical cord-derived MSCs (UC-MSCs) on a biomimetic scaffold illustrates what this can achieve experimentally. In rats after partial lung resection, the scaffold-borne cells exerted strong paracrine effects; some migrated into the lung and showed long-term retention, inflammation and fibrosis in the residual lung were reduced, and vascular endothelial cells and alveolar type II epithelial cells entered the scaffold (13). These findings indicate better retention and recruitment of host cells. They were obtained after surgical tissue loss, however, rather than radiation injury, in which the surrounding parenchyma is itself inflamed or fibrotic, and host-cell ingrowth into a scaffold is not equivalent to regeneration of gas-exchanging alveoli. It is useful to keep three aims apart: using a scaffold to deliver and sustain MSCs, reconstructing lung structure, and regenerating tissue that functions. The evidence discussed here bears mainly on the first two.</w:t>
      </w:r>
    </w:p>
    <w:p>
      <w:pPr>
        <w:spacing w:after="160" w:line="360"/>
        <w:ind w:firstLine="425"/>
        <w:jc w:val="both"/>
      </w:pPr>
      <w:r>
        <w:t xml:space="preserve">The relevant evidence thus comes from lines of research that have developed largely in parallel. Studies of RILI define its mechanisms and clinical course (2–4). Evidence for MSC activity derives mostly from infection, ARDS and injuries of other organs (6, 8, 10, 11), and scaffold-based MSC delivery has been tested in a surgical resection model (13). None of these sources shows durable functional restoration of irradiated lung in patients treated for NSCLC. Several questions follow. It remains unclear how far results from infection, kidney, liver or resection models apply to lung that has been irradiated and may already be fibrotic, whether reductions in inflammation, fibrosis or histological damage translate into measurable gains in pulmonary function, and how long any benefit lasts. Because the recipients are patients treated for cancer, the oncological safety of introducing MSCs, alone or on scaffolds, into previously irradiated lung has to be weighed alongside efficacy.</w:t>
      </w:r>
    </w:p>
    <w:p>
      <w:pPr>
        <w:spacing w:after="160" w:line="360"/>
        <w:ind w:firstLine="425"/>
        <w:jc w:val="both"/>
      </w:pPr>
      <w:r>
        <w:t xml:space="preserve">This review addresses that gap. Taking RILI as the form of post-treatment lung injury most directly represented in the available evidence, we first outline how pneumonitis progresses to fibrosis and why current management leaves structural damage largely unrepaired. We then assess the mechanisms proposed for MSC-mediated repair, separating paracrine and immunomodulatory effects from the weaker case for cell replacement, and examine the delivery and survival problems that limit MSC infusion. Finally, we evaluate scaffold- and matrix-based strategies for MSC delivery, asking which of these limitations they can overcome and what evidence, including oncological safety data, would be needed to show functional regeneration rather than structural reconstruction of lung tissue in patients after NSCLC treatment.</w:t>
      </w:r>
    </w:p>
    <w:p>
      <w:pPr>
        <w:spacing w:after="120" w:before="240"/>
      </w:pPr>
      <w:r>
        <w:rPr>
          <w:b/>
          <w:bCs/>
          <w:sz w:val="24"/>
          <w:szCs w:val="24"/>
        </w:rPr>
        <w:t xml:space="preserve">References (original list and numbering retained)</w:t>
      </w:r>
    </w:p>
    <w:p>
      <w:pPr>
        <w:spacing w:after="80"/>
        <w:ind w:left="360" w:hanging="360"/>
      </w:pPr>
      <w:r>
        <w:rPr>
          <w:sz w:val="20"/>
          <w:szCs w:val="20"/>
        </w:rPr>
        <w:t xml:space="preserve">1. Bensenane R, Helfre S, Cao K, Carton M, Champion L, Girard N, et al. Optimizing lung cancer radiation therapy: a systematic review of multifactorial risk assessment for radiation-induced lung toxicity. Cancer Treat Rev. 2024;124:102684. doi:10.1016/j.ctrv.2024.102684.</w:t>
      </w:r>
    </w:p>
    <w:p>
      <w:pPr>
        <w:spacing w:after="80"/>
        <w:ind w:left="360" w:hanging="360"/>
      </w:pPr>
      <w:r>
        <w:rPr>
          <w:sz w:val="20"/>
          <w:szCs w:val="20"/>
        </w:rPr>
        <w:t xml:space="preserve">2. Arroyo-Hernández M, Maldonado F, Lozano-Ruiz F, Muñoz-Montaño W, Nuñez-Baez M, Arrieta O. Radiation-induced lung injury: current evidence. BMC Pulm Med. 2021;21(1):9. doi:10.1186/s12890-020-01376-4.</w:t>
      </w:r>
    </w:p>
    <w:p>
      <w:pPr>
        <w:spacing w:after="80"/>
        <w:ind w:left="360" w:hanging="360"/>
      </w:pPr>
      <w:r>
        <w:rPr>
          <w:sz w:val="20"/>
          <w:szCs w:val="20"/>
        </w:rPr>
        <w:t xml:space="preserve">3. Jarzebska N, Karetnikova ES, Markov AG, Kasper M, Rodionov RN, Spieth PM. Scarred lung: an update on radiation-induced pulmonary fibrosis. Front Med (Lausanne). 2021;7:585756. doi:10.3389/fmed.2020.585756.</w:t>
      </w:r>
    </w:p>
    <w:p>
      <w:pPr>
        <w:spacing w:after="80"/>
        <w:ind w:left="360" w:hanging="360"/>
      </w:pPr>
      <w:r>
        <w:rPr>
          <w:sz w:val="20"/>
          <w:szCs w:val="20"/>
        </w:rPr>
        <w:t xml:space="preserve">4. Wang S, Xu D, Xiao L, Liu B, Yuan X. Radiation-induced lung injury: from mechanism to prognosis and drug therapy. Radiat Oncol. 2025;20(1):39. doi:10.1186/s13014-025-02617-8.</w:t>
      </w:r>
    </w:p>
    <w:p>
      <w:pPr>
        <w:spacing w:after="80"/>
        <w:ind w:left="360" w:hanging="360"/>
      </w:pPr>
      <w:r>
        <w:rPr>
          <w:sz w:val="20"/>
          <w:szCs w:val="20"/>
        </w:rPr>
        <w:t xml:space="preserve">5. Xiao K, Xie LX. Advances in mesenchymal stem cell-mediated tissue repair of lung injury. Chronic Dis Transl Med. 2021;7(2):75-78. doi:10.1016/j.cdtm.2021.02.002.</w:t>
      </w:r>
    </w:p>
    <w:p>
      <w:pPr>
        <w:spacing w:after="80"/>
        <w:ind w:left="360" w:hanging="360"/>
      </w:pPr>
      <w:r>
        <w:rPr>
          <w:sz w:val="20"/>
          <w:szCs w:val="20"/>
        </w:rPr>
        <w:t xml:space="preserve">6. Xiao K, Hou F, Huang X, Li B, Qian ZR, Xie L. Mesenchymal stem cells: current clinical progress in ARDS and COVID-19. Stem Cell Res Ther. 2020;11(1):305. doi:10.1186/s13287-020-01804-6.</w:t>
      </w:r>
    </w:p>
    <w:p>
      <w:pPr>
        <w:spacing w:after="80"/>
        <w:ind w:left="360" w:hanging="360"/>
      </w:pPr>
      <w:r>
        <w:rPr>
          <w:sz w:val="20"/>
          <w:szCs w:val="20"/>
        </w:rPr>
        <w:t xml:space="preserve">7. Pittenger MF, Mackay AM, Beck SC, Jaiswal RK, Douglas R, Mosca JD, et al. Multilineage potential of adult human mesenchymal stem cells. Science. 1999;284(5411):143-147. doi:10.1126/science.284.5411.143.</w:t>
      </w:r>
    </w:p>
    <w:p>
      <w:pPr>
        <w:spacing w:after="80"/>
        <w:ind w:left="360" w:hanging="360"/>
      </w:pPr>
      <w:r>
        <w:rPr>
          <w:sz w:val="20"/>
          <w:szCs w:val="20"/>
        </w:rPr>
        <w:t xml:space="preserve">8. Shi X, Liu J, Chen D, Zhu M, Yu J, Xie H, et al. MSC-triggered metabolomic alterations in liver-resident immune cells isolated from CCl4-induced mouse acute liver injury model. Exp Cell Res. 2019;383(2):111511. doi:10.1016/j.yexcr.2019.111511.</w:t>
      </w:r>
    </w:p>
    <w:p>
      <w:pPr>
        <w:spacing w:after="80"/>
        <w:ind w:left="360" w:hanging="360"/>
      </w:pPr>
      <w:r>
        <w:rPr>
          <w:sz w:val="20"/>
          <w:szCs w:val="20"/>
        </w:rPr>
        <w:t xml:space="preserve">9. Patel JC, Shukla M, Shukla M. From bench to bedside: translating mesenchymal stem cell therapies through preclinical and clinical evidence. Front Bioeng Biotechnol. 2025;13:1639439. doi:10.3389/fbioe.2025.1639439.</w:t>
      </w:r>
    </w:p>
    <w:p>
      <w:pPr>
        <w:spacing w:after="80"/>
        <w:ind w:left="360" w:hanging="360"/>
      </w:pPr>
      <w:r>
        <w:rPr>
          <w:sz w:val="20"/>
          <w:szCs w:val="20"/>
        </w:rPr>
        <w:t xml:space="preserve">10. Masterson CH, Tabuchi A, Hogan G, Fitzpatrick G, Kerrigan SW, Jerkic M, et al. Intra-vital imaging of mesenchymal stromal cell kinetics in the pulmonary vasculature during infection. Sci Rep. 2021;11(1):5265. doi:10.1038/s41598-021-83894-7.</w:t>
      </w:r>
    </w:p>
    <w:p>
      <w:pPr>
        <w:spacing w:after="80"/>
        <w:ind w:left="360" w:hanging="360"/>
      </w:pPr>
      <w:r>
        <w:rPr>
          <w:sz w:val="20"/>
          <w:szCs w:val="20"/>
        </w:rPr>
        <w:t xml:space="preserve">11. Zhao L, Hu C, Zhang P, Jiang H, Chen J. Preconditioning strategies for improving the survival rate and paracrine ability of mesenchymal stem cells in acute kidney injury. J Cell Mol Med. 2019;23(2):720-730. doi:10.1111/jcmm.14035.</w:t>
      </w:r>
    </w:p>
    <w:p>
      <w:pPr>
        <w:spacing w:after="80"/>
        <w:ind w:left="360" w:hanging="360"/>
      </w:pPr>
      <w:r>
        <w:rPr>
          <w:sz w:val="20"/>
          <w:szCs w:val="20"/>
        </w:rPr>
        <w:t xml:space="preserve">12. Hynds RE, Magin CM, et al. Stem cells, cell therapies, and bioengineering in lung biology and diseases 2023. Am J Physiol Lung Cell Mol Physiol. 2024;327(3):L327-L340. doi:10.1152/ajplung.00052.2024.</w:t>
      </w:r>
    </w:p>
    <w:p>
      <w:pPr>
        <w:spacing w:after="80"/>
        <w:ind w:left="360" w:hanging="360"/>
      </w:pPr>
      <w:r>
        <w:rPr>
          <w:sz w:val="20"/>
          <w:szCs w:val="20"/>
        </w:rPr>
        <w:t xml:space="preserve">13. Wang L, Feng M, Zhao Y, Chen B, Zhao Y, Dai J. Biomimetic scaffold-based stem cell transplantation promotes lung regeneration. Bioeng Transl Med. 2023;8(4):e10535. doi:10.1002/btm2.10535.</w:t>
      </w:r>
    </w:p>
    <w:p>
      <w:pPr>
        <w:pStyle w:val="Heading1"/>
        <w:spacing w:after="200" w:before="360"/>
      </w:pPr>
      <w:r>
        <w:t xml:space="preserve">B. Major Changes Made</w:t>
      </w:r>
    </w:p>
    <w:p>
      <w:pPr>
        <w:pStyle w:val="ListParagraph"/>
        <w:numPr>
          <w:ilvl w:val="0"/>
          <w:numId w:val="2"/>
        </w:numPr>
        <w:spacing w:after="100" w:line="300"/>
      </w:pPr>
      <w:r>
        <w:rPr>
          <w:b/>
          <w:bCs/>
        </w:rPr>
        <w:t xml:space="preserve">Built a single argument instead of a list of facts.</w:t>
      </w:r>
      <w:r>
        <w:t xml:space="preserve"> The original moved from epidemiology to MSC biology to scaffolds without explaining why each step followed. The revision follows one chain: radiotherapy for NSCLC → RP and RIPF (RILI) → why symptom control is not tissue repair → why MSCs are a candidate → why infused MSCs underperform → how scaffolds answer those specific failures → what remains unproven → the objective.</w:t>
      </w:r>
    </w:p>
    <w:p>
      <w:pPr>
        <w:pStyle w:val="ListParagraph"/>
        <w:numPr>
          <w:ilvl w:val="0"/>
          <w:numId w:val="2"/>
        </w:numPr>
        <w:spacing w:after="100" w:line="300"/>
      </w:pPr>
      <w:r>
        <w:rPr>
          <w:b/>
          <w:bCs/>
        </w:rPr>
        <w:t xml:space="preserve">Added the missing paragraph on mechanism and management (paragraph 2).</w:t>
      </w:r>
      <w:r>
        <w:t xml:space="preserve"> The original jumped from incidence figures straight to “repairing RILI is a fundamental problem.” The new paragraph explains the epithelial/endothelial → inflammatory → fibrotic cascade (ref. 4) and why supportive care leaves structure unrepaired (refs. 3, 4), so that the need for repair is derived rather than asserted.</w:t>
      </w:r>
    </w:p>
    <w:p>
      <w:pPr>
        <w:pStyle w:val="ListParagraph"/>
        <w:numPr>
          <w:ilvl w:val="0"/>
          <w:numId w:val="2"/>
        </w:numPr>
        <w:spacing w:after="100" w:line="300"/>
      </w:pPr>
      <w:r>
        <w:rPr>
          <w:b/>
          <w:bCs/>
        </w:rPr>
        <w:t xml:space="preserve">Reframed the MSC paragraph as a rationale, not an inventory.</w:t>
      </w:r>
      <w:r>
        <w:t xml:space="preserve"> Each property (homing, immunomodulation, differentiation) is now tied to a feature of RILI, and the paragraph states openly that the supporting data come from liver injury, ARDS and COVID-19. Differentiation into alveolar cells is demoted from an established property to a hypothesis, because ref. 7 shows only in vitro mesenchymal differentiation.</w:t>
      </w:r>
    </w:p>
    <w:p>
      <w:pPr>
        <w:pStyle w:val="ListParagraph"/>
        <w:numPr>
          <w:ilvl w:val="0"/>
          <w:numId w:val="2"/>
        </w:numPr>
        <w:spacing w:after="100" w:line="300"/>
      </w:pPr>
      <w:r>
        <w:rPr>
          <w:b/>
          <w:bCs/>
        </w:rPr>
        <w:t xml:space="preserve">Corrected the logic of the “pulmonary trapping” argument.</w:t>
      </w:r>
      <w:r>
        <w:t xml:space="preserve"> The original treated lung trapping as preventing MSCs from reaching their target, which is contradictory when the target is the lung. The revision explains that trapping delivers cells to the lung but leaves them in capillaries rather than injured alveoli, and that this was shown in an infection model (ref. 10).</w:t>
      </w:r>
    </w:p>
    <w:p>
      <w:pPr>
        <w:pStyle w:val="ListParagraph"/>
        <w:numPr>
          <w:ilvl w:val="0"/>
          <w:numId w:val="2"/>
        </w:numPr>
        <w:spacing w:after="100" w:line="300"/>
      </w:pPr>
      <w:r>
        <w:rPr>
          <w:b/>
          <w:bCs/>
        </w:rPr>
        <w:t xml:space="preserve">Made tissue engineering a response to named problems.</w:t>
      </w:r>
      <w:r>
        <w:t xml:space="preserve"> The original opened with an ungrammatical transition (“Not encouraging results from cell therapies’ models…”). Paragraph 5 now maps each scaffold feature to a limitation from paragraph 4 (vascular trapping, loss of anchorage, short-lived secretion) and separates delivery, structural reconstruction and functional regeneration.</w:t>
      </w:r>
    </w:p>
    <w:p>
      <w:pPr>
        <w:pStyle w:val="ListParagraph"/>
        <w:numPr>
          <w:ilvl w:val="0"/>
          <w:numId w:val="2"/>
        </w:numPr>
        <w:spacing w:after="100" w:line="300"/>
      </w:pPr>
      <w:r>
        <w:rPr>
          <w:b/>
          <w:bCs/>
        </w:rPr>
        <w:t xml:space="preserve">Put the key experimental study in its real context.</w:t>
      </w:r>
      <w:r>
        <w:t xml:space="preserve"> Ref. 13 is now described as a rat partial lung resection model, not radiation injury, and host-cell ingrowth is distinguished from regenerated alveoli.</w:t>
      </w:r>
    </w:p>
    <w:p>
      <w:pPr>
        <w:pStyle w:val="ListParagraph"/>
        <w:numPr>
          <w:ilvl w:val="0"/>
          <w:numId w:val="2"/>
        </w:numPr>
        <w:spacing w:after="100" w:line="300"/>
      </w:pPr>
      <w:r>
        <w:rPr>
          <w:b/>
          <w:bCs/>
        </w:rPr>
        <w:t xml:space="preserve">Added a defensible gap and a matching objective.</w:t>
      </w:r>
      <w:r>
        <w:t xml:space="preserve"> The original had no explicit gap, and its aim (“moving beyond simple reconstruction toward a truly regenerated lung”) was promotional. Paragraph 6 derives a narrow gap from the cited sources only, and paragraph 7 states a three-part scope that answers it, including oncological safety.</w:t>
      </w:r>
    </w:p>
    <w:p>
      <w:pPr>
        <w:pStyle w:val="ListParagraph"/>
        <w:numPr>
          <w:ilvl w:val="0"/>
          <w:numId w:val="2"/>
        </w:numPr>
        <w:spacing w:after="100" w:line="300"/>
      </w:pPr>
      <w:r>
        <w:rPr>
          <w:b/>
          <w:bCs/>
        </w:rPr>
        <w:t xml:space="preserve">Reduced unhelpful statistics.</w:t>
      </w:r>
      <w:r>
        <w:t xml:space="preserve"> “Over 2 million cases,” “about 80%,” and “31.4% prevalence” were removed; RIPF incidence was corrected from “up to half” to the 5%–50% range given in ref. 3 (see Section C).</w:t>
      </w:r>
    </w:p>
    <w:p>
      <w:pPr>
        <w:pStyle w:val="ListParagraph"/>
        <w:numPr>
          <w:ilvl w:val="0"/>
          <w:numId w:val="2"/>
        </w:numPr>
        <w:spacing w:after="100" w:line="300"/>
      </w:pPr>
      <w:r>
        <w:rPr>
          <w:b/>
          <w:bCs/>
        </w:rPr>
        <w:t xml:space="preserve">Language.</w:t>
      </w:r>
      <w:r>
        <w:t xml:space="preserve"> Fixed abbreviation errors (e.g., “radiation-induced pulmonary fibrosis)RIPF)”), capitalization, spacing and grammar; defined every abbreviation once; removed filler such as “unfortunately” and “somehow.”</w:t>
      </w:r>
    </w:p>
    <w:p>
      <w:pPr>
        <w:pStyle w:val="ListParagraph"/>
        <w:numPr>
          <w:ilvl w:val="0"/>
          <w:numId w:val="2"/>
        </w:numPr>
        <w:spacing w:after="100" w:line="300"/>
      </w:pPr>
      <w:r>
        <w:rPr>
          <w:b/>
          <w:bCs/>
        </w:rPr>
        <w:t xml:space="preserve">Citation numbering kept.</w:t>
      </w:r>
      <w:r>
        <w:t xml:space="preserve"> All 13 original reference numbers are retained with their original meaning, and in the revised text they still appear in first-citation order (1 → 13), so the reference list needs no renumbering.</w:t>
      </w:r>
    </w:p>
    <w:p>
      <w:pPr>
        <w:pStyle w:val="Heading1"/>
        <w:spacing w:after="200" w:before="360"/>
      </w:pPr>
      <w:r>
        <w:t xml:space="preserve">C. Citation / Scientific Issues to Check</w:t>
      </w:r>
    </w:p>
    <w:p>
      <w:pPr>
        <w:spacing w:after="200" w:line="300"/>
        <w:jc w:val="both"/>
      </w:pPr>
      <w:r>
        <w:t xml:space="preserve">How this was checked: PubMed and the journal sites could not be accessed directly from this environment. Abstracts or article summaries were obtained through web search for refs. 3, 4, 10 and 13; refs. 7 and 8 were assessed from their titles and well-known published content; refs. 1, 2, 5, 6, 9, 11 and 12 could not be read and are assessed </w:t>
      </w:r>
      <w:r>
        <w:rPr>
          <w:b/>
          <w:bCs/>
        </w:rPr>
        <w:t xml:space="preserve">provisionally</w:t>
      </w:r>
      <w:r>
        <w:t xml:space="preserve">. Nothing below should be taken as full-text verification. “Confirmed” means the mismatch is evident from the accessible abstract or title; “Unverified” means a concern that could not be settled with the material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700"/>
        <w:gridCol w:w="3300"/>
        <w:gridCol w:w="2776"/>
      </w:tblGrid>
      <w:tr>
        <w:trPr>
          <w:tblHeader/>
        </w:trPr>
        <w:tc>
          <w:tcPr>
            <w:tcW w:type="dxa" w:w="2250"/>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r>
              <w:rPr>
                <w:b/>
                <w:bCs/>
                <w:sz w:val="19"/>
                <w:szCs w:val="19"/>
              </w:rPr>
              <w:t xml:space="preserve">Claim or passage</w:t>
            </w:r>
          </w:p>
        </w:tc>
        <w:tc>
          <w:tcPr>
            <w:tcW w:type="dxa" w:w="700"/>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r>
              <w:rPr>
                <w:b/>
                <w:bCs/>
                <w:sz w:val="19"/>
                <w:szCs w:val="19"/>
              </w:rPr>
              <w:t xml:space="preserve">Ref.</w:t>
            </w:r>
          </w:p>
        </w:tc>
        <w:tc>
          <w:tcPr>
            <w:tcW w:type="dxa" w:w="3300"/>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r>
              <w:rPr>
                <w:b/>
                <w:bCs/>
                <w:sz w:val="19"/>
                <w:szCs w:val="19"/>
              </w:rPr>
              <w:t xml:space="preserve">Problem</w:t>
            </w:r>
          </w:p>
        </w:tc>
        <w:tc>
          <w:tcPr>
            <w:tcW w:type="dxa" w:w="2776"/>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r>
              <w:rPr>
                <w:b/>
                <w:bCs/>
                <w:sz w:val="19"/>
                <w:szCs w:val="19"/>
              </w:rPr>
              <w:t xml:space="preserve">Recommended action</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“Over 2 million new cases annually” and “NSCLC ≈ 80% of cases”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Unverified / likely secondary.</w:t>
            </w:r>
            <w:r>
              <w:rPr>
                <w:sz w:val="19"/>
                <w:szCs w:val="19"/>
              </w:rPr>
              <w:t xml:space="preserve"> Ref. 1 is a systematic review of risk assessment for radiation-induced lung toxicity, not an epidemiological source; the abstract could not be accessed.</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Numbers removed from the revised text; NSCLC proportion kept qualitatively (“most lung cancers”). If figures are wanted, cite a primary epidemiology source (e.g., registry data) in a later literature update.</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“15%–40% of NSCLC patients receiving CCRT develop significant RP”</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Unverified.</w:t>
            </w:r>
            <w:r>
              <w:rPr>
                <w:sz w:val="19"/>
                <w:szCs w:val="19"/>
              </w:rPr>
              <w:t xml:space="preserve"> Figure retained as in the original, but the toxicity grade (“significant” = grade ≥2? ≥3?), treatment technique and population could not be checked.</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Verify the exact figure and its definition in ref. 1 (or its primary source) and state the grade.</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RIPF “affects up to half of all irradiated patients” and “significantly limits long-term treatment options”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Confirmed overstatement.</w:t>
            </w:r>
            <w:r>
              <w:rPr>
                <w:sz w:val="19"/>
                <w:szCs w:val="19"/>
              </w:rPr>
              <w:t xml:space="preserve"> Ref. 3 gives a range of 5%–50%; quoting only the upper bound exaggerates the burden. The “limits treatment options” clause was not found in the accessible text.</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Revised to “reported in 5% to 50% of irradiated patients across studies.” Treatment-options clause removed unless verified.</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“RILI … has a prevalence of about 31.4%”</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4</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Unverified; population unclear.</w:t>
            </w:r>
            <w:r>
              <w:rPr>
                <w:sz w:val="19"/>
                <w:szCs w:val="19"/>
              </w:rPr>
              <w:t xml:space="preserve"> The figure could not be located in the accessible summary of ref. 4, and the population (all thoracic RT? NSCLC? which grade?) was not stated.</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Removed. Re-add only after checking the exact source, population and definition.</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“Clinical strategies have addressed RILI only after it appears … repairing RILI is also a fundamental problem”</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5</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Possibly mismatched.</w:t>
            </w:r>
            <w:r>
              <w:rPr>
                <w:sz w:val="19"/>
                <w:szCs w:val="19"/>
              </w:rPr>
              <w:t xml:space="preserve"> Ref. 5 is a short general perspective on MSC repair of lung injury; it is not clear that it discusses RILI management. Ref. 3 does state that current options are mainly supportive.</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Claim re-attributed to ref. 3 in the revision. Check whether ref. 5 mentions RILI at all.</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“MSCs extracted from the umbilical cord, placenta and amniotic fluid”</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6</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Incomplete.</w:t>
            </w:r>
            <w:r>
              <w:rPr>
                <w:sz w:val="19"/>
                <w:szCs w:val="19"/>
              </w:rPr>
              <w:t xml:space="preserve"> Bone marrow and adipose tissue are major MSC sources (ref. 7 itself uses bone marrow). Ref. 6 is an ARDS/COVID-19 review.</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Revised to “several tissues, including perinatal sources such as …”.</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MSCs “can differentiate into type I and type II alveolar epithelial cells, endothelial cells, fibroblasts … after transplantation into lungs”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7</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Confirmed mismatch.</w:t>
            </w:r>
            <w:r>
              <w:rPr>
                <w:sz w:val="19"/>
                <w:szCs w:val="19"/>
              </w:rPr>
              <w:t xml:space="preserve"> Pittenger et al. (1999) showed osteogenic, chondrogenic and adipogenic differentiation of bone marrow MSCs in vitro; the paper does not address lung transplantation or alveolar differentiation.</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Revised: ref. 7 now supports only in vitro multilineage potential, and alveolar differentiation is presented as an unproven hypothesis. If retained as a claim, lung-specific evidence is needed.</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MSCs “restore normal capillary permeability, effectively reducing pulmonary edema in injured lung tissue”</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Confirmed mismatch (organ).</w:t>
            </w:r>
            <w:r>
              <w:rPr>
                <w:sz w:val="19"/>
                <w:szCs w:val="19"/>
              </w:rPr>
              <w:t xml:space="preserve"> Ref. 8 studied metabolomic changes in liver-resident immune cells in a CCl4 mouse liver-injury model; it does not concern lung, edema or capillary permeability.</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Lung claim removed. Ref. 8 now supports only an indirect immunomodulation example in liver injury. Lung-specific evidence (e.g., ARDS or RILI models) is needed if the edema/permeability point is to return.</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“Fewer than 5% of intravenously administered MSCs reach and persist in target tissue … due to pulmonary trapping and anoikis-related cell death”</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10</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Confirmed mismatch in part; logically inconsistent.</w:t>
            </w:r>
            <w:r>
              <w:rPr>
                <w:sz w:val="19"/>
                <w:szCs w:val="19"/>
              </w:rPr>
              <w:t xml:space="preserve"> Ref. 10 is an intravital imaging study in mice with E. coli pneumonia showing mechanical arrest of MSCs at microvascular branch points and increased retention with infection. The “&lt;5%” figure and anoikis were not found in the accessible summary. For a lung target, pulmonary trapping is delivery to the lung, not failure to reach it.</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Revised to describe what ref. 10 showed and its infection context. Remove “&lt;5%” and anoikis or cite a source that reports them, and specify the target organ.</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“More than 80%–90% of transplanted cells die within the first week”</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11</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Indirect (organ) and unverified.</w:t>
            </w:r>
            <w:r>
              <w:rPr>
                <w:sz w:val="19"/>
                <w:szCs w:val="19"/>
              </w:rPr>
              <w:t xml:space="preserve"> Ref. 11 is a review of preconditioning strategies in acute kidney injury; the figure could not be checked and may come from a secondary source within it.</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Retained but explicitly attributed to acute kidney injury. Verify the figure and its primary source; consider whether lung-specific survival data exist.</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“MSC preparations show variability in quality across … tissues”; “critical challenges that hinder clinical translation”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9</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Unverified but plausible.</w:t>
            </w:r>
            <w:r>
              <w:rPr>
                <w:sz w:val="19"/>
                <w:szCs w:val="19"/>
              </w:rPr>
              <w:t xml:space="preserve"> Ref. 9 could not be accessed.</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Retained with neutral wording. Confirm that ref. 9 discusses source/manufacturing variability.</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“Artificial and acellular lung matrices … can support MSCs survival and integration”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12</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Weak source type.</w:t>
            </w:r>
            <w:r>
              <w:rPr>
                <w:sz w:val="19"/>
                <w:szCs w:val="19"/>
              </w:rPr>
              <w:t xml:space="preserve"> Ref. 12 appears to be a conference/meeting summary (“Stem cells, cell therapies, and bioengineering in lung biology and diseases 2023”), not a primary study; the specific MSC claim could not be checked.</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Softened to “are being explored as supports for cell survival and integration.” Primary studies on decellularized/acellular lung scaffolds should support the specific claim.</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UC-MSC biomimetic scaffold study: “often built from natural components such as collagen”, “long-term retention”, “promotes lung regeneration”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Confirmed indirect model.</w:t>
            </w:r>
            <w:r>
              <w:rPr>
                <w:sz w:val="19"/>
                <w:szCs w:val="19"/>
              </w:rPr>
              <w:t xml:space="preserve"> Ref. 13 used a rat partial lung resection model, not radiation injury. Scaffold material (collagen) and the duration meant by “long-term” were not confirmed in the accessible abstract; whether pulmonary function was measured is unknown.</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Revised to name the model and to separate host-cell recruitment from regeneration. Check the scaffold composition, retention time point and any lung-function endpoints before adding them.</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MSCs as “a leading candidate for lung injury repair strategies in post-cancer treatment”</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5</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Too broad.</w:t>
            </w:r>
            <w:r>
              <w:rPr>
                <w:sz w:val="19"/>
                <w:szCs w:val="19"/>
              </w:rPr>
              <w:t xml:space="preserve"> No reference in the list reports MSC use in RILI or in patients after NSCLC treatment.</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Removed. The revision describes MSCs as “investigated as one answer” to the repair problem.</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Oncological safety of MSCs in patients with a history of NSCLC (effects on residual tumor cells or the tumor microenvironment)</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None</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Missing evidence.</w:t>
            </w:r>
            <w:r>
              <w:rPr>
                <w:sz w:val="19"/>
                <w:szCs w:val="19"/>
              </w:rPr>
              <w:t xml:space="preserve"> The question is material for this population, but none of the 13 references addresses it.</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The revision raises it only as an open question, with no factual claim. Add references in the review body (literature search required) and discuss both pro- and anti-tumor findings.</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Lung injury from chemotherapy or immunotherapy</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2 (CCRT only)</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Scope limitation.</w:t>
            </w:r>
            <w:r>
              <w:rPr>
                <w:sz w:val="19"/>
                <w:szCs w:val="19"/>
              </w:rPr>
              <w:t xml:space="preserve"> The reference list covers radiation-related injury; no source supports drug-related lung toxicity.</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The revised objective states that RILI is the principal model. If the review covers other therapies, add supporting references.</w:t>
            </w:r>
          </w:p>
        </w:tc>
      </w:tr>
      <w:tr>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Gap statement: none of the cited sources shows durable functional restoration of irradiated lung in NSCLC patients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2–13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sz w:val="19"/>
                <w:szCs w:val="19"/>
              </w:rPr>
              <w:t xml:space="preserve">Derived only from the supplied reference set.</w:t>
            </w:r>
            <w:r>
              <w:rPr>
                <w:sz w:val="19"/>
                <w:szCs w:val="19"/>
              </w:rPr>
              <w:t xml:space="preserve"> It is deliberately narrow, but a structured literature search is needed to confirm that no such study exists.</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Confirm with a systematic search before submission; if relevant studies exist, cite them and narrow the gap further.</w:t>
            </w:r>
          </w:p>
        </w:tc>
      </w:tr>
    </w:tbl>
    <w:p>
      <w:pPr>
        <w:pStyle w:val="Heading1"/>
        <w:spacing w:after="200" w:before="360"/>
      </w:pPr>
      <w:r>
        <w:t xml:space="preserve">D. Final Coherence Check</w:t>
      </w:r>
    </w:p>
    <w:p>
      <w:pPr>
        <w:spacing w:after="160" w:line="360"/>
        <w:jc w:val="both"/>
      </w:pPr>
      <w:r>
        <w:t xml:space="preserve">The revised Introduction follows the required chain: NSCLC and its radiotherapy (paragraph 1) → RILI and its consequences, with the repair need derived from the mechanism and the limits of supportive care (paragraphs 1–2) → the MSC rationale (paragraph 3) → MSC delivery and survival limits (paragraph 4) → tissue engineering as a response to those named limits (paragraph 5) → a narrow, source-based gap (paragraph 6) → an objective that answers it (paragraph 7).</w:t>
      </w:r>
    </w:p>
    <w:p>
      <w:pPr>
        <w:spacing w:after="160" w:line="360"/>
        <w:jc w:val="both"/>
      </w:pPr>
      <w:r>
        <w:t xml:space="preserve">The main caveat is evidential rather than structural: most mechanistic support for MSCs and scaffolds comes from liver, kidney, infection and lung-resection models, and the text says so instead of hiding it. Several figures and attributions (refs. 1, 2, 5, 6, 9, 11, 12) remain provisional until checked against the full texts, and the oncological-safety point needs new references in the body of the review.</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28"/>
      <w:szCs w:val="28"/>
    </w:rPr>
  </w:style>
  <w:style w:type="paragraph" w:styleId="Title">
    <w:name w:val="Title"/>
    <w:basedOn w:val="Normal"/>
    <w:next w:val="Normal"/>
    <w:pPr>
      <w:spacing w:after="240"/>
      <w:jc w:val="center"/>
    </w:pPr>
    <w:rPr>
      <w:rFonts w:ascii="Times New Roman" w:cs="Times New Roman" w:eastAsia="Times New Roman" w:hAnsi="Times New Roman"/>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2026-10-08T12:00:56.322Z</dcterms:created>
  <dcterms:modified xsi:type="dcterms:W3CDTF">2026-10-08T12:00:56.322Z</dcterms:modified>
</cp:coreProperties>
</file>

<file path=docProps/custom.xml><?xml version="1.0" encoding="utf-8"?>
<Properties xmlns="http://schemas.openxmlformats.org/officeDocument/2006/custom-properties" xmlns:vt="http://schemas.openxmlformats.org/officeDocument/2006/docPropsVTypes"/>
</file>