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bidi/>
      </w:pPr>
      <w:r>
        <w:rPr>
          <w:color w:val="1F4E79"/>
        </w:rPr>
        <w:t>SAMI ERP</w:t>
      </w:r>
    </w:p>
    <w:p>
      <w:pPr>
        <w:pStyle w:val="Title"/>
        <w:spacing w:after="140"/>
        <w:jc w:val="center"/>
        <w:bidi/>
      </w:pPr>
      <w:r>
        <w:t>راهنمای بخش فروش سامانه SAMI</w:t>
      </w:r>
    </w:p>
    <w:p>
      <w:pPr>
        <w:pStyle w:val="Subtitle"/>
        <w:spacing w:after="140"/>
        <w:jc w:val="center"/>
        <w:bidi/>
      </w:pPr>
      <w:r>
        <w:t>این سند قابلیت‌ها و روند کاری بخش فروش را به زبان ساده توضیح می‌دهد.</w:t>
      </w:r>
    </w:p>
    <w:p>
      <w:r>
        <w:br w:type="page"/>
      </w:r>
    </w:p>
    <w:p>
      <w:pPr>
        <w:pStyle w:val="Heading1"/>
        <w:spacing w:after="140"/>
        <w:jc w:val="right"/>
        <w:bidi/>
      </w:pPr>
      <w:r>
        <w:t>۱. بخش فروش چه کاری انجام می‌دهد؟</w:t>
      </w:r>
    </w:p>
    <w:p>
      <w:pPr>
        <w:spacing w:after="140"/>
        <w:jc w:val="right"/>
        <w:bidi/>
      </w:pPr>
      <w:r>
        <w:t>بخش فروش سامانه SAMI روند فروش را از شروع ارتباط با مشتری تا ثبت دریافت وجه و اثر آن در امور مالی پوشش می‌دهد. هر مرحله سابقه مشخصی دارد و اطلاعات مرحله قبل برای ادامه کار در دسترس است.</w:t>
      </w:r>
    </w:p>
    <w:p>
      <w:pPr>
        <w:pStyle w:val="Heading1"/>
        <w:spacing w:after="140"/>
        <w:jc w:val="right"/>
        <w:bidi/>
      </w:pPr>
      <w:r>
        <w:t>۲. مسیر کلی فروش</w:t>
      </w:r>
    </w:p>
    <w:p>
      <w:pPr>
        <w:spacing w:after="140"/>
        <w:jc w:val="center"/>
        <w:bidi/>
      </w:pPr>
      <w:r>
        <w:t>مشتری  ↓  پیشنهاد فروش  ↓  سفارش فروش  ↓  تحویل کالا  ↓  فاکتور فروش  ↓  دریافت وجه  ↓  خزانه‌داری  ↓  حسابداری</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F4E78"/>
          </w:tcPr>
          <w:p>
            <w:pPr>
              <w:spacing w:after="140"/>
              <w:jc w:val="center"/>
              <w:bidi/>
            </w:pPr>
            <w:r>
              <w:rPr>
                <w:b/>
                <w:color w:val="FFFFFF"/>
              </w:rPr>
              <w:t>مرحله</w:t>
            </w:r>
          </w:p>
        </w:tc>
        <w:tc>
          <w:tcPr>
            <w:tcW w:type="dxa" w:w="4986"/>
            <w:vAlign w:val="center"/>
            <w:shd w:fill="1F4E78"/>
          </w:tcPr>
          <w:p>
            <w:pPr>
              <w:spacing w:after="140"/>
              <w:jc w:val="center"/>
              <w:bidi/>
            </w:pPr>
            <w:r>
              <w:rPr>
                <w:b/>
                <w:color w:val="FFFFFF"/>
              </w:rPr>
              <w:t>توضیح</w:t>
            </w:r>
          </w:p>
        </w:tc>
      </w:tr>
      <w:tr>
        <w:tc>
          <w:tcPr>
            <w:tcW w:type="dxa" w:w="4986"/>
            <w:vAlign w:val="center"/>
          </w:tcPr>
          <w:p>
            <w:pPr>
              <w:spacing w:after="140"/>
              <w:jc w:val="right"/>
              <w:bidi/>
            </w:pPr>
            <w:r>
              <w:t>مشتری</w:t>
            </w:r>
          </w:p>
        </w:tc>
        <w:tc>
          <w:tcPr>
            <w:tcW w:type="dxa" w:w="4986"/>
            <w:vAlign w:val="center"/>
          </w:tcPr>
          <w:p>
            <w:pPr>
              <w:spacing w:after="140"/>
              <w:jc w:val="right"/>
              <w:bidi/>
            </w:pPr>
            <w:r>
              <w:t>طرف معامله در فروش ثبت و انتخاب می‌شود.</w:t>
            </w:r>
          </w:p>
        </w:tc>
      </w:tr>
      <w:tr>
        <w:tc>
          <w:tcPr>
            <w:tcW w:type="dxa" w:w="4986"/>
            <w:vAlign w:val="center"/>
          </w:tcPr>
          <w:p>
            <w:pPr>
              <w:spacing w:after="140"/>
              <w:jc w:val="right"/>
              <w:bidi/>
            </w:pPr>
            <w:r>
              <w:t>پیشنهاد فروش</w:t>
            </w:r>
          </w:p>
        </w:tc>
        <w:tc>
          <w:tcPr>
            <w:tcW w:type="dxa" w:w="4986"/>
            <w:vAlign w:val="center"/>
          </w:tcPr>
          <w:p>
            <w:pPr>
              <w:spacing w:after="140"/>
              <w:jc w:val="right"/>
              <w:bidi/>
            </w:pPr>
            <w:r>
              <w:t>اقلام و قیمت پیشنهادی ثبت می‌شود.</w:t>
            </w:r>
          </w:p>
        </w:tc>
      </w:tr>
      <w:tr>
        <w:tc>
          <w:tcPr>
            <w:tcW w:type="dxa" w:w="4986"/>
            <w:vAlign w:val="center"/>
          </w:tcPr>
          <w:p>
            <w:pPr>
              <w:spacing w:after="140"/>
              <w:jc w:val="right"/>
              <w:bidi/>
            </w:pPr>
            <w:r>
              <w:t>سفارش فروش</w:t>
            </w:r>
          </w:p>
        </w:tc>
        <w:tc>
          <w:tcPr>
            <w:tcW w:type="dxa" w:w="4986"/>
            <w:vAlign w:val="center"/>
          </w:tcPr>
          <w:p>
            <w:pPr>
              <w:spacing w:after="140"/>
              <w:jc w:val="right"/>
              <w:bidi/>
            </w:pPr>
            <w:r>
              <w:t>پذیرش پیشنهاد و تعهد فروش ثبت می‌شود.</w:t>
            </w:r>
          </w:p>
        </w:tc>
      </w:tr>
      <w:tr>
        <w:tc>
          <w:tcPr>
            <w:tcW w:type="dxa" w:w="4986"/>
            <w:vAlign w:val="center"/>
          </w:tcPr>
          <w:p>
            <w:pPr>
              <w:spacing w:after="140"/>
              <w:jc w:val="right"/>
              <w:bidi/>
            </w:pPr>
            <w:r>
              <w:t>تحویل کالا</w:t>
            </w:r>
          </w:p>
        </w:tc>
        <w:tc>
          <w:tcPr>
            <w:tcW w:type="dxa" w:w="4986"/>
            <w:vAlign w:val="center"/>
          </w:tcPr>
          <w:p>
            <w:pPr>
              <w:spacing w:after="140"/>
              <w:jc w:val="right"/>
              <w:bidi/>
            </w:pPr>
            <w:r>
              <w:t>مقدار تحویلی ثبت و موجودی به‌روزرسانی می‌شود.</w:t>
            </w:r>
          </w:p>
        </w:tc>
      </w:tr>
      <w:tr>
        <w:tc>
          <w:tcPr>
            <w:tcW w:type="dxa" w:w="4986"/>
            <w:vAlign w:val="center"/>
          </w:tcPr>
          <w:p>
            <w:pPr>
              <w:spacing w:after="140"/>
              <w:jc w:val="right"/>
              <w:bidi/>
            </w:pPr>
            <w:r>
              <w:t>فاکتور فروش</w:t>
            </w:r>
          </w:p>
        </w:tc>
        <w:tc>
          <w:tcPr>
            <w:tcW w:type="dxa" w:w="4986"/>
            <w:vAlign w:val="center"/>
          </w:tcPr>
          <w:p>
            <w:pPr>
              <w:spacing w:after="140"/>
              <w:jc w:val="right"/>
              <w:bidi/>
            </w:pPr>
            <w:r>
              <w:t>سند مالی فروش صادر و مبلغ طلب مشخص می‌شود.</w:t>
            </w:r>
          </w:p>
        </w:tc>
      </w:tr>
      <w:tr>
        <w:tc>
          <w:tcPr>
            <w:tcW w:type="dxa" w:w="4986"/>
            <w:vAlign w:val="center"/>
          </w:tcPr>
          <w:p>
            <w:pPr>
              <w:spacing w:after="140"/>
              <w:jc w:val="right"/>
              <w:bidi/>
            </w:pPr>
            <w:r>
              <w:t>دریافت وجه</w:t>
            </w:r>
          </w:p>
        </w:tc>
        <w:tc>
          <w:tcPr>
            <w:tcW w:type="dxa" w:w="4986"/>
            <w:vAlign w:val="center"/>
          </w:tcPr>
          <w:p>
            <w:pPr>
              <w:spacing w:after="140"/>
              <w:jc w:val="right"/>
              <w:bidi/>
            </w:pPr>
            <w:r>
              <w:t>وجه مشتری ثبت و به فاکتور تخصیص می‌یابد.</w:t>
            </w:r>
          </w:p>
        </w:tc>
      </w:tr>
      <w:tr>
        <w:tc>
          <w:tcPr>
            <w:tcW w:type="dxa" w:w="4986"/>
            <w:vAlign w:val="center"/>
          </w:tcPr>
          <w:p>
            <w:pPr>
              <w:spacing w:after="140"/>
              <w:jc w:val="right"/>
              <w:bidi/>
            </w:pPr>
            <w:r>
              <w:t>خزانه‌داری</w:t>
            </w:r>
          </w:p>
        </w:tc>
        <w:tc>
          <w:tcPr>
            <w:tcW w:type="dxa" w:w="4986"/>
            <w:vAlign w:val="center"/>
          </w:tcPr>
          <w:p>
            <w:pPr>
              <w:spacing w:after="140"/>
              <w:jc w:val="right"/>
              <w:bidi/>
            </w:pPr>
            <w:r>
              <w:t>ورود وجه در حساب دریافت‌کننده ثبت می‌شود.</w:t>
            </w:r>
          </w:p>
        </w:tc>
      </w:tr>
      <w:tr>
        <w:tc>
          <w:tcPr>
            <w:tcW w:type="dxa" w:w="4986"/>
            <w:vAlign w:val="center"/>
          </w:tcPr>
          <w:p>
            <w:pPr>
              <w:spacing w:after="140"/>
              <w:jc w:val="right"/>
              <w:bidi/>
            </w:pPr>
            <w:r>
              <w:t>حسابداری</w:t>
            </w:r>
          </w:p>
        </w:tc>
        <w:tc>
          <w:tcPr>
            <w:tcW w:type="dxa" w:w="4986"/>
            <w:vAlign w:val="center"/>
          </w:tcPr>
          <w:p>
            <w:pPr>
              <w:spacing w:after="140"/>
              <w:jc w:val="right"/>
              <w:bidi/>
            </w:pPr>
            <w:r>
              <w:t>اثر مالی دریافت در حساب مرتبط ثبت می‌شود.</w:t>
            </w:r>
          </w:p>
        </w:tc>
      </w:tr>
    </w:tbl>
    <w:p/>
    <w:p>
      <w:pPr>
        <w:pStyle w:val="Heading1"/>
        <w:spacing w:after="140"/>
        <w:jc w:val="right"/>
        <w:bidi/>
      </w:pPr>
      <w:r>
        <w:t>۳. مشتری</w:t>
      </w:r>
    </w:p>
    <w:p>
      <w:pPr>
        <w:spacing w:after="140"/>
        <w:jc w:val="right"/>
        <w:bidi/>
      </w:pPr>
      <w:r>
        <w:t>کاربر می‌تواند مشتری را ثبت یا مدیریت کند و سپس همان مشتری را در اسناد فروش انتخاب نماید. اطلاعات مشتری به اسناد فروش متصل می‌ماند تا سوابق معامله قابل پیگیری باشد.</w:t>
      </w:r>
    </w:p>
    <w:p>
      <w:pPr>
        <w:pStyle w:val="Heading1"/>
        <w:spacing w:after="140"/>
        <w:jc w:val="right"/>
        <w:bidi/>
      </w:pPr>
      <w:r>
        <w:t>۴. پیشنهاد فروش</w:t>
      </w:r>
    </w:p>
    <w:p>
      <w:pPr>
        <w:spacing w:after="140"/>
        <w:jc w:val="right"/>
        <w:bidi/>
      </w:pPr>
      <w:r>
        <w:t>پیشنهاد فروش برای اعلام قیمت و شرایط استفاده می‌شود. مشتری، اقلام، تعداد، قیمت و توضیحات در آن ثبت می‌شوند. پیشنهاد صادرشده می‌تواند به سفارش فروش تبدیل شود.</w:t>
      </w:r>
    </w:p>
    <w:p>
      <w:pPr>
        <w:pStyle w:val="Heading1"/>
        <w:spacing w:after="140"/>
        <w:jc w:val="right"/>
        <w:bidi/>
      </w:pPr>
      <w:r>
        <w:t>۵. سفارش فروش</w:t>
      </w:r>
    </w:p>
    <w:p>
      <w:pPr>
        <w:spacing w:after="140"/>
        <w:jc w:val="right"/>
        <w:bidi/>
      </w:pPr>
      <w:r>
        <w:t>سفارش فروش می‌تواند از پیشنهاد صادرشده ایجاد شود یا مستقیماً ثبت گردد. اقلام، تعداد، مبلغ و وضعیت سفارش در ادامه تحویل و صدور فاکتور استفاده می‌شوند.</w:t>
      </w:r>
    </w:p>
    <w:p>
      <w:pPr>
        <w:pStyle w:val="Heading1"/>
        <w:spacing w:after="140"/>
        <w:jc w:val="right"/>
        <w:bidi/>
      </w:pPr>
      <w:r>
        <w:t>۶. تحویل کالا</w:t>
      </w:r>
    </w:p>
    <w:p>
      <w:pPr>
        <w:spacing w:after="140"/>
        <w:jc w:val="right"/>
        <w:bidi/>
      </w:pPr>
      <w:r>
        <w:t>کالاهای سفارش در مرحله تحویل ثبت می‌شوند. تأیید تحویل اثر خود را بر موجودی می‌گذارد و برای تحویل جزئی، مقدار باقی‌مانده قابل مشاهده است.</w:t>
      </w:r>
    </w:p>
    <w:p>
      <w:pPr>
        <w:pStyle w:val="Heading1"/>
        <w:spacing w:after="140"/>
        <w:jc w:val="right"/>
        <w:bidi/>
      </w:pPr>
      <w:r>
        <w:t>۷. فاکتور فروش</w:t>
      </w:r>
    </w:p>
    <w:p>
      <w:pPr>
        <w:spacing w:after="140"/>
        <w:jc w:val="right"/>
        <w:bidi/>
      </w:pPr>
      <w:r>
        <w:t>فاکتور از سفارش و تحویل ایجاد می‌شود. فاکتور ابتدا پیش‌نویس است و پس از صدور، مبلغ آن برای دریافت وجه قابل پیگیری خواهد بود.</w:t>
      </w:r>
    </w:p>
    <w:p>
      <w:pPr>
        <w:pStyle w:val="Heading1"/>
        <w:spacing w:after="140"/>
        <w:jc w:val="right"/>
        <w:bidi/>
      </w:pPr>
      <w:r>
        <w:t>۸. دریافت وجه</w:t>
      </w:r>
    </w:p>
    <w:p>
      <w:pPr>
        <w:spacing w:after="140"/>
        <w:jc w:val="right"/>
        <w:bidi/>
      </w:pPr>
      <w:r>
        <w:t>کاربر دریافت وجه را به نام مشتری ثبت می‌کند، فاکتور مربوط را انتخاب می‌نماید و مبلغ را به آن تخصیص می‌دهد. دریافت می‌تواند کامل یا بخشی از مبلغ فاکتور باشد. سامانه از دریافت بیشتر از مبلغ قابل دریافت جلوگیری می‌کند. با تأیید دریافت، عملیات مالی انجام می‌شود و تأیید دوباره همان دریافت، مبلغ را دوباره ثبت نمی‌کند.</w:t>
      </w:r>
    </w:p>
    <w:p>
      <w:pPr>
        <w:pStyle w:val="Heading1"/>
        <w:spacing w:after="140"/>
        <w:jc w:val="right"/>
        <w:bidi/>
      </w:pPr>
      <w:r>
        <w:t>۹. خزانه‌داری</w:t>
      </w:r>
    </w:p>
    <w:p>
      <w:pPr>
        <w:spacing w:after="140"/>
        <w:jc w:val="right"/>
        <w:bidi/>
      </w:pPr>
      <w:r>
        <w:t>پس از تأیید دریافت، اثر مالی وجه در حساب خزانه انتخاب‌شده ثبت می‌شود و ارتباط آن با رسید دریافت حفظ می‌گردد.</w:t>
      </w:r>
    </w:p>
    <w:p>
      <w:pPr>
        <w:pStyle w:val="Heading1"/>
        <w:spacing w:after="140"/>
        <w:jc w:val="right"/>
        <w:bidi/>
      </w:pPr>
      <w:r>
        <w:t>۱۰. حسابداری</w:t>
      </w:r>
    </w:p>
    <w:p>
      <w:pPr>
        <w:spacing w:after="140"/>
        <w:jc w:val="right"/>
        <w:bidi/>
      </w:pPr>
      <w:r>
        <w:t>دریافت ثبت‌شده اثر خود را در حساب‌های مالی مرتبط ایجاد می‌کند و مرجع آن برای پیگیری مالی در دسترس است.</w:t>
      </w:r>
    </w:p>
    <w:p>
      <w:pPr>
        <w:pStyle w:val="Heading1"/>
        <w:spacing w:after="140"/>
        <w:jc w:val="right"/>
        <w:bidi/>
      </w:pPr>
      <w:r>
        <w:t>۱۱. کنترل دسترسی</w:t>
      </w:r>
    </w:p>
    <w:p>
      <w:pPr>
        <w:spacing w:after="140"/>
        <w:jc w:val="right"/>
        <w:bidi/>
      </w:pPr>
      <w:r>
        <w:t>هر کاربر فقط اطلاعات و عملیات محدوده کاری مجاز خود را می‌بیند. برای مثال، کاربری که به شرکت یا شعبه‌ای دسترسی ندارد، نمی‌تواند رسید یا فاکتور آن محدوده را تأیید کند.</w:t>
      </w:r>
    </w:p>
    <w:p>
      <w:pPr>
        <w:pStyle w:val="Heading1"/>
        <w:spacing w:after="140"/>
        <w:jc w:val="right"/>
        <w:bidi/>
      </w:pPr>
      <w:r>
        <w:t>۱۲. کنترل‌های مهم فروش</w:t>
      </w:r>
    </w:p>
    <w:p>
      <w:pPr>
        <w:pStyle w:val="ListBullet"/>
        <w:spacing w:after="140"/>
        <w:jc w:val="right"/>
        <w:bidi/>
      </w:pPr>
      <w:r>
        <w:t>جلوگیری از دریافت بیشتر از مبلغ فاکتور</w:t>
      </w:r>
    </w:p>
    <w:p>
      <w:pPr>
        <w:pStyle w:val="ListBullet"/>
        <w:spacing w:after="140"/>
        <w:jc w:val="right"/>
        <w:bidi/>
      </w:pPr>
      <w:r>
        <w:t>جلوگیری از ثبت دوباره دریافت</w:t>
      </w:r>
    </w:p>
    <w:p>
      <w:pPr>
        <w:pStyle w:val="ListBullet"/>
        <w:spacing w:after="140"/>
        <w:jc w:val="right"/>
        <w:bidi/>
      </w:pPr>
      <w:r>
        <w:t>جلوگیری از عملیات خارج از محدوده مجاز</w:t>
      </w:r>
    </w:p>
    <w:p>
      <w:pPr>
        <w:pStyle w:val="ListBullet"/>
        <w:spacing w:after="140"/>
        <w:jc w:val="right"/>
        <w:bidi/>
      </w:pPr>
      <w:r>
        <w:t>حفظ سازگاری اطلاعات در صورت بروز خطا</w:t>
      </w:r>
    </w:p>
    <w:p>
      <w:pPr>
        <w:pStyle w:val="ListBullet"/>
        <w:spacing w:after="140"/>
        <w:jc w:val="right"/>
        <w:bidi/>
      </w:pPr>
      <w:r>
        <w:t>ثبت سوابق عملیات مهم</w:t>
      </w:r>
    </w:p>
    <w:p>
      <w:pPr>
        <w:pStyle w:val="Heading1"/>
        <w:spacing w:after="140"/>
        <w:jc w:val="right"/>
        <w:bidi/>
      </w:pPr>
      <w:r>
        <w:t>۱۳. یک مثال واقعی</w:t>
      </w:r>
    </w:p>
    <w:p>
      <w:pPr>
        <w:spacing w:after="140"/>
        <w:jc w:val="right"/>
        <w:bidi/>
      </w:pPr>
      <w:r>
        <w:t>فرض کنیم مشتری ۱۰۰ میلیون تومان کالا خریداری می‌کند: مشتری ثبت می‌شود، پیشنهاد و سفارش ایجاد می‌گردد، کالا تحویل و فاکتور ۱۰۰ میلیون تومانی صادر می‌شود. مشتری ابتدا ۴۰ میلیون تومان پرداخت می‌کند؛ سامانه همان ۴۰ میلیون را برای فاکتور ثبت می‌کند. بعداً ۶۰ میلیون باقی‌مانده پرداخت می‌شود و هر دو دریافت در امور مالی قابل پیگیری هستند.</w:t>
      </w:r>
    </w:p>
    <w:p>
      <w:pPr>
        <w:pStyle w:val="Heading1"/>
        <w:spacing w:after="140"/>
        <w:jc w:val="right"/>
        <w:bidi/>
      </w:pPr>
      <w:r>
        <w:t>۱۴. وضعیت قابلیت‌های فروش</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F4E78"/>
          </w:tcPr>
          <w:p>
            <w:pPr>
              <w:spacing w:after="140"/>
              <w:jc w:val="center"/>
              <w:bidi/>
            </w:pPr>
            <w:r>
              <w:rPr>
                <w:b/>
                <w:color w:val="FFFFFF"/>
              </w:rPr>
              <w:t>قابلیت</w:t>
            </w:r>
          </w:p>
        </w:tc>
        <w:tc>
          <w:tcPr>
            <w:tcW w:type="dxa" w:w="4986"/>
            <w:vAlign w:val="center"/>
            <w:shd w:fill="1F4E78"/>
          </w:tcPr>
          <w:p>
            <w:pPr>
              <w:spacing w:after="140"/>
              <w:jc w:val="center"/>
              <w:bidi/>
            </w:pPr>
            <w:r>
              <w:rPr>
                <w:b/>
                <w:color w:val="FFFFFF"/>
              </w:rPr>
              <w:t>وضعیت</w:t>
            </w:r>
          </w:p>
        </w:tc>
      </w:tr>
      <w:tr>
        <w:tc>
          <w:tcPr>
            <w:tcW w:type="dxa" w:w="4986"/>
            <w:vAlign w:val="center"/>
          </w:tcPr>
          <w:p>
            <w:pPr>
              <w:spacing w:after="140"/>
              <w:jc w:val="right"/>
              <w:bidi/>
            </w:pPr>
            <w:r>
              <w:t>مشتریان</w:t>
            </w:r>
          </w:p>
        </w:tc>
        <w:tc>
          <w:tcPr>
            <w:tcW w:type="dxa" w:w="4986"/>
            <w:vAlign w:val="center"/>
          </w:tcPr>
          <w:p>
            <w:pPr>
              <w:spacing w:after="140"/>
              <w:jc w:val="right"/>
              <w:bidi/>
            </w:pPr>
            <w:r>
              <w:t>آماده</w:t>
            </w:r>
          </w:p>
        </w:tc>
      </w:tr>
      <w:tr>
        <w:tc>
          <w:tcPr>
            <w:tcW w:type="dxa" w:w="4986"/>
            <w:vAlign w:val="center"/>
          </w:tcPr>
          <w:p>
            <w:pPr>
              <w:spacing w:after="140"/>
              <w:jc w:val="right"/>
              <w:bidi/>
            </w:pPr>
            <w:r>
              <w:t>پیشنهاد فروش</w:t>
            </w:r>
          </w:p>
        </w:tc>
        <w:tc>
          <w:tcPr>
            <w:tcW w:type="dxa" w:w="4986"/>
            <w:vAlign w:val="center"/>
          </w:tcPr>
          <w:p>
            <w:pPr>
              <w:spacing w:after="140"/>
              <w:jc w:val="right"/>
              <w:bidi/>
            </w:pPr>
            <w:r>
              <w:t>آماده</w:t>
            </w:r>
          </w:p>
        </w:tc>
      </w:tr>
      <w:tr>
        <w:tc>
          <w:tcPr>
            <w:tcW w:type="dxa" w:w="4986"/>
            <w:vAlign w:val="center"/>
          </w:tcPr>
          <w:p>
            <w:pPr>
              <w:spacing w:after="140"/>
              <w:jc w:val="right"/>
              <w:bidi/>
            </w:pPr>
            <w:r>
              <w:t>سفارش فروش</w:t>
            </w:r>
          </w:p>
        </w:tc>
        <w:tc>
          <w:tcPr>
            <w:tcW w:type="dxa" w:w="4986"/>
            <w:vAlign w:val="center"/>
          </w:tcPr>
          <w:p>
            <w:pPr>
              <w:spacing w:after="140"/>
              <w:jc w:val="right"/>
              <w:bidi/>
            </w:pPr>
            <w:r>
              <w:t>آماده</w:t>
            </w:r>
          </w:p>
        </w:tc>
      </w:tr>
      <w:tr>
        <w:tc>
          <w:tcPr>
            <w:tcW w:type="dxa" w:w="4986"/>
            <w:vAlign w:val="center"/>
          </w:tcPr>
          <w:p>
            <w:pPr>
              <w:spacing w:after="140"/>
              <w:jc w:val="right"/>
              <w:bidi/>
            </w:pPr>
            <w:r>
              <w:t>تحویل کالا</w:t>
            </w:r>
          </w:p>
        </w:tc>
        <w:tc>
          <w:tcPr>
            <w:tcW w:type="dxa" w:w="4986"/>
            <w:vAlign w:val="center"/>
          </w:tcPr>
          <w:p>
            <w:pPr>
              <w:spacing w:after="140"/>
              <w:jc w:val="right"/>
              <w:bidi/>
            </w:pPr>
            <w:r>
              <w:t>آماده</w:t>
            </w:r>
          </w:p>
        </w:tc>
      </w:tr>
      <w:tr>
        <w:tc>
          <w:tcPr>
            <w:tcW w:type="dxa" w:w="4986"/>
            <w:vAlign w:val="center"/>
          </w:tcPr>
          <w:p>
            <w:pPr>
              <w:spacing w:after="140"/>
              <w:jc w:val="right"/>
              <w:bidi/>
            </w:pPr>
            <w:r>
              <w:t>فاکتور فروش</w:t>
            </w:r>
          </w:p>
        </w:tc>
        <w:tc>
          <w:tcPr>
            <w:tcW w:type="dxa" w:w="4986"/>
            <w:vAlign w:val="center"/>
          </w:tcPr>
          <w:p>
            <w:pPr>
              <w:spacing w:after="140"/>
              <w:jc w:val="right"/>
              <w:bidi/>
            </w:pPr>
            <w:r>
              <w:t>آماده</w:t>
            </w:r>
          </w:p>
        </w:tc>
      </w:tr>
      <w:tr>
        <w:tc>
          <w:tcPr>
            <w:tcW w:type="dxa" w:w="4986"/>
            <w:vAlign w:val="center"/>
          </w:tcPr>
          <w:p>
            <w:pPr>
              <w:spacing w:after="140"/>
              <w:jc w:val="right"/>
              <w:bidi/>
            </w:pPr>
            <w:r>
              <w:t>دریافت وجه</w:t>
            </w:r>
          </w:p>
        </w:tc>
        <w:tc>
          <w:tcPr>
            <w:tcW w:type="dxa" w:w="4986"/>
            <w:vAlign w:val="center"/>
          </w:tcPr>
          <w:p>
            <w:pPr>
              <w:spacing w:after="140"/>
              <w:jc w:val="right"/>
              <w:bidi/>
            </w:pPr>
            <w:r>
              <w:t>آماده</w:t>
            </w:r>
          </w:p>
        </w:tc>
      </w:tr>
      <w:tr>
        <w:tc>
          <w:tcPr>
            <w:tcW w:type="dxa" w:w="4986"/>
            <w:vAlign w:val="center"/>
          </w:tcPr>
          <w:p>
            <w:pPr>
              <w:spacing w:after="140"/>
              <w:jc w:val="right"/>
              <w:bidi/>
            </w:pPr>
            <w:r>
              <w:t>ارتباط با خزانه‌داری</w:t>
            </w:r>
          </w:p>
        </w:tc>
        <w:tc>
          <w:tcPr>
            <w:tcW w:type="dxa" w:w="4986"/>
            <w:vAlign w:val="center"/>
          </w:tcPr>
          <w:p>
            <w:pPr>
              <w:spacing w:after="140"/>
              <w:jc w:val="right"/>
              <w:bidi/>
            </w:pPr>
            <w:r>
              <w:t>آماده</w:t>
            </w:r>
          </w:p>
        </w:tc>
      </w:tr>
      <w:tr>
        <w:tc>
          <w:tcPr>
            <w:tcW w:type="dxa" w:w="4986"/>
            <w:vAlign w:val="center"/>
          </w:tcPr>
          <w:p>
            <w:pPr>
              <w:spacing w:after="140"/>
              <w:jc w:val="right"/>
              <w:bidi/>
            </w:pPr>
            <w:r>
              <w:t>ارتباط با حسابداری</w:t>
            </w:r>
          </w:p>
        </w:tc>
        <w:tc>
          <w:tcPr>
            <w:tcW w:type="dxa" w:w="4986"/>
            <w:vAlign w:val="center"/>
          </w:tcPr>
          <w:p>
            <w:pPr>
              <w:spacing w:after="140"/>
              <w:jc w:val="right"/>
              <w:bidi/>
            </w:pPr>
            <w:r>
              <w:t>آماده</w:t>
            </w:r>
          </w:p>
        </w:tc>
      </w:tr>
      <w:tr>
        <w:tc>
          <w:tcPr>
            <w:tcW w:type="dxa" w:w="4986"/>
            <w:vAlign w:val="center"/>
          </w:tcPr>
          <w:p>
            <w:pPr>
              <w:spacing w:after="140"/>
              <w:jc w:val="right"/>
              <w:bidi/>
            </w:pPr>
            <w:r>
              <w:t>کنترل دسترسی</w:t>
            </w:r>
          </w:p>
        </w:tc>
        <w:tc>
          <w:tcPr>
            <w:tcW w:type="dxa" w:w="4986"/>
            <w:vAlign w:val="center"/>
          </w:tcPr>
          <w:p>
            <w:pPr>
              <w:spacing w:after="140"/>
              <w:jc w:val="right"/>
              <w:bidi/>
            </w:pPr>
            <w:r>
              <w:t>آماده</w:t>
            </w:r>
          </w:p>
        </w:tc>
      </w:tr>
      <w:tr>
        <w:tc>
          <w:tcPr>
            <w:tcW w:type="dxa" w:w="4986"/>
            <w:vAlign w:val="center"/>
          </w:tcPr>
          <w:p>
            <w:pPr>
              <w:spacing w:after="140"/>
              <w:jc w:val="right"/>
              <w:bidi/>
            </w:pPr>
            <w:r>
              <w:t>کنترل دریافت‌های تکراری</w:t>
            </w:r>
          </w:p>
        </w:tc>
        <w:tc>
          <w:tcPr>
            <w:tcW w:type="dxa" w:w="4986"/>
            <w:vAlign w:val="center"/>
          </w:tcPr>
          <w:p>
            <w:pPr>
              <w:spacing w:after="140"/>
              <w:jc w:val="right"/>
              <w:bidi/>
            </w:pPr>
            <w:r>
              <w:t>آماده</w:t>
            </w:r>
          </w:p>
        </w:tc>
      </w:tr>
    </w:tbl>
    <w:p/>
    <w:p>
      <w:pPr>
        <w:pStyle w:val="Heading1"/>
        <w:spacing w:after="140"/>
        <w:jc w:val="right"/>
        <w:bidi/>
      </w:pPr>
      <w:r>
        <w:t>۱۵. جمع‌بندی</w:t>
      </w:r>
    </w:p>
    <w:p>
      <w:pPr>
        <w:spacing w:after="140"/>
        <w:jc w:val="right"/>
        <w:bidi/>
      </w:pPr>
      <w:r>
        <w:t>بخش فروش اکنون فرآیند فروش را از مشتری تا دریافت وجه و ثبت اثر مالی آن پوشش می‌دهد و آماده بررسی و استفاده توسط کارفرماست.</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40"/>
      <w:jc w:val="center"/>
      <w:bidi/>
    </w:pPr>
    <w:r>
      <w:t>SAMI ERP | راهنمای بخش فروش</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eastAsia="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azirmatn" w:hAnsi="Vazirmatn" w:eastAsia="Vazirmat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azirmatn" w:hAnsi="Vazirmatn" w:eastAsia="Vazirmat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azirmatn" w:hAnsi="Vazirmatn" w:eastAsia="Vazirmat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