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line="264" w:lineRule="auto"/>
        <w:jc w:val="right"/>
        <w:keepNext/>
        <w:bidi/>
      </w:pPr>
      <w:r>
        <w:rPr>
          <w:rFonts w:ascii="Arial" w:hAnsi="Arial" w:cs="Arial"/>
          <w:b/>
          <w:i w:val="0"/>
          <w:color w:val="17365D"/>
          <w:sz w:val="46"/>
          <w:rtl/>
        </w:rPr>
        <w:t>گزارش کنترل و تطبیق بسته مهاجرت</w:t>
      </w:r>
    </w:p>
    <w:p>
      <w:pPr>
        <w:spacing w:before="0" w:after="320" w:line="264" w:lineRule="auto"/>
        <w:jc w:val="right"/>
        <w:keepNext/>
        <w:bidi/>
      </w:pPr>
      <w:r>
        <w:rPr>
          <w:rFonts w:ascii="Arial" w:hAnsi="Arial" w:cs="Arial"/>
          <w:b/>
          <w:i w:val="0"/>
          <w:color w:val="2E74B5"/>
          <w:sz w:val="30"/>
          <w:rtl/>
        </w:rPr>
        <w:t>حسابداری آسان → SAMI ERP</w:t>
      </w:r>
    </w:p>
    <w:tbl>
      <w:tblPr>
        <w:tblStyle w:val="TableGrid"/>
        <w:tblW w:type="dxa" w:w="9360"/>
        <w:jc w:val="left"/>
        <w:tblLayout w:type="fixed"/>
        <w:tblLook w:firstColumn="1" w:firstRow="1" w:lastColumn="0" w:lastRow="0" w:noHBand="0" w:noVBand="1" w:val="04A0"/>
        <w:tblInd w:w="120" w:type="dxa"/>
        <w:bidiVisual/>
      </w:tblPr>
      <w:tblGrid>
        <w:gridCol w:w="2300"/>
        <w:gridCol w:w="7060"/>
      </w:tblGrid>
      <w:tr>
        <w:trPr>
          <w:tblHeader/>
        </w:trPr>
        <w:tc>
          <w:tcPr>
            <w:tcW w:type="dxa" w:w="2300"/>
            <w:shd w:fill="17365D"/>
            <w:tcMar>
              <w:top w:w="80" w:type="dxa"/>
              <w:start w:w="120" w:type="dxa"/>
              <w:bottom w:w="80" w:type="dxa"/>
              <w:end w:w="120" w:type="dxa"/>
            </w:tcMar>
            <w:vAlign w:val="center"/>
          </w:tcPr>
          <w:p>
            <w:pPr>
              <w:spacing w:before="0" w:after="0" w:line="252" w:lineRule="auto"/>
              <w:jc w:val="center"/>
              <w:bidi/>
            </w:pPr>
            <w:r/>
            <w:r>
              <w:rPr>
                <w:rFonts w:ascii="Arial" w:hAnsi="Arial" w:cs="Arial"/>
                <w:b/>
                <w:i w:val="0"/>
                <w:color w:val="FFFFFF"/>
                <w:sz w:val="18"/>
                <w:rtl/>
              </w:rPr>
              <w:t>مشخصه</w:t>
            </w:r>
          </w:p>
        </w:tc>
        <w:tc>
          <w:tcPr>
            <w:tcW w:type="dxa" w:w="7060"/>
            <w:shd w:fill="17365D"/>
            <w:tcMar>
              <w:top w:w="80" w:type="dxa"/>
              <w:start w:w="120" w:type="dxa"/>
              <w:bottom w:w="80" w:type="dxa"/>
              <w:end w:w="120" w:type="dxa"/>
            </w:tcMar>
            <w:vAlign w:val="center"/>
          </w:tcPr>
          <w:p>
            <w:pPr>
              <w:spacing w:before="0" w:after="0" w:line="252" w:lineRule="auto"/>
              <w:jc w:val="center"/>
              <w:bidi/>
            </w:pPr>
            <w:r/>
            <w:r>
              <w:rPr>
                <w:rFonts w:ascii="Arial" w:hAnsi="Arial" w:cs="Arial"/>
                <w:b/>
                <w:i w:val="0"/>
                <w:color w:val="FFFFFF"/>
                <w:sz w:val="18"/>
                <w:rtl/>
              </w:rPr>
              <w:t>مقدار</w:t>
            </w:r>
          </w:p>
        </w:tc>
      </w:tr>
      <w:tr>
        <w:tc>
          <w:tcPr>
            <w:tcW w:type="dxa" w:w="23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7"/>
                <w:rtl/>
              </w:rPr>
              <w:t>نسخه گزارش</w:t>
            </w:r>
          </w:p>
        </w:tc>
        <w:tc>
          <w:tcPr>
            <w:tcW w:type="dxa" w:w="706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7"/>
                <w:rtl/>
              </w:rPr>
              <w:t>1.0 - قابل ارائه به کارفرما</w:t>
            </w:r>
          </w:p>
        </w:tc>
      </w:tr>
      <w:tr>
        <w:tc>
          <w:tcPr>
            <w:tcW w:type="dxa" w:w="23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7"/>
                <w:rtl/>
              </w:rPr>
              <w:t>تاریخ بررسی</w:t>
            </w:r>
          </w:p>
        </w:tc>
        <w:tc>
          <w:tcPr>
            <w:tcW w:type="dxa" w:w="706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7"/>
                <w:rtl/>
              </w:rPr>
              <w:t>2026-08-19 / 1405/05/28</w:t>
            </w:r>
          </w:p>
        </w:tc>
      </w:tr>
      <w:tr>
        <w:tc>
          <w:tcPr>
            <w:tcW w:type="dxa" w:w="23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7"/>
                <w:rtl/>
              </w:rPr>
              <w:t>بسته بررسی‌شده</w:t>
            </w:r>
          </w:p>
        </w:tc>
        <w:tc>
          <w:tcPr>
            <w:tcW w:type="dxa" w:w="706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7"/>
                <w:rtl/>
              </w:rPr>
              <w:t>SAMI_ERP_Migration_Package.zip</w:t>
            </w:r>
          </w:p>
        </w:tc>
      </w:tr>
      <w:tr>
        <w:tc>
          <w:tcPr>
            <w:tcW w:type="dxa" w:w="23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7"/>
                <w:rtl/>
              </w:rPr>
              <w:t>SHA-256</w:t>
            </w:r>
          </w:p>
        </w:tc>
        <w:tc>
          <w:tcPr>
            <w:tcW w:type="dxa" w:w="706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7"/>
                <w:rtl/>
              </w:rPr>
              <w:t>5649E744CF7A2E36888B7FF1CEFEDB5CCEC156190FB757113E2992B5AB2C1E13</w:t>
            </w:r>
          </w:p>
        </w:tc>
      </w:tr>
      <w:tr>
        <w:tc>
          <w:tcPr>
            <w:tcW w:type="dxa" w:w="23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7"/>
                <w:rtl/>
              </w:rPr>
              <w:t>دامنه</w:t>
            </w:r>
          </w:p>
        </w:tc>
        <w:tc>
          <w:tcPr>
            <w:tcW w:type="dxa" w:w="706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7"/>
                <w:rtl/>
              </w:rPr>
              <w:t>کنترل فایل‌های منبع؛ بدون درج در دیتابیس و بدون تغییر فایل‌ها</w:t>
            </w:r>
          </w:p>
        </w:tc>
      </w:tr>
    </w:tbl>
    <w:p>
      <w:pPr>
        <w:spacing w:after="40"/>
      </w:pPr>
    </w:p>
    <w:p>
      <w:pPr>
        <w:spacing w:before="100" w:after="160" w:line="264" w:lineRule="auto"/>
        <w:ind w:left="140" w:right="140"/>
        <w:jc w:val="right"/>
        <w:bidi/>
        <w:shd w:fill="FFF4CE"/>
        <w:pBdr>
          <w:top w:val="single" w:sz="4" w:space="4" w:color="7F8C8D"/>
          <w:start w:val="single" w:sz="4" w:space="4" w:color="7F8C8D"/>
          <w:bottom w:val="single" w:sz="4" w:space="4" w:color="7F8C8D"/>
          <w:end w:val="single" w:sz="4" w:space="4" w:color="7F8C8D"/>
        </w:pBdr>
      </w:pPr>
      <w:r>
        <w:rPr>
          <w:rFonts w:ascii="Arial" w:hAnsi="Arial" w:cs="Arial"/>
          <w:b/>
          <w:i w:val="0"/>
          <w:color w:val="8A5A00"/>
          <w:sz w:val="21"/>
          <w:rtl/>
        </w:rPr>
        <w:t xml:space="preserve">نتیجه مدیریتی: </w:t>
      </w:r>
      <w:r>
        <w:rPr>
          <w:rFonts w:ascii="Arial" w:hAnsi="Arial" w:cs="Arial"/>
          <w:b w:val="0"/>
          <w:i w:val="0"/>
          <w:color w:val="111111"/>
          <w:sz w:val="21"/>
          <w:rtl/>
        </w:rPr>
        <w:t>در تراز آزمایشی و مانده‌حساب‌ها اختلاف حسابداری اثبات نشد. یک اختلاف بین جمع دفاتر بانکی و سرفصل بانک تراز مشاهده شد، اما به‌دلیل نبود زمان برش یکسان برای فایل‌ها، هنوز خطای قطعی حسابداری محسوب نمی‌شود و باید توسط کارفرما بررسی شود.</w:t>
      </w:r>
    </w:p>
    <w:p>
      <w:pPr>
        <w:spacing w:before="100" w:after="160" w:line="264" w:lineRule="auto"/>
        <w:ind w:left="140" w:right="140"/>
        <w:jc w:val="right"/>
        <w:bidi/>
        <w:shd w:fill="FCE8E6"/>
        <w:pBdr>
          <w:top w:val="single" w:sz="4" w:space="4" w:color="7F8C8D"/>
          <w:start w:val="single" w:sz="4" w:space="4" w:color="7F8C8D"/>
          <w:bottom w:val="single" w:sz="4" w:space="4" w:color="7F8C8D"/>
          <w:end w:val="single" w:sz="4" w:space="4" w:color="7F8C8D"/>
        </w:pBdr>
      </w:pPr>
      <w:r>
        <w:rPr>
          <w:rFonts w:ascii="Arial" w:hAnsi="Arial" w:cs="Arial"/>
          <w:b/>
          <w:i w:val="0"/>
          <w:color w:val="9C0006"/>
          <w:sz w:val="21"/>
          <w:rtl/>
        </w:rPr>
        <w:t xml:space="preserve">تصمیم مهاجرت: </w:t>
      </w:r>
      <w:r>
        <w:rPr>
          <w:rFonts w:ascii="Arial" w:hAnsi="Arial" w:cs="Arial"/>
          <w:b w:val="0"/>
          <w:i w:val="0"/>
          <w:color w:val="111111"/>
          <w:sz w:val="21"/>
          <w:rtl/>
        </w:rPr>
        <w:t>تا زمان تعیین تکلیف اختلاف بانکی، تأیید واحد پول، حذف ردیف‌های جمع/تکراری و دریافت خروجی استاندارد اسناد حسابداری، Import نهایی مجاز نیست. Staging غیرمخرب همچنان مسیر صحیح است.</w:t>
      </w:r>
    </w:p>
    <w:p>
      <w:pPr>
        <w:pStyle w:val="Heading1"/>
        <w:jc w:val="right"/>
        <w:keepNext/>
        <w:bidi/>
      </w:pPr>
      <w:r>
        <w:rPr>
          <w:rFonts w:ascii="Arial" w:hAnsi="Arial" w:cs="Arial"/>
          <w:b/>
          <w:i w:val="0"/>
          <w:color w:val="2E74B5"/>
          <w:sz w:val="32"/>
          <w:rtl/>
        </w:rPr>
        <w:t>1. دامنه و روش کنترل</w:t>
      </w:r>
    </w:p>
    <w:p>
      <w:pPr>
        <w:spacing w:before="0" w:after="120" w:line="264" w:lineRule="auto"/>
        <w:jc w:val="right"/>
        <w:keepNext w:val="0"/>
        <w:bidi/>
      </w:pPr>
      <w:r>
        <w:rPr>
          <w:rFonts w:ascii="Arial" w:hAnsi="Arial" w:cs="Arial"/>
          <w:b w:val="0"/>
          <w:i w:val="0"/>
          <w:color w:val="111111"/>
          <w:sz w:val="21"/>
          <w:rtl/>
        </w:rPr>
        <w:t>این گزارش از روی فایل‌های داخل بسته منبع تهیه شده است. اصل فایل‌ها تغییر نکرده‌اند و هیچ داده‌ای در دیتابیس SAMI ERP ثبت، حذف یا بازنویسی نشده است. کنترل‌ها با حذف ردیف‌های جمع از ردیف‌های تراکنش، حفظ شناسه‌های قدیمی و بازسازی جمع‌ها از ردیف‌های جزئی انجام شده‌اند.</w:t>
      </w:r>
    </w:p>
    <w:tbl>
      <w:tblPr>
        <w:tblStyle w:val="TableGrid"/>
        <w:tblW w:type="dxa" w:w="9360"/>
        <w:jc w:val="left"/>
        <w:tblLayout w:type="fixed"/>
        <w:tblLook w:firstColumn="1" w:firstRow="1" w:lastColumn="0" w:lastRow="0" w:noHBand="0" w:noVBand="1" w:val="04A0"/>
        <w:tblInd w:w="120" w:type="dxa"/>
        <w:bidiVisual/>
      </w:tblPr>
      <w:tblGrid>
        <w:gridCol w:w="2200"/>
        <w:gridCol w:w="7160"/>
      </w:tblGrid>
      <w:tr>
        <w:trPr>
          <w:tblHeader/>
        </w:trPr>
        <w:tc>
          <w:tcPr>
            <w:tcW w:type="dxa" w:w="2200"/>
            <w:shd w:fill="17365D"/>
            <w:tcMar>
              <w:top w:w="80" w:type="dxa"/>
              <w:start w:w="120" w:type="dxa"/>
              <w:bottom w:w="80" w:type="dxa"/>
              <w:end w:w="120" w:type="dxa"/>
            </w:tcMar>
            <w:vAlign w:val="center"/>
          </w:tcPr>
          <w:p>
            <w:pPr>
              <w:spacing w:before="0" w:after="0" w:line="252" w:lineRule="auto"/>
              <w:jc w:val="center"/>
              <w:bidi/>
            </w:pPr>
            <w:r/>
            <w:r>
              <w:rPr>
                <w:rFonts w:ascii="Arial" w:hAnsi="Arial" w:cs="Arial"/>
                <w:b/>
                <w:i w:val="0"/>
                <w:color w:val="FFFFFF"/>
                <w:sz w:val="18"/>
                <w:rtl/>
              </w:rPr>
              <w:t>کنترل</w:t>
            </w:r>
          </w:p>
        </w:tc>
        <w:tc>
          <w:tcPr>
            <w:tcW w:type="dxa" w:w="7160"/>
            <w:shd w:fill="17365D"/>
            <w:tcMar>
              <w:top w:w="80" w:type="dxa"/>
              <w:start w:w="120" w:type="dxa"/>
              <w:bottom w:w="80" w:type="dxa"/>
              <w:end w:w="120" w:type="dxa"/>
            </w:tcMar>
            <w:vAlign w:val="center"/>
          </w:tcPr>
          <w:p>
            <w:pPr>
              <w:spacing w:before="0" w:after="0" w:line="252" w:lineRule="auto"/>
              <w:jc w:val="center"/>
              <w:bidi/>
            </w:pPr>
            <w:r/>
            <w:r>
              <w:rPr>
                <w:rFonts w:ascii="Arial" w:hAnsi="Arial" w:cs="Arial"/>
                <w:b/>
                <w:i w:val="0"/>
                <w:color w:val="FFFFFF"/>
                <w:sz w:val="18"/>
                <w:rtl/>
              </w:rPr>
              <w:t>روش</w:t>
            </w:r>
          </w:p>
        </w:tc>
      </w:tr>
      <w:tr>
        <w:tc>
          <w:tcPr>
            <w:tcW w:type="dxa" w:w="22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تراز آزمایشی</w:t>
            </w:r>
          </w:p>
        </w:tc>
        <w:tc>
          <w:tcPr>
            <w:tcW w:type="dxa" w:w="716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8"/>
                <w:rtl/>
              </w:rPr>
              <w:t>بازجمع 31 سرفصل و کنترل معادله گردش، مانده دوره، مانده اول و مانده پایان</w:t>
            </w:r>
          </w:p>
        </w:tc>
      </w:tr>
      <w:tr>
        <w:tc>
          <w:tcPr>
            <w:tcW w:type="dxa" w:w="22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مانده حساب‌ها</w:t>
            </w:r>
          </w:p>
        </w:tc>
        <w:tc>
          <w:tcPr>
            <w:tcW w:type="dxa" w:w="716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8"/>
                <w:rtl/>
              </w:rPr>
              <w:t>بازجمع 3,645 ردیف جزئی، کنترل جمع پایین گزارش و تفکیک بدهکار/بستانکار</w:t>
            </w:r>
          </w:p>
        </w:tc>
      </w:tr>
      <w:tr>
        <w:tc>
          <w:tcPr>
            <w:tcW w:type="dxa" w:w="22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اشخاص</w:t>
            </w:r>
          </w:p>
        </w:tc>
        <w:tc>
          <w:tcPr>
            <w:tcW w:type="dxa" w:w="716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8"/>
                <w:rtl/>
              </w:rPr>
              <w:t>تطبیق کد Legacy و مانده شخص با خروجی مانده حساب‌ها</w:t>
            </w:r>
          </w:p>
        </w:tc>
      </w:tr>
      <w:tr>
        <w:tc>
          <w:tcPr>
            <w:tcW w:type="dxa" w:w="22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بانک و صندوق</w:t>
            </w:r>
          </w:p>
        </w:tc>
        <w:tc>
          <w:tcPr>
            <w:tcW w:type="dxa" w:w="716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8"/>
                <w:rtl/>
              </w:rPr>
              <w:t>بازسازی مانده جاری و مقایسه با سرفصل‌های صندوق و بانک در تراز آزمایشی</w:t>
            </w:r>
          </w:p>
        </w:tc>
      </w:tr>
      <w:tr>
        <w:tc>
          <w:tcPr>
            <w:tcW w:type="dxa" w:w="22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اسناد روزانه</w:t>
            </w:r>
          </w:p>
        </w:tc>
        <w:tc>
          <w:tcPr>
            <w:tcW w:type="dxa" w:w="716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8"/>
                <w:rtl/>
              </w:rPr>
              <w:t>کنترل گروهی بر اساس شماره سند و ارزیابی کفایت فایل به‌عنوان دفتر دوبل</w:t>
            </w:r>
          </w:p>
        </w:tc>
      </w:tr>
      <w:tr>
        <w:tc>
          <w:tcPr>
            <w:tcW w:type="dxa" w:w="22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انبار</w:t>
            </w:r>
          </w:p>
        </w:tc>
        <w:tc>
          <w:tcPr>
            <w:tcW w:type="dxa" w:w="716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8"/>
                <w:rtl/>
              </w:rPr>
              <w:t>شمارش اقلام به تفکیک فایل/انبار و تفکیک ردیف‌های جمع از ردیف کالا</w:t>
            </w:r>
          </w:p>
        </w:tc>
      </w:tr>
    </w:tbl>
    <w:p>
      <w:pPr>
        <w:spacing w:after="40"/>
      </w:pPr>
    </w:p>
    <w:p>
      <w:pPr>
        <w:spacing w:before="100" w:after="160" w:line="264" w:lineRule="auto"/>
        <w:ind w:left="140" w:right="140"/>
        <w:jc w:val="right"/>
        <w:bidi/>
        <w:shd w:fill="EAF2F8"/>
        <w:pBdr>
          <w:top w:val="single" w:sz="4" w:space="4" w:color="7F8C8D"/>
          <w:start w:val="single" w:sz="4" w:space="4" w:color="7F8C8D"/>
          <w:bottom w:val="single" w:sz="4" w:space="4" w:color="7F8C8D"/>
          <w:end w:val="single" w:sz="4" w:space="4" w:color="7F8C8D"/>
        </w:pBdr>
      </w:pPr>
      <w:r>
        <w:rPr>
          <w:rFonts w:ascii="Arial" w:hAnsi="Arial" w:cs="Arial"/>
          <w:b/>
          <w:i w:val="0"/>
          <w:color w:val="17365D"/>
          <w:sz w:val="21"/>
          <w:rtl/>
        </w:rPr>
        <w:t xml:space="preserve">محدودیت واحد پول: </w:t>
      </w:r>
      <w:r>
        <w:rPr>
          <w:rFonts w:ascii="Arial" w:hAnsi="Arial" w:cs="Arial"/>
          <w:b w:val="0"/>
          <w:i w:val="0"/>
          <w:color w:val="111111"/>
          <w:sz w:val="21"/>
          <w:rtl/>
        </w:rPr>
        <w:t>واحد پول در خروجی‌های حسابداری به‌صورت صریح و قابل اتکا درج نشده است. تمام ارقام این گزارش عین عدد منبع هستند؛ هیچ تبدیل ریال/تومان و هیچ تقسیم بر 10 انجام نشده است.</w:t>
      </w:r>
    </w:p>
    <w:p>
      <w:pPr>
        <w:pStyle w:val="Heading1"/>
        <w:jc w:val="right"/>
        <w:keepNext/>
        <w:bidi/>
      </w:pPr>
      <w:r>
        <w:rPr>
          <w:rFonts w:ascii="Arial" w:hAnsi="Arial" w:cs="Arial"/>
          <w:b/>
          <w:i w:val="0"/>
          <w:color w:val="2E74B5"/>
          <w:sz w:val="32"/>
          <w:rtl/>
        </w:rPr>
        <w:t>2. خلاصه وضعیت کنترل‌ها</w:t>
      </w:r>
    </w:p>
    <w:tbl>
      <w:tblPr>
        <w:tblStyle w:val="TableGrid"/>
        <w:tblW w:type="dxa" w:w="9360"/>
        <w:jc w:val="left"/>
        <w:tblLayout w:type="fixed"/>
        <w:tblLook w:firstColumn="1" w:firstRow="1" w:lastColumn="0" w:lastRow="0" w:noHBand="0" w:noVBand="1" w:val="04A0"/>
        <w:tblInd w:w="120" w:type="dxa"/>
        <w:bidiVisual/>
      </w:tblPr>
      <w:tblGrid>
        <w:gridCol w:w="1600"/>
        <w:gridCol w:w="2200"/>
        <w:gridCol w:w="5560"/>
      </w:tblGrid>
      <w:tr>
        <w:trPr>
          <w:tblHeader/>
        </w:trPr>
        <w:tc>
          <w:tcPr>
            <w:tcW w:type="dxa" w:w="1600"/>
            <w:shd w:fill="17365D"/>
            <w:tcMar>
              <w:top w:w="80" w:type="dxa"/>
              <w:start w:w="120" w:type="dxa"/>
              <w:bottom w:w="80" w:type="dxa"/>
              <w:end w:w="120" w:type="dxa"/>
            </w:tcMar>
            <w:vAlign w:val="center"/>
          </w:tcPr>
          <w:p>
            <w:pPr>
              <w:spacing w:before="0" w:after="0" w:line="252" w:lineRule="auto"/>
              <w:jc w:val="center"/>
              <w:bidi/>
            </w:pPr>
            <w:r/>
            <w:r>
              <w:rPr>
                <w:rFonts w:ascii="Arial" w:hAnsi="Arial" w:cs="Arial"/>
                <w:b/>
                <w:i w:val="0"/>
                <w:color w:val="FFFFFF"/>
                <w:sz w:val="18"/>
                <w:rtl/>
              </w:rPr>
              <w:t>وضعیت</w:t>
            </w:r>
          </w:p>
        </w:tc>
        <w:tc>
          <w:tcPr>
            <w:tcW w:type="dxa" w:w="2200"/>
            <w:shd w:fill="17365D"/>
            <w:tcMar>
              <w:top w:w="80" w:type="dxa"/>
              <w:start w:w="120" w:type="dxa"/>
              <w:bottom w:w="80" w:type="dxa"/>
              <w:end w:w="120" w:type="dxa"/>
            </w:tcMar>
            <w:vAlign w:val="center"/>
          </w:tcPr>
          <w:p>
            <w:pPr>
              <w:spacing w:before="0" w:after="0" w:line="252" w:lineRule="auto"/>
              <w:jc w:val="center"/>
              <w:bidi/>
            </w:pPr>
            <w:r/>
            <w:r>
              <w:rPr>
                <w:rFonts w:ascii="Arial" w:hAnsi="Arial" w:cs="Arial"/>
                <w:b/>
                <w:i w:val="0"/>
                <w:color w:val="FFFFFF"/>
                <w:sz w:val="18"/>
                <w:rtl/>
              </w:rPr>
              <w:t>حوزه</w:t>
            </w:r>
          </w:p>
        </w:tc>
        <w:tc>
          <w:tcPr>
            <w:tcW w:type="dxa" w:w="5560"/>
            <w:shd w:fill="17365D"/>
            <w:tcMar>
              <w:top w:w="80" w:type="dxa"/>
              <w:start w:w="120" w:type="dxa"/>
              <w:bottom w:w="80" w:type="dxa"/>
              <w:end w:w="120" w:type="dxa"/>
            </w:tcMar>
            <w:vAlign w:val="center"/>
          </w:tcPr>
          <w:p>
            <w:pPr>
              <w:spacing w:before="0" w:after="0" w:line="252" w:lineRule="auto"/>
              <w:jc w:val="center"/>
              <w:bidi/>
            </w:pPr>
            <w:r/>
            <w:r>
              <w:rPr>
                <w:rFonts w:ascii="Arial" w:hAnsi="Arial" w:cs="Arial"/>
                <w:b/>
                <w:i w:val="0"/>
                <w:color w:val="FFFFFF"/>
                <w:sz w:val="18"/>
                <w:rtl/>
              </w:rPr>
              <w:t>نتیجه</w:t>
            </w:r>
          </w:p>
        </w:tc>
      </w:tr>
      <w:tr>
        <w:tc>
          <w:tcPr>
            <w:tcW w:type="dxa" w:w="16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7"/>
                <w:rtl/>
              </w:rPr>
              <w:t>تطبیق‌شده</w:t>
            </w:r>
          </w:p>
        </w:tc>
        <w:tc>
          <w:tcPr>
            <w:tcW w:type="dxa" w:w="220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7"/>
                <w:rtl/>
              </w:rPr>
              <w:t>تراز آزمایشی</w:t>
            </w:r>
          </w:p>
        </w:tc>
        <w:tc>
          <w:tcPr>
            <w:tcW w:type="dxa" w:w="556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7"/>
                <w:rtl/>
              </w:rPr>
              <w:t>گردش بدهکار و بستانکار برابر؛ مانده‌های پایان نیز برابر</w:t>
            </w:r>
          </w:p>
        </w:tc>
      </w:tr>
      <w:tr>
        <w:tc>
          <w:tcPr>
            <w:tcW w:type="dxa" w:w="16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7"/>
                <w:rtl/>
              </w:rPr>
              <w:t>تطبیق‌شده</w:t>
            </w:r>
          </w:p>
        </w:tc>
        <w:tc>
          <w:tcPr>
            <w:tcW w:type="dxa" w:w="220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7"/>
                <w:rtl/>
              </w:rPr>
              <w:t>مانده حساب‌ها</w:t>
            </w:r>
          </w:p>
        </w:tc>
        <w:tc>
          <w:tcPr>
            <w:tcW w:type="dxa" w:w="556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7"/>
                <w:rtl/>
              </w:rPr>
              <w:t>جمع ردیف‌ها با ردیف جمع و معادله مانده کاملاً منطبق</w:t>
            </w:r>
          </w:p>
        </w:tc>
      </w:tr>
      <w:tr>
        <w:tc>
          <w:tcPr>
            <w:tcW w:type="dxa" w:w="16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7"/>
                <w:rtl/>
              </w:rPr>
              <w:t>تطبیق‌شده</w:t>
            </w:r>
          </w:p>
        </w:tc>
        <w:tc>
          <w:tcPr>
            <w:tcW w:type="dxa" w:w="220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7"/>
                <w:rtl/>
              </w:rPr>
              <w:t>اشخاص دارای حساب</w:t>
            </w:r>
          </w:p>
        </w:tc>
        <w:tc>
          <w:tcPr>
            <w:tcW w:type="dxa" w:w="556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7"/>
                <w:rtl/>
              </w:rPr>
              <w:t>2,863 کد شخص با مانده حساب متناظر بدون اختلاف</w:t>
            </w:r>
          </w:p>
        </w:tc>
      </w:tr>
      <w:tr>
        <w:tc>
          <w:tcPr>
            <w:tcW w:type="dxa" w:w="16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7"/>
                <w:rtl/>
              </w:rPr>
              <w:t>تطبیق‌شده با پاک‌سازی نوع داده</w:t>
            </w:r>
          </w:p>
        </w:tc>
        <w:tc>
          <w:tcPr>
            <w:tcW w:type="dxa" w:w="220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7"/>
                <w:rtl/>
              </w:rPr>
              <w:t>صندوق</w:t>
            </w:r>
          </w:p>
        </w:tc>
        <w:tc>
          <w:tcPr>
            <w:tcW w:type="dxa" w:w="556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7"/>
                <w:rtl/>
              </w:rPr>
              <w:t>پس از حذف شناسه‌های عددی از ستون مبلغ، دقیقاً منطبق با تراز</w:t>
            </w:r>
          </w:p>
        </w:tc>
      </w:tr>
      <w:tr>
        <w:tc>
          <w:tcPr>
            <w:tcW w:type="dxa" w:w="16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7"/>
                <w:rtl/>
              </w:rPr>
              <w:t>نیازمند تأیید کارفرما</w:t>
            </w:r>
          </w:p>
        </w:tc>
        <w:tc>
          <w:tcPr>
            <w:tcW w:type="dxa" w:w="220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7"/>
                <w:rtl/>
              </w:rPr>
              <w:t>بانک</w:t>
            </w:r>
          </w:p>
        </w:tc>
        <w:tc>
          <w:tcPr>
            <w:tcW w:type="dxa" w:w="556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7"/>
                <w:rtl/>
              </w:rPr>
              <w:t>اختلاف خالص 699,837,000 بین ده دفتر بانکی و تراز</w:t>
            </w:r>
          </w:p>
        </w:tc>
      </w:tr>
      <w:tr>
        <w:tc>
          <w:tcPr>
            <w:tcW w:type="dxa" w:w="16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7"/>
                <w:rtl/>
              </w:rPr>
              <w:t>نامناسب برای کنترل تراز</w:t>
            </w:r>
          </w:p>
        </w:tc>
        <w:tc>
          <w:tcPr>
            <w:tcW w:type="dxa" w:w="220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7"/>
                <w:rtl/>
              </w:rPr>
              <w:t>دفتر عملکرد روزانه</w:t>
            </w:r>
          </w:p>
        </w:tc>
        <w:tc>
          <w:tcPr>
            <w:tcW w:type="dxa" w:w="556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7"/>
                <w:rtl/>
              </w:rPr>
              <w:t>خروجی عملیاتی است و همه اسناد را به‌صورت دوبل کامل ارائه نمی‌کند</w:t>
            </w:r>
          </w:p>
        </w:tc>
      </w:tr>
      <w:tr>
        <w:tc>
          <w:tcPr>
            <w:tcW w:type="dxa" w:w="16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7"/>
                <w:rtl/>
              </w:rPr>
              <w:t>نیازمند نگاشت و زمان برش</w:t>
            </w:r>
          </w:p>
        </w:tc>
        <w:tc>
          <w:tcPr>
            <w:tcW w:type="dxa" w:w="220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7"/>
                <w:rtl/>
              </w:rPr>
              <w:t>موجودی انبار</w:t>
            </w:r>
          </w:p>
        </w:tc>
        <w:tc>
          <w:tcPr>
            <w:tcW w:type="dxa" w:w="556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7"/>
                <w:rtl/>
              </w:rPr>
              <w:t>863 ردیف کالا؛ شناسه پایدار انبار و زمان یکسان استخراج موجود نیست</w:t>
            </w:r>
          </w:p>
        </w:tc>
      </w:tr>
    </w:tbl>
    <w:p>
      <w:pPr>
        <w:spacing w:after="40"/>
      </w:pPr>
    </w:p>
    <w:p>
      <w:pPr>
        <w:pStyle w:val="Heading1"/>
        <w:jc w:val="right"/>
        <w:keepNext/>
        <w:bidi/>
      </w:pPr>
      <w:r>
        <w:rPr>
          <w:rFonts w:ascii="Arial" w:hAnsi="Arial" w:cs="Arial"/>
          <w:b/>
          <w:i w:val="0"/>
          <w:color w:val="2E74B5"/>
          <w:sz w:val="32"/>
          <w:rtl/>
        </w:rPr>
        <w:t>3. نتایج مالی قابل اتکا</w:t>
      </w:r>
    </w:p>
    <w:p>
      <w:pPr>
        <w:pStyle w:val="Heading2"/>
        <w:jc w:val="right"/>
        <w:keepNext/>
        <w:bidi/>
      </w:pPr>
      <w:r>
        <w:rPr>
          <w:rFonts w:ascii="Arial" w:hAnsi="Arial" w:cs="Arial"/>
          <w:b/>
          <w:i w:val="0"/>
          <w:color w:val="2E74B5"/>
          <w:sz w:val="26"/>
          <w:rtl/>
        </w:rPr>
        <w:t>3.1 تراز آزمایشی - بدون اختلاف</w:t>
      </w:r>
    </w:p>
    <w:tbl>
      <w:tblPr>
        <w:tblStyle w:val="TableGrid"/>
        <w:tblW w:type="dxa" w:w="9360"/>
        <w:jc w:val="left"/>
        <w:tblLayout w:type="fixed"/>
        <w:tblLook w:firstColumn="1" w:firstRow="1" w:lastColumn="0" w:lastRow="0" w:noHBand="0" w:noVBand="1" w:val="04A0"/>
        <w:tblInd w:w="120" w:type="dxa"/>
        <w:bidiVisual/>
      </w:tblPr>
      <w:tblGrid>
        <w:gridCol w:w="2700"/>
        <w:gridCol w:w="2200"/>
        <w:gridCol w:w="2200"/>
        <w:gridCol w:w="2260"/>
      </w:tblGrid>
      <w:tr>
        <w:trPr>
          <w:tblHeader/>
        </w:trPr>
        <w:tc>
          <w:tcPr>
            <w:tcW w:type="dxa" w:w="2700"/>
            <w:shd w:fill="17365D"/>
            <w:tcMar>
              <w:top w:w="80" w:type="dxa"/>
              <w:start w:w="120" w:type="dxa"/>
              <w:bottom w:w="80" w:type="dxa"/>
              <w:end w:w="120" w:type="dxa"/>
            </w:tcMar>
            <w:vAlign w:val="center"/>
          </w:tcPr>
          <w:p>
            <w:pPr>
              <w:spacing w:before="0" w:after="0" w:line="252" w:lineRule="auto"/>
              <w:jc w:val="center"/>
              <w:bidi/>
            </w:pPr>
            <w:r/>
            <w:r>
              <w:rPr>
                <w:rFonts w:ascii="Arial" w:hAnsi="Arial" w:cs="Arial"/>
                <w:b/>
                <w:i w:val="0"/>
                <w:color w:val="FFFFFF"/>
                <w:sz w:val="18"/>
                <w:rtl/>
              </w:rPr>
              <w:t>شاخص</w:t>
            </w:r>
          </w:p>
        </w:tc>
        <w:tc>
          <w:tcPr>
            <w:tcW w:type="dxa" w:w="2200"/>
            <w:shd w:fill="17365D"/>
            <w:tcMar>
              <w:top w:w="80" w:type="dxa"/>
              <w:start w:w="120" w:type="dxa"/>
              <w:bottom w:w="80" w:type="dxa"/>
              <w:end w:w="120" w:type="dxa"/>
            </w:tcMar>
            <w:vAlign w:val="center"/>
          </w:tcPr>
          <w:p>
            <w:pPr>
              <w:spacing w:before="0" w:after="0" w:line="252" w:lineRule="auto"/>
              <w:jc w:val="center"/>
              <w:bidi/>
            </w:pPr>
            <w:r/>
            <w:r>
              <w:rPr>
                <w:rFonts w:ascii="Arial" w:hAnsi="Arial" w:cs="Arial"/>
                <w:b/>
                <w:i w:val="0"/>
                <w:color w:val="FFFFFF"/>
                <w:sz w:val="18"/>
                <w:rtl/>
              </w:rPr>
              <w:t>بدهکار</w:t>
            </w:r>
          </w:p>
        </w:tc>
        <w:tc>
          <w:tcPr>
            <w:tcW w:type="dxa" w:w="2200"/>
            <w:shd w:fill="17365D"/>
            <w:tcMar>
              <w:top w:w="80" w:type="dxa"/>
              <w:start w:w="120" w:type="dxa"/>
              <w:bottom w:w="80" w:type="dxa"/>
              <w:end w:w="120" w:type="dxa"/>
            </w:tcMar>
            <w:vAlign w:val="center"/>
          </w:tcPr>
          <w:p>
            <w:pPr>
              <w:spacing w:before="0" w:after="0" w:line="252" w:lineRule="auto"/>
              <w:jc w:val="center"/>
              <w:bidi/>
            </w:pPr>
            <w:r/>
            <w:r>
              <w:rPr>
                <w:rFonts w:ascii="Arial" w:hAnsi="Arial" w:cs="Arial"/>
                <w:b/>
                <w:i w:val="0"/>
                <w:color w:val="FFFFFF"/>
                <w:sz w:val="18"/>
                <w:rtl/>
              </w:rPr>
              <w:t>بستانکار</w:t>
            </w:r>
          </w:p>
        </w:tc>
        <w:tc>
          <w:tcPr>
            <w:tcW w:type="dxa" w:w="2260"/>
            <w:shd w:fill="17365D"/>
            <w:tcMar>
              <w:top w:w="80" w:type="dxa"/>
              <w:start w:w="120" w:type="dxa"/>
              <w:bottom w:w="80" w:type="dxa"/>
              <w:end w:w="120" w:type="dxa"/>
            </w:tcMar>
            <w:vAlign w:val="center"/>
          </w:tcPr>
          <w:p>
            <w:pPr>
              <w:spacing w:before="0" w:after="0" w:line="252" w:lineRule="auto"/>
              <w:jc w:val="center"/>
              <w:bidi/>
            </w:pPr>
            <w:r/>
            <w:r>
              <w:rPr>
                <w:rFonts w:ascii="Arial" w:hAnsi="Arial" w:cs="Arial"/>
                <w:b/>
                <w:i w:val="0"/>
                <w:color w:val="FFFFFF"/>
                <w:sz w:val="18"/>
                <w:rtl/>
              </w:rPr>
              <w:t>اختلاف</w:t>
            </w:r>
          </w:p>
        </w:tc>
      </w:tr>
      <w:tr>
        <w:tc>
          <w:tcPr>
            <w:tcW w:type="dxa" w:w="27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گردش طی دوره</w:t>
            </w:r>
          </w:p>
        </w:tc>
        <w:tc>
          <w:tcPr>
            <w:tcW w:type="dxa" w:w="22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‎6,201,456,640,469‎</w:t>
            </w:r>
          </w:p>
        </w:tc>
        <w:tc>
          <w:tcPr>
            <w:tcW w:type="dxa" w:w="22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‎6,201,456,640,469‎</w:t>
            </w:r>
          </w:p>
        </w:tc>
        <w:tc>
          <w:tcPr>
            <w:tcW w:type="dxa" w:w="226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‎0‎</w:t>
            </w:r>
          </w:p>
        </w:tc>
      </w:tr>
      <w:tr>
        <w:tc>
          <w:tcPr>
            <w:tcW w:type="dxa" w:w="27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مانده پایان دوره</w:t>
            </w:r>
          </w:p>
        </w:tc>
        <w:tc>
          <w:tcPr>
            <w:tcW w:type="dxa" w:w="22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‎1,551,656,422,473‎</w:t>
            </w:r>
          </w:p>
        </w:tc>
        <w:tc>
          <w:tcPr>
            <w:tcW w:type="dxa" w:w="22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‎1,551,656,422,473‎</w:t>
            </w:r>
          </w:p>
        </w:tc>
        <w:tc>
          <w:tcPr>
            <w:tcW w:type="dxa" w:w="226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‎0‎</w:t>
            </w:r>
          </w:p>
        </w:tc>
      </w:tr>
    </w:tbl>
    <w:p>
      <w:pPr>
        <w:spacing w:after="40"/>
      </w:pPr>
    </w:p>
    <w:p>
      <w:pPr>
        <w:spacing w:before="0" w:after="120" w:line="264" w:lineRule="auto"/>
        <w:jc w:val="right"/>
        <w:keepNext w:val="0"/>
        <w:bidi/>
      </w:pPr>
      <w:r>
        <w:rPr>
          <w:rFonts w:ascii="Arial" w:hAnsi="Arial" w:cs="Arial"/>
          <w:b w:val="0"/>
          <w:i w:val="0"/>
          <w:color w:val="111111"/>
          <w:sz w:val="21"/>
          <w:rtl/>
        </w:rPr>
        <w:t>تمام 31 سرفصل دارای کد یکتا هستند. برای هر سرفصل، خالص گردش با مانده طی دوره و مانده اول دوره با مانده پایان دوره تطبیق داده شد؛ تعداد خطاهای معادله‌ای صفر است. ردیف جمع پایین فایل نیز دقیقاً با بازجمع ردیف‌های جزئی برابر است.</w:t>
      </w:r>
    </w:p>
    <w:p>
      <w:pPr>
        <w:pStyle w:val="Heading2"/>
        <w:jc w:val="right"/>
        <w:keepNext/>
        <w:bidi/>
      </w:pPr>
      <w:r>
        <w:rPr>
          <w:rFonts w:ascii="Arial" w:hAnsi="Arial" w:cs="Arial"/>
          <w:b/>
          <w:i w:val="0"/>
          <w:color w:val="2E74B5"/>
          <w:sz w:val="26"/>
          <w:rtl/>
        </w:rPr>
        <w:t>3.2 مانده حساب‌ها و اشخاص - بدون اختلاف مالی</w:t>
      </w:r>
    </w:p>
    <w:tbl>
      <w:tblPr>
        <w:tblStyle w:val="TableGrid"/>
        <w:tblW w:type="dxa" w:w="9360"/>
        <w:jc w:val="left"/>
        <w:tblLayout w:type="fixed"/>
        <w:tblLook w:firstColumn="1" w:firstRow="1" w:lastColumn="0" w:lastRow="0" w:noHBand="0" w:noVBand="1" w:val="04A0"/>
        <w:tblInd w:w="120" w:type="dxa"/>
        <w:bidiVisual/>
      </w:tblPr>
      <w:tblGrid>
        <w:gridCol w:w="3300"/>
        <w:gridCol w:w="6060"/>
      </w:tblGrid>
      <w:tr>
        <w:trPr>
          <w:tblHeader/>
        </w:trPr>
        <w:tc>
          <w:tcPr>
            <w:tcW w:type="dxa" w:w="3300"/>
            <w:shd w:fill="17365D"/>
            <w:tcMar>
              <w:top w:w="80" w:type="dxa"/>
              <w:start w:w="120" w:type="dxa"/>
              <w:bottom w:w="80" w:type="dxa"/>
              <w:end w:w="120" w:type="dxa"/>
            </w:tcMar>
            <w:vAlign w:val="center"/>
          </w:tcPr>
          <w:p>
            <w:pPr>
              <w:spacing w:before="0" w:after="0" w:line="252" w:lineRule="auto"/>
              <w:jc w:val="center"/>
              <w:bidi/>
            </w:pPr>
            <w:r/>
            <w:r>
              <w:rPr>
                <w:rFonts w:ascii="Arial" w:hAnsi="Arial" w:cs="Arial"/>
                <w:b/>
                <w:i w:val="0"/>
                <w:color w:val="FFFFFF"/>
                <w:sz w:val="18"/>
                <w:rtl/>
              </w:rPr>
              <w:t>شاخص</w:t>
            </w:r>
          </w:p>
        </w:tc>
        <w:tc>
          <w:tcPr>
            <w:tcW w:type="dxa" w:w="6060"/>
            <w:shd w:fill="17365D"/>
            <w:tcMar>
              <w:top w:w="80" w:type="dxa"/>
              <w:start w:w="120" w:type="dxa"/>
              <w:bottom w:w="80" w:type="dxa"/>
              <w:end w:w="120" w:type="dxa"/>
            </w:tcMar>
            <w:vAlign w:val="center"/>
          </w:tcPr>
          <w:p>
            <w:pPr>
              <w:spacing w:before="0" w:after="0" w:line="252" w:lineRule="auto"/>
              <w:jc w:val="center"/>
              <w:bidi/>
            </w:pPr>
            <w:r/>
            <w:r>
              <w:rPr>
                <w:rFonts w:ascii="Arial" w:hAnsi="Arial" w:cs="Arial"/>
                <w:b/>
                <w:i w:val="0"/>
                <w:color w:val="FFFFFF"/>
                <w:sz w:val="18"/>
                <w:rtl/>
              </w:rPr>
              <w:t>مقدار</w:t>
            </w:r>
          </w:p>
        </w:tc>
      </w:tr>
      <w:tr>
        <w:tc>
          <w:tcPr>
            <w:tcW w:type="dxa" w:w="33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گردش بدهکار</w:t>
            </w:r>
          </w:p>
        </w:tc>
        <w:tc>
          <w:tcPr>
            <w:tcW w:type="dxa" w:w="606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‎3,558,997,000,127‎</w:t>
            </w:r>
          </w:p>
        </w:tc>
      </w:tr>
      <w:tr>
        <w:tc>
          <w:tcPr>
            <w:tcW w:type="dxa" w:w="33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گردش بستانکار</w:t>
            </w:r>
          </w:p>
        </w:tc>
        <w:tc>
          <w:tcPr>
            <w:tcW w:type="dxa" w:w="606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‎3,543,582,090,127‎</w:t>
            </w:r>
          </w:p>
        </w:tc>
      </w:tr>
      <w:tr>
        <w:tc>
          <w:tcPr>
            <w:tcW w:type="dxa" w:w="33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خالص گردش / مانده</w:t>
            </w:r>
          </w:p>
        </w:tc>
        <w:tc>
          <w:tcPr>
            <w:tcW w:type="dxa" w:w="606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‎15,414,910,000‎</w:t>
            </w:r>
          </w:p>
        </w:tc>
      </w:tr>
      <w:tr>
        <w:tc>
          <w:tcPr>
            <w:tcW w:type="dxa" w:w="33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مانده بدهکار</w:t>
            </w:r>
          </w:p>
        </w:tc>
        <w:tc>
          <w:tcPr>
            <w:tcW w:type="dxa" w:w="606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‎23,695,510,000‎</w:t>
            </w:r>
          </w:p>
        </w:tc>
      </w:tr>
      <w:tr>
        <w:tc>
          <w:tcPr>
            <w:tcW w:type="dxa" w:w="33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مانده بستانکار</w:t>
            </w:r>
          </w:p>
        </w:tc>
        <w:tc>
          <w:tcPr>
            <w:tcW w:type="dxa" w:w="606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‎8,280,600,000‎</w:t>
            </w:r>
          </w:p>
        </w:tc>
      </w:tr>
    </w:tbl>
    <w:p>
      <w:pPr>
        <w:spacing w:after="40"/>
      </w:pPr>
    </w:p>
    <w:p>
      <w:pPr>
        <w:spacing w:before="0" w:after="120" w:line="264" w:lineRule="auto"/>
        <w:jc w:val="right"/>
        <w:keepNext w:val="0"/>
        <w:bidi/>
      </w:pPr>
      <w:r>
        <w:rPr>
          <w:rFonts w:ascii="Arial" w:hAnsi="Arial" w:cs="Arial"/>
          <w:b w:val="0"/>
          <w:i w:val="0"/>
          <w:color w:val="111111"/>
          <w:sz w:val="21"/>
          <w:rtl/>
        </w:rPr>
        <w:t>خالص گردش، ستون مانده و اختلاف مانده بدهکار و بستانکار هر سه برابر 15,414,910,000 هستند. ردیف جمع فایل نیز با بازجمع 3,645 ردیف جزئی تطبیق کامل دارد.</w:t>
      </w:r>
    </w:p>
    <w:p>
      <w:pPr>
        <w:spacing w:before="0" w:after="120" w:line="264" w:lineRule="auto"/>
        <w:jc w:val="right"/>
        <w:keepNext w:val="0"/>
        <w:bidi/>
      </w:pPr>
      <w:r>
        <w:rPr>
          <w:rFonts w:ascii="Arial" w:hAnsi="Arial" w:cs="Arial"/>
          <w:b w:val="0"/>
          <w:i w:val="0"/>
          <w:color w:val="111111"/>
          <w:sz w:val="21"/>
          <w:rtl/>
        </w:rPr>
        <w:t>از 2,963 کد شخص، تعداد 2,863 کد در مانده حساب‌ها وجود دارد و مانده بدهکار/بستانکار همه آن‌ها دقیقاً برابر است. 100 شخص باقیمانده در خروجی مانده حساب‌ها دیده نمی‌شوند؛ این مورد می‌تواند ناشی از نداشتن گردش/مانده باشد و تا دریافت تعریف گزارش، مغایرت مالی تلقی نمی‌شود.</w:t>
      </w:r>
    </w:p>
    <w:p>
      <w:pPr>
        <w:spacing w:before="100" w:after="160" w:line="264" w:lineRule="auto"/>
        <w:ind w:left="140" w:right="140"/>
        <w:jc w:val="right"/>
        <w:bidi/>
        <w:shd w:fill="FFF4CE"/>
        <w:pBdr>
          <w:top w:val="single" w:sz="4" w:space="4" w:color="7F8C8D"/>
          <w:start w:val="single" w:sz="4" w:space="4" w:color="7F8C8D"/>
          <w:bottom w:val="single" w:sz="4" w:space="4" w:color="7F8C8D"/>
          <w:end w:val="single" w:sz="4" w:space="4" w:color="7F8C8D"/>
        </w:pBdr>
      </w:pPr>
      <w:r>
        <w:rPr>
          <w:rFonts w:ascii="Arial" w:hAnsi="Arial" w:cs="Arial"/>
          <w:b/>
          <w:i w:val="0"/>
          <w:color w:val="8A5A00"/>
          <w:sz w:val="21"/>
          <w:rtl/>
        </w:rPr>
        <w:t xml:space="preserve">کیفیت داده: </w:t>
      </w:r>
      <w:r>
        <w:rPr>
          <w:rFonts w:ascii="Arial" w:hAnsi="Arial" w:cs="Arial"/>
          <w:b w:val="0"/>
          <w:i w:val="0"/>
          <w:color w:val="111111"/>
          <w:sz w:val="21"/>
          <w:rtl/>
        </w:rPr>
        <w:t>در فایل مانده حساب‌ها 782 گروه کد تکراری وجود دارد. همه این تکرارها از نظر نام و ارقام مالی کاملاً یکسان‌اند و هیچ تکرار متعارضی یافت نشد. در Import باید بر اساس Legacy Code فقط یک رکورد ساخته و ردیف تکراری به‌عنوان شاهد منبع نگهداری شود.</w:t>
      </w:r>
    </w:p>
    <w:p>
      <w:pPr>
        <w:pStyle w:val="Heading2"/>
        <w:jc w:val="right"/>
        <w:keepNext/>
        <w:bidi/>
      </w:pPr>
      <w:r>
        <w:rPr>
          <w:rFonts w:ascii="Arial" w:hAnsi="Arial" w:cs="Arial"/>
          <w:b/>
          <w:i w:val="0"/>
          <w:color w:val="2E74B5"/>
          <w:sz w:val="26"/>
          <w:rtl/>
        </w:rPr>
        <w:t>3.3 صندوق - تطبیق‌شده پس از تشخیص شناسه‌های عددی</w:t>
      </w:r>
    </w:p>
    <w:tbl>
      <w:tblPr>
        <w:tblStyle w:val="TableGrid"/>
        <w:tblW w:type="dxa" w:w="9360"/>
        <w:jc w:val="left"/>
        <w:tblLayout w:type="fixed"/>
        <w:tblLook w:firstColumn="1" w:firstRow="1" w:lastColumn="0" w:lastRow="0" w:noHBand="0" w:noVBand="1" w:val="04A0"/>
        <w:tblInd w:w="120" w:type="dxa"/>
        <w:bidiVisual/>
      </w:tblPr>
      <w:tblGrid>
        <w:gridCol w:w="2500"/>
        <w:gridCol w:w="2300"/>
        <w:gridCol w:w="2300"/>
        <w:gridCol w:w="2260"/>
      </w:tblGrid>
      <w:tr>
        <w:trPr>
          <w:tblHeader/>
        </w:trPr>
        <w:tc>
          <w:tcPr>
            <w:tcW w:type="dxa" w:w="2500"/>
            <w:shd w:fill="17365D"/>
            <w:tcMar>
              <w:top w:w="80" w:type="dxa"/>
              <w:start w:w="120" w:type="dxa"/>
              <w:bottom w:w="80" w:type="dxa"/>
              <w:end w:w="120" w:type="dxa"/>
            </w:tcMar>
            <w:vAlign w:val="center"/>
          </w:tcPr>
          <w:p>
            <w:pPr>
              <w:spacing w:before="0" w:after="0" w:line="252" w:lineRule="auto"/>
              <w:jc w:val="center"/>
              <w:bidi/>
            </w:pPr>
            <w:r/>
            <w:r>
              <w:rPr>
                <w:rFonts w:ascii="Arial" w:hAnsi="Arial" w:cs="Arial"/>
                <w:b/>
                <w:i w:val="0"/>
                <w:color w:val="FFFFFF"/>
                <w:sz w:val="18"/>
                <w:rtl/>
              </w:rPr>
              <w:t>شاخص</w:t>
            </w:r>
          </w:p>
        </w:tc>
        <w:tc>
          <w:tcPr>
            <w:tcW w:type="dxa" w:w="2300"/>
            <w:shd w:fill="17365D"/>
            <w:tcMar>
              <w:top w:w="80" w:type="dxa"/>
              <w:start w:w="120" w:type="dxa"/>
              <w:bottom w:w="80" w:type="dxa"/>
              <w:end w:w="120" w:type="dxa"/>
            </w:tcMar>
            <w:vAlign w:val="center"/>
          </w:tcPr>
          <w:p>
            <w:pPr>
              <w:spacing w:before="0" w:after="0" w:line="252" w:lineRule="auto"/>
              <w:jc w:val="center"/>
              <w:bidi/>
            </w:pPr>
            <w:r/>
            <w:r>
              <w:rPr>
                <w:rFonts w:ascii="Arial" w:hAnsi="Arial" w:cs="Arial"/>
                <w:b/>
                <w:i w:val="0"/>
                <w:color w:val="FFFFFF"/>
                <w:sz w:val="18"/>
                <w:rtl/>
              </w:rPr>
              <w:t>فایل صندوق</w:t>
            </w:r>
          </w:p>
        </w:tc>
        <w:tc>
          <w:tcPr>
            <w:tcW w:type="dxa" w:w="2300"/>
            <w:shd w:fill="17365D"/>
            <w:tcMar>
              <w:top w:w="80" w:type="dxa"/>
              <w:start w:w="120" w:type="dxa"/>
              <w:bottom w:w="80" w:type="dxa"/>
              <w:end w:w="120" w:type="dxa"/>
            </w:tcMar>
            <w:vAlign w:val="center"/>
          </w:tcPr>
          <w:p>
            <w:pPr>
              <w:spacing w:before="0" w:after="0" w:line="252" w:lineRule="auto"/>
              <w:jc w:val="center"/>
              <w:bidi/>
            </w:pPr>
            <w:r/>
            <w:r>
              <w:rPr>
                <w:rFonts w:ascii="Arial" w:hAnsi="Arial" w:cs="Arial"/>
                <w:b/>
                <w:i w:val="0"/>
                <w:color w:val="FFFFFF"/>
                <w:sz w:val="18"/>
                <w:rtl/>
              </w:rPr>
              <w:t>تراز آزمایشی</w:t>
            </w:r>
          </w:p>
        </w:tc>
        <w:tc>
          <w:tcPr>
            <w:tcW w:type="dxa" w:w="2260"/>
            <w:shd w:fill="17365D"/>
            <w:tcMar>
              <w:top w:w="80" w:type="dxa"/>
              <w:start w:w="120" w:type="dxa"/>
              <w:bottom w:w="80" w:type="dxa"/>
              <w:end w:w="120" w:type="dxa"/>
            </w:tcMar>
            <w:vAlign w:val="center"/>
          </w:tcPr>
          <w:p>
            <w:pPr>
              <w:spacing w:before="0" w:after="0" w:line="252" w:lineRule="auto"/>
              <w:jc w:val="center"/>
              <w:bidi/>
            </w:pPr>
            <w:r/>
            <w:r>
              <w:rPr>
                <w:rFonts w:ascii="Arial" w:hAnsi="Arial" w:cs="Arial"/>
                <w:b/>
                <w:i w:val="0"/>
                <w:color w:val="FFFFFF"/>
                <w:sz w:val="18"/>
                <w:rtl/>
              </w:rPr>
              <w:t>اختلاف</w:t>
            </w:r>
          </w:p>
        </w:tc>
      </w:tr>
      <w:tr>
        <w:tc>
          <w:tcPr>
            <w:tcW w:type="dxa" w:w="25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7"/>
                <w:rtl/>
              </w:rPr>
              <w:t>گردش بدهکار</w:t>
            </w:r>
          </w:p>
        </w:tc>
        <w:tc>
          <w:tcPr>
            <w:tcW w:type="dxa" w:w="23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7"/>
                <w:rtl/>
              </w:rPr>
              <w:t>‎79,839,746,708‎</w:t>
            </w:r>
          </w:p>
        </w:tc>
        <w:tc>
          <w:tcPr>
            <w:tcW w:type="dxa" w:w="23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7"/>
                <w:rtl/>
              </w:rPr>
              <w:t>‎79,839,746,708‎</w:t>
            </w:r>
          </w:p>
        </w:tc>
        <w:tc>
          <w:tcPr>
            <w:tcW w:type="dxa" w:w="226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7"/>
                <w:rtl/>
              </w:rPr>
              <w:t>‎0‎</w:t>
            </w:r>
          </w:p>
        </w:tc>
      </w:tr>
      <w:tr>
        <w:tc>
          <w:tcPr>
            <w:tcW w:type="dxa" w:w="25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7"/>
                <w:rtl/>
              </w:rPr>
              <w:t>گردش بستانکار کنترل‌شده</w:t>
            </w:r>
          </w:p>
        </w:tc>
        <w:tc>
          <w:tcPr>
            <w:tcW w:type="dxa" w:w="23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7"/>
                <w:rtl/>
              </w:rPr>
              <w:t>‎79,690,246,708‎</w:t>
            </w:r>
          </w:p>
        </w:tc>
        <w:tc>
          <w:tcPr>
            <w:tcW w:type="dxa" w:w="23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7"/>
                <w:rtl/>
              </w:rPr>
              <w:t>‎79,690,246,708‎</w:t>
            </w:r>
          </w:p>
        </w:tc>
        <w:tc>
          <w:tcPr>
            <w:tcW w:type="dxa" w:w="226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7"/>
                <w:rtl/>
              </w:rPr>
              <w:t>‎0‎</w:t>
            </w:r>
          </w:p>
        </w:tc>
      </w:tr>
      <w:tr>
        <w:tc>
          <w:tcPr>
            <w:tcW w:type="dxa" w:w="25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7"/>
                <w:rtl/>
              </w:rPr>
              <w:t>مانده پایان بدهکار</w:t>
            </w:r>
          </w:p>
        </w:tc>
        <w:tc>
          <w:tcPr>
            <w:tcW w:type="dxa" w:w="23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7"/>
                <w:rtl/>
              </w:rPr>
              <w:t>‎149,500,000‎</w:t>
            </w:r>
          </w:p>
        </w:tc>
        <w:tc>
          <w:tcPr>
            <w:tcW w:type="dxa" w:w="23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7"/>
                <w:rtl/>
              </w:rPr>
              <w:t>‎149,500,000‎</w:t>
            </w:r>
          </w:p>
        </w:tc>
        <w:tc>
          <w:tcPr>
            <w:tcW w:type="dxa" w:w="226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7"/>
                <w:rtl/>
              </w:rPr>
              <w:t>‎0‎</w:t>
            </w:r>
          </w:p>
        </w:tc>
      </w:tr>
    </w:tbl>
    <w:p>
      <w:pPr>
        <w:spacing w:after="40"/>
      </w:pPr>
    </w:p>
    <w:p>
      <w:pPr>
        <w:spacing w:before="0" w:after="120" w:line="264" w:lineRule="auto"/>
        <w:jc w:val="right"/>
        <w:keepNext w:val="0"/>
        <w:bidi/>
      </w:pPr>
      <w:r>
        <w:rPr>
          <w:rFonts w:ascii="Arial" w:hAnsi="Arial" w:cs="Arial"/>
          <w:b w:val="0"/>
          <w:i w:val="0"/>
          <w:color w:val="111111"/>
          <w:sz w:val="21"/>
          <w:rtl/>
        </w:rPr>
        <w:t>جمع ظاهری ستون بستانکار صندوق 79,690,547,750 است؛ اما 301,042 از این عدد، مبلغ نیست و از شناسه‌های عددی فاکتور/ردیف ناشی می‌شود که در همان ستون قرار گرفته‌اند. پس از تفکیک این شناسه‌ها، صندوق دقیقاً با سرفصل «صندوق نقدی» در تراز تطبیق می‌کند. این یک ایراد ساختار خروجی است، نه اختلاف حسابداری.</w:t>
      </w:r>
    </w:p>
    <w:p>
      <w:pPr>
        <w:pStyle w:val="Heading1"/>
        <w:jc w:val="right"/>
        <w:keepNext/>
        <w:bidi/>
      </w:pPr>
      <w:r>
        <w:rPr>
          <w:rFonts w:ascii="Arial" w:hAnsi="Arial" w:cs="Arial"/>
          <w:b/>
          <w:i w:val="0"/>
          <w:color w:val="2E74B5"/>
          <w:sz w:val="32"/>
          <w:rtl/>
        </w:rPr>
        <w:t>4. مورد نیازمند بررسی کارفرما: بانک</w:t>
      </w:r>
    </w:p>
    <w:p>
      <w:pPr>
        <w:spacing w:before="100" w:after="160" w:line="264" w:lineRule="auto"/>
        <w:ind w:left="140" w:right="140"/>
        <w:jc w:val="right"/>
        <w:bidi/>
        <w:shd w:fill="FFF4CE"/>
        <w:pBdr>
          <w:top w:val="single" w:sz="4" w:space="4" w:color="7F8C8D"/>
          <w:start w:val="single" w:sz="4" w:space="4" w:color="7F8C8D"/>
          <w:bottom w:val="single" w:sz="4" w:space="4" w:color="7F8C8D"/>
          <w:end w:val="single" w:sz="4" w:space="4" w:color="7F8C8D"/>
        </w:pBdr>
      </w:pPr>
      <w:r>
        <w:rPr>
          <w:rFonts w:ascii="Arial" w:hAnsi="Arial" w:cs="Arial"/>
          <w:b/>
          <w:i w:val="0"/>
          <w:color w:val="8A5A00"/>
          <w:sz w:val="21"/>
          <w:rtl/>
        </w:rPr>
        <w:t xml:space="preserve">سطح نتیجه: </w:t>
      </w:r>
      <w:r>
        <w:rPr>
          <w:rFonts w:ascii="Arial" w:hAnsi="Arial" w:cs="Arial"/>
          <w:b w:val="0"/>
          <w:i w:val="0"/>
          <w:color w:val="111111"/>
          <w:sz w:val="21"/>
          <w:rtl/>
        </w:rPr>
        <w:t>این مورد اختلاف بین دو مجموعه خروجی است، نه اثبات ثبت اشتباه. اگر همه فایل‌ها در یک لحظه و با یک محدوده تاریخی تهیه شده باشند، اختلاف واقعی است؛ در غیر این صورت اختلاف زمان برش است.</w:t>
      </w:r>
    </w:p>
    <w:tbl>
      <w:tblPr>
        <w:tblStyle w:val="TableGrid"/>
        <w:tblW w:type="dxa" w:w="9360"/>
        <w:jc w:val="left"/>
        <w:tblLayout w:type="fixed"/>
        <w:tblLook w:firstColumn="1" w:firstRow="1" w:lastColumn="0" w:lastRow="0" w:noHBand="0" w:noVBand="1" w:val="04A0"/>
        <w:tblInd w:w="120" w:type="dxa"/>
        <w:bidiVisual/>
      </w:tblPr>
      <w:tblGrid>
        <w:gridCol w:w="2200"/>
        <w:gridCol w:w="2300"/>
        <w:gridCol w:w="2300"/>
        <w:gridCol w:w="2560"/>
      </w:tblGrid>
      <w:tr>
        <w:trPr>
          <w:tblHeader/>
        </w:trPr>
        <w:tc>
          <w:tcPr>
            <w:tcW w:type="dxa" w:w="2200"/>
            <w:shd w:fill="17365D"/>
            <w:tcMar>
              <w:top w:w="80" w:type="dxa"/>
              <w:start w:w="120" w:type="dxa"/>
              <w:bottom w:w="80" w:type="dxa"/>
              <w:end w:w="120" w:type="dxa"/>
            </w:tcMar>
            <w:vAlign w:val="center"/>
          </w:tcPr>
          <w:p>
            <w:pPr>
              <w:spacing w:before="0" w:after="0" w:line="252" w:lineRule="auto"/>
              <w:jc w:val="center"/>
              <w:bidi/>
            </w:pPr>
            <w:r/>
            <w:r>
              <w:rPr>
                <w:rFonts w:ascii="Arial" w:hAnsi="Arial" w:cs="Arial"/>
                <w:b/>
                <w:i w:val="0"/>
                <w:color w:val="FFFFFF"/>
                <w:sz w:val="18"/>
                <w:rtl/>
              </w:rPr>
              <w:t>شاخص</w:t>
            </w:r>
          </w:p>
        </w:tc>
        <w:tc>
          <w:tcPr>
            <w:tcW w:type="dxa" w:w="2300"/>
            <w:shd w:fill="17365D"/>
            <w:tcMar>
              <w:top w:w="80" w:type="dxa"/>
              <w:start w:w="120" w:type="dxa"/>
              <w:bottom w:w="80" w:type="dxa"/>
              <w:end w:w="120" w:type="dxa"/>
            </w:tcMar>
            <w:vAlign w:val="center"/>
          </w:tcPr>
          <w:p>
            <w:pPr>
              <w:spacing w:before="0" w:after="0" w:line="252" w:lineRule="auto"/>
              <w:jc w:val="center"/>
              <w:bidi/>
            </w:pPr>
            <w:r/>
            <w:r>
              <w:rPr>
                <w:rFonts w:ascii="Arial" w:hAnsi="Arial" w:cs="Arial"/>
                <w:b/>
                <w:i w:val="0"/>
                <w:color w:val="FFFFFF"/>
                <w:sz w:val="18"/>
                <w:rtl/>
              </w:rPr>
              <w:t>جمع 10 دفتر بانکی</w:t>
            </w:r>
          </w:p>
        </w:tc>
        <w:tc>
          <w:tcPr>
            <w:tcW w:type="dxa" w:w="2300"/>
            <w:shd w:fill="17365D"/>
            <w:tcMar>
              <w:top w:w="80" w:type="dxa"/>
              <w:start w:w="120" w:type="dxa"/>
              <w:bottom w:w="80" w:type="dxa"/>
              <w:end w:w="120" w:type="dxa"/>
            </w:tcMar>
            <w:vAlign w:val="center"/>
          </w:tcPr>
          <w:p>
            <w:pPr>
              <w:spacing w:before="0" w:after="0" w:line="252" w:lineRule="auto"/>
              <w:jc w:val="center"/>
              <w:bidi/>
            </w:pPr>
            <w:r/>
            <w:r>
              <w:rPr>
                <w:rFonts w:ascii="Arial" w:hAnsi="Arial" w:cs="Arial"/>
                <w:b/>
                <w:i w:val="0"/>
                <w:color w:val="FFFFFF"/>
                <w:sz w:val="18"/>
                <w:rtl/>
              </w:rPr>
              <w:t>سرفصل بانک در تراز</w:t>
            </w:r>
          </w:p>
        </w:tc>
        <w:tc>
          <w:tcPr>
            <w:tcW w:type="dxa" w:w="2560"/>
            <w:shd w:fill="17365D"/>
            <w:tcMar>
              <w:top w:w="80" w:type="dxa"/>
              <w:start w:w="120" w:type="dxa"/>
              <w:bottom w:w="80" w:type="dxa"/>
              <w:end w:w="120" w:type="dxa"/>
            </w:tcMar>
            <w:vAlign w:val="center"/>
          </w:tcPr>
          <w:p>
            <w:pPr>
              <w:spacing w:before="0" w:after="0" w:line="252" w:lineRule="auto"/>
              <w:jc w:val="center"/>
              <w:bidi/>
            </w:pPr>
            <w:r/>
            <w:r>
              <w:rPr>
                <w:rFonts w:ascii="Arial" w:hAnsi="Arial" w:cs="Arial"/>
                <w:b/>
                <w:i w:val="0"/>
                <w:color w:val="FFFFFF"/>
                <w:sz w:val="18"/>
                <w:rtl/>
              </w:rPr>
              <w:t>اختلاف دفتر - تراز</w:t>
            </w:r>
          </w:p>
        </w:tc>
      </w:tr>
      <w:tr>
        <w:tc>
          <w:tcPr>
            <w:tcW w:type="dxa" w:w="22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7"/>
                <w:rtl/>
              </w:rPr>
              <w:t>گردش بدهکار</w:t>
            </w:r>
          </w:p>
        </w:tc>
        <w:tc>
          <w:tcPr>
            <w:tcW w:type="dxa" w:w="23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7"/>
                <w:rtl/>
              </w:rPr>
              <w:t>‎767,334,894,194‎</w:t>
            </w:r>
          </w:p>
        </w:tc>
        <w:tc>
          <w:tcPr>
            <w:tcW w:type="dxa" w:w="23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7"/>
                <w:rtl/>
              </w:rPr>
              <w:t>‎766,634,894,194‎</w:t>
            </w:r>
          </w:p>
        </w:tc>
        <w:tc>
          <w:tcPr>
            <w:tcW w:type="dxa" w:w="256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7"/>
                <w:rtl/>
              </w:rPr>
              <w:t>‎+700,000,000‎</w:t>
            </w:r>
          </w:p>
        </w:tc>
      </w:tr>
      <w:tr>
        <w:tc>
          <w:tcPr>
            <w:tcW w:type="dxa" w:w="22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7"/>
                <w:rtl/>
              </w:rPr>
              <w:t>گردش بستانکار</w:t>
            </w:r>
          </w:p>
        </w:tc>
        <w:tc>
          <w:tcPr>
            <w:tcW w:type="dxa" w:w="23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7"/>
                <w:rtl/>
              </w:rPr>
              <w:t>‎739,497,777,864‎</w:t>
            </w:r>
          </w:p>
        </w:tc>
        <w:tc>
          <w:tcPr>
            <w:tcW w:type="dxa" w:w="23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7"/>
                <w:rtl/>
              </w:rPr>
              <w:t>‎739,497,614,864‎</w:t>
            </w:r>
          </w:p>
        </w:tc>
        <w:tc>
          <w:tcPr>
            <w:tcW w:type="dxa" w:w="256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7"/>
                <w:rtl/>
              </w:rPr>
              <w:t>‎+163,000‎</w:t>
            </w:r>
          </w:p>
        </w:tc>
      </w:tr>
      <w:tr>
        <w:tc>
          <w:tcPr>
            <w:tcW w:type="dxa" w:w="22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7"/>
                <w:rtl/>
              </w:rPr>
              <w:t>مانده خالص بدهکار</w:t>
            </w:r>
          </w:p>
        </w:tc>
        <w:tc>
          <w:tcPr>
            <w:tcW w:type="dxa" w:w="23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7"/>
                <w:rtl/>
              </w:rPr>
              <w:t>‎27,837,116,330‎</w:t>
            </w:r>
          </w:p>
        </w:tc>
        <w:tc>
          <w:tcPr>
            <w:tcW w:type="dxa" w:w="23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7"/>
                <w:rtl/>
              </w:rPr>
              <w:t>‎27,137,279,330‎</w:t>
            </w:r>
          </w:p>
        </w:tc>
        <w:tc>
          <w:tcPr>
            <w:tcW w:type="dxa" w:w="256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7"/>
                <w:rtl/>
              </w:rPr>
              <w:t>‎+699,837,000‎</w:t>
            </w:r>
          </w:p>
        </w:tc>
      </w:tr>
    </w:tbl>
    <w:p>
      <w:pPr>
        <w:spacing w:after="40"/>
      </w:pPr>
    </w:p>
    <w:p>
      <w:pPr>
        <w:spacing w:before="0" w:after="120" w:line="264" w:lineRule="auto"/>
        <w:jc w:val="right"/>
        <w:keepNext w:val="0"/>
        <w:bidi/>
      </w:pPr>
      <w:r>
        <w:rPr>
          <w:rFonts w:ascii="Arial" w:hAnsi="Arial" w:cs="Arial"/>
          <w:b w:val="0"/>
          <w:i w:val="0"/>
          <w:color w:val="111111"/>
          <w:sz w:val="21"/>
          <w:rtl/>
        </w:rPr>
        <w:t>ده دفتر بانکی از نظر مانده جاری داخلی بدون شکست محاسباتی بازسازی می‌شوند. اختلاف خالص دقیقاً از 700,000,000 گردش بدهکار بیشتر و 163,000 گردش بستانکار بیشتر نسبت به تراز تشکیل شده است.</w:t>
      </w:r>
    </w:p>
    <w:p>
      <w:pPr>
        <w:spacing w:before="0" w:after="120" w:line="264" w:lineRule="auto"/>
        <w:jc w:val="right"/>
        <w:keepNext w:val="0"/>
        <w:bidi/>
      </w:pPr>
      <w:r>
        <w:rPr>
          <w:rFonts w:ascii="Arial" w:hAnsi="Arial" w:cs="Arial"/>
          <w:b w:val="0"/>
          <w:i w:val="0"/>
          <w:color w:val="111111"/>
          <w:sz w:val="21"/>
          <w:rtl/>
        </w:rPr>
        <w:t>ردیف 163,000 در انتهای فایل 9508291535.xlsx با شرح «هزینه، سند 14689» قابل مشاهده است. برای مبلغ 700,000,000 چندین تراکنش هم‌مبلغ در دفاتر مختلف وجود دارد و بدون زمان برش و شناسه حساب بانکی در تراز، انتساب قطعی یک ردیف مجاز نیست.</w:t>
      </w:r>
    </w:p>
    <w:tbl>
      <w:tblPr>
        <w:tblStyle w:val="TableGrid"/>
        <w:tblW w:type="dxa" w:w="9360"/>
        <w:jc w:val="left"/>
        <w:tblLayout w:type="fixed"/>
        <w:tblLook w:firstColumn="1" w:firstRow="1" w:lastColumn="0" w:lastRow="0" w:noHBand="0" w:noVBand="1" w:val="04A0"/>
        <w:tblInd w:w="120" w:type="dxa"/>
        <w:bidiVisual/>
      </w:tblPr>
      <w:tblGrid>
        <w:gridCol w:w="2600"/>
        <w:gridCol w:w="6760"/>
      </w:tblGrid>
      <w:tr>
        <w:trPr>
          <w:tblHeader/>
        </w:trPr>
        <w:tc>
          <w:tcPr>
            <w:tcW w:type="dxa" w:w="2600"/>
            <w:shd w:fill="17365D"/>
            <w:tcMar>
              <w:top w:w="80" w:type="dxa"/>
              <w:start w:w="120" w:type="dxa"/>
              <w:bottom w:w="80" w:type="dxa"/>
              <w:end w:w="120" w:type="dxa"/>
            </w:tcMar>
            <w:vAlign w:val="center"/>
          </w:tcPr>
          <w:p>
            <w:pPr>
              <w:spacing w:before="0" w:after="0" w:line="252" w:lineRule="auto"/>
              <w:jc w:val="center"/>
              <w:keepNext/>
              <w:bidi/>
            </w:pPr>
            <w:r/>
            <w:r>
              <w:rPr>
                <w:rFonts w:ascii="Arial" w:hAnsi="Arial" w:cs="Arial"/>
                <w:b/>
                <w:i w:val="0"/>
                <w:color w:val="FFFFFF"/>
                <w:sz w:val="18"/>
                <w:rtl/>
              </w:rPr>
              <w:t>اقدام کارفرما</w:t>
            </w:r>
          </w:p>
        </w:tc>
        <w:tc>
          <w:tcPr>
            <w:tcW w:type="dxa" w:w="6760"/>
            <w:shd w:fill="17365D"/>
            <w:tcMar>
              <w:top w:w="80" w:type="dxa"/>
              <w:start w:w="120" w:type="dxa"/>
              <w:bottom w:w="80" w:type="dxa"/>
              <w:end w:w="120" w:type="dxa"/>
            </w:tcMar>
            <w:vAlign w:val="center"/>
          </w:tcPr>
          <w:p>
            <w:pPr>
              <w:spacing w:before="0" w:after="0" w:line="252" w:lineRule="auto"/>
              <w:jc w:val="center"/>
              <w:keepNext/>
              <w:bidi/>
            </w:pPr>
            <w:r/>
            <w:r>
              <w:rPr>
                <w:rFonts w:ascii="Arial" w:hAnsi="Arial" w:cs="Arial"/>
                <w:b/>
                <w:i w:val="0"/>
                <w:color w:val="FFFFFF"/>
                <w:sz w:val="18"/>
                <w:rtl/>
              </w:rPr>
              <w:t>مدرک موردنیاز</w:t>
            </w:r>
          </w:p>
        </w:tc>
      </w:tr>
      <w:tr>
        <w:tc>
          <w:tcPr>
            <w:tcW w:type="dxa" w:w="2600"/>
            <w:tcMar>
              <w:top w:w="80" w:type="dxa"/>
              <w:start w:w="120" w:type="dxa"/>
              <w:bottom w:w="80" w:type="dxa"/>
              <w:end w:w="120" w:type="dxa"/>
            </w:tcMar>
            <w:vAlign w:val="center"/>
          </w:tcPr>
          <w:p>
            <w:pPr>
              <w:spacing w:before="0" w:after="0" w:line="252" w:lineRule="auto"/>
              <w:jc w:val="center"/>
              <w:keepNext/>
              <w:bidi/>
            </w:pPr>
            <w:r/>
            <w:r>
              <w:rPr>
                <w:rFonts w:ascii="Arial" w:hAnsi="Arial" w:cs="Arial"/>
                <w:b w:val="0"/>
                <w:i w:val="0"/>
                <w:color w:val="111111"/>
                <w:sz w:val="18"/>
                <w:rtl/>
              </w:rPr>
              <w:t>تأیید زمان برش</w:t>
            </w:r>
          </w:p>
        </w:tc>
        <w:tc>
          <w:tcPr>
            <w:tcW w:type="dxa" w:w="6760"/>
            <w:tcMar>
              <w:top w:w="80" w:type="dxa"/>
              <w:start w:w="120" w:type="dxa"/>
              <w:bottom w:w="80" w:type="dxa"/>
              <w:end w:w="120" w:type="dxa"/>
            </w:tcMar>
            <w:vAlign w:val="center"/>
          </w:tcPr>
          <w:p>
            <w:pPr>
              <w:spacing w:before="0" w:after="0" w:line="252" w:lineRule="auto"/>
              <w:jc w:val="right"/>
              <w:keepNext/>
              <w:bidi/>
            </w:pPr>
            <w:r/>
            <w:r>
              <w:rPr>
                <w:rFonts w:ascii="Arial" w:hAnsi="Arial" w:cs="Arial"/>
                <w:b w:val="0"/>
                <w:i w:val="0"/>
                <w:color w:val="111111"/>
                <w:sz w:val="18"/>
                <w:rtl/>
              </w:rPr>
              <w:t>تاریخ/ساعت استخراج تراز آزمایشی و هر 10 دفتر بانکی</w:t>
            </w:r>
          </w:p>
        </w:tc>
      </w:tr>
      <w:tr>
        <w:tc>
          <w:tcPr>
            <w:tcW w:type="dxa" w:w="2600"/>
            <w:tcMar>
              <w:top w:w="80" w:type="dxa"/>
              <w:start w:w="120" w:type="dxa"/>
              <w:bottom w:w="80" w:type="dxa"/>
              <w:end w:w="120" w:type="dxa"/>
            </w:tcMar>
            <w:vAlign w:val="center"/>
          </w:tcPr>
          <w:p>
            <w:pPr>
              <w:spacing w:before="0" w:after="0" w:line="252" w:lineRule="auto"/>
              <w:jc w:val="center"/>
              <w:keepNext/>
              <w:bidi/>
            </w:pPr>
            <w:r/>
            <w:r>
              <w:rPr>
                <w:rFonts w:ascii="Arial" w:hAnsi="Arial" w:cs="Arial"/>
                <w:b w:val="0"/>
                <w:i w:val="0"/>
                <w:color w:val="111111"/>
                <w:sz w:val="18"/>
                <w:rtl/>
              </w:rPr>
              <w:t>تأیید دامنه</w:t>
            </w:r>
          </w:p>
        </w:tc>
        <w:tc>
          <w:tcPr>
            <w:tcW w:type="dxa" w:w="6760"/>
            <w:tcMar>
              <w:top w:w="80" w:type="dxa"/>
              <w:start w:w="120" w:type="dxa"/>
              <w:bottom w:w="80" w:type="dxa"/>
              <w:end w:w="120" w:type="dxa"/>
            </w:tcMar>
            <w:vAlign w:val="center"/>
          </w:tcPr>
          <w:p>
            <w:pPr>
              <w:spacing w:before="0" w:after="0" w:line="252" w:lineRule="auto"/>
              <w:jc w:val="right"/>
              <w:keepNext/>
              <w:bidi/>
            </w:pPr>
            <w:r/>
            <w:r>
              <w:rPr>
                <w:rFonts w:ascii="Arial" w:hAnsi="Arial" w:cs="Arial"/>
                <w:b w:val="0"/>
                <w:i w:val="0"/>
                <w:color w:val="111111"/>
                <w:sz w:val="18"/>
                <w:rtl/>
              </w:rPr>
              <w:t>لیست حساب‌های بانکی مشمول سرفصل بانک و شناسه هر حساب</w:t>
            </w:r>
          </w:p>
        </w:tc>
      </w:tr>
      <w:tr>
        <w:tc>
          <w:tcPr>
            <w:tcW w:type="dxa" w:w="2600"/>
            <w:tcMar>
              <w:top w:w="80" w:type="dxa"/>
              <w:start w:w="120" w:type="dxa"/>
              <w:bottom w:w="80" w:type="dxa"/>
              <w:end w:w="120" w:type="dxa"/>
            </w:tcMar>
            <w:vAlign w:val="center"/>
          </w:tcPr>
          <w:p>
            <w:pPr>
              <w:spacing w:before="0" w:after="0" w:line="252" w:lineRule="auto"/>
              <w:jc w:val="center"/>
              <w:keepNext/>
              <w:bidi/>
            </w:pPr>
            <w:r/>
            <w:r>
              <w:rPr>
                <w:rFonts w:ascii="Arial" w:hAnsi="Arial" w:cs="Arial"/>
                <w:b w:val="0"/>
                <w:i w:val="0"/>
                <w:color w:val="111111"/>
                <w:sz w:val="18"/>
                <w:rtl/>
              </w:rPr>
              <w:t>ردیابی 700,000,000</w:t>
            </w:r>
          </w:p>
        </w:tc>
        <w:tc>
          <w:tcPr>
            <w:tcW w:type="dxa" w:w="6760"/>
            <w:tcMar>
              <w:top w:w="80" w:type="dxa"/>
              <w:start w:w="120" w:type="dxa"/>
              <w:bottom w:w="80" w:type="dxa"/>
              <w:end w:w="120" w:type="dxa"/>
            </w:tcMar>
            <w:vAlign w:val="center"/>
          </w:tcPr>
          <w:p>
            <w:pPr>
              <w:spacing w:before="0" w:after="0" w:line="252" w:lineRule="auto"/>
              <w:jc w:val="right"/>
              <w:keepNext/>
              <w:bidi/>
            </w:pPr>
            <w:r/>
            <w:r>
              <w:rPr>
                <w:rFonts w:ascii="Arial" w:hAnsi="Arial" w:cs="Arial"/>
                <w:b w:val="0"/>
                <w:i w:val="0"/>
                <w:color w:val="111111"/>
                <w:sz w:val="18"/>
                <w:rtl/>
              </w:rPr>
              <w:t>گزارش سند/معین بانک شامل شماره سند، تاریخ، حساب بدهکار و حساب بستانکار</w:t>
            </w:r>
          </w:p>
        </w:tc>
      </w:tr>
      <w:tr>
        <w:tc>
          <w:tcPr>
            <w:tcW w:type="dxa" w:w="2600"/>
            <w:tcMar>
              <w:top w:w="80" w:type="dxa"/>
              <w:start w:w="120" w:type="dxa"/>
              <w:bottom w:w="80" w:type="dxa"/>
              <w:end w:w="120" w:type="dxa"/>
            </w:tcMar>
            <w:vAlign w:val="center"/>
          </w:tcPr>
          <w:p>
            <w:pPr>
              <w:spacing w:before="0" w:after="0" w:line="252" w:lineRule="auto"/>
              <w:jc w:val="center"/>
              <w:keepNext/>
              <w:bidi/>
            </w:pPr>
            <w:r/>
            <w:r>
              <w:rPr>
                <w:rFonts w:ascii="Arial" w:hAnsi="Arial" w:cs="Arial"/>
                <w:b w:val="0"/>
                <w:i w:val="0"/>
                <w:color w:val="111111"/>
                <w:sz w:val="18"/>
                <w:rtl/>
              </w:rPr>
              <w:t>ردیابی 163,000</w:t>
            </w:r>
          </w:p>
        </w:tc>
        <w:tc>
          <w:tcPr>
            <w:tcW w:type="dxa" w:w="6760"/>
            <w:tcMar>
              <w:top w:w="80" w:type="dxa"/>
              <w:start w:w="120" w:type="dxa"/>
              <w:bottom w:w="80" w:type="dxa"/>
              <w:end w:w="120" w:type="dxa"/>
            </w:tcMar>
            <w:vAlign w:val="center"/>
          </w:tcPr>
          <w:p>
            <w:pPr>
              <w:spacing w:before="0" w:after="0" w:line="252" w:lineRule="auto"/>
              <w:jc w:val="right"/>
              <w:keepNext/>
              <w:bidi/>
            </w:pPr>
            <w:r/>
            <w:r>
              <w:rPr>
                <w:rFonts w:ascii="Arial" w:hAnsi="Arial" w:cs="Arial"/>
                <w:b w:val="0"/>
                <w:i w:val="0"/>
                <w:color w:val="111111"/>
                <w:sz w:val="18"/>
                <w:rtl/>
              </w:rPr>
              <w:t>بررسی سند 14689 و وضعیت ثبت آن در حساب کل بانک</w:t>
            </w:r>
          </w:p>
        </w:tc>
      </w:tr>
      <w:tr>
        <w:tc>
          <w:tcPr>
            <w:tcW w:type="dxa" w:w="2600"/>
            <w:tcMar>
              <w:top w:w="80" w:type="dxa"/>
              <w:start w:w="120" w:type="dxa"/>
              <w:bottom w:w="80" w:type="dxa"/>
              <w:end w:w="120" w:type="dxa"/>
            </w:tcMar>
            <w:vAlign w:val="center"/>
          </w:tcPr>
          <w:p>
            <w:pPr>
              <w:spacing w:before="0" w:after="0" w:line="252" w:lineRule="auto"/>
              <w:jc w:val="center"/>
              <w:keepNext w:val="0"/>
              <w:bidi/>
            </w:pPr>
            <w:r/>
            <w:r>
              <w:rPr>
                <w:rFonts w:ascii="Arial" w:hAnsi="Arial" w:cs="Arial"/>
                <w:b w:val="0"/>
                <w:i w:val="0"/>
                <w:color w:val="111111"/>
                <w:sz w:val="18"/>
                <w:rtl/>
              </w:rPr>
              <w:t>خروجی مجدد</w:t>
            </w:r>
          </w:p>
        </w:tc>
        <w:tc>
          <w:tcPr>
            <w:tcW w:type="dxa" w:w="6760"/>
            <w:tcMar>
              <w:top w:w="80" w:type="dxa"/>
              <w:start w:w="120" w:type="dxa"/>
              <w:bottom w:w="80" w:type="dxa"/>
              <w:end w:w="120" w:type="dxa"/>
            </w:tcMar>
            <w:vAlign w:val="center"/>
          </w:tcPr>
          <w:p>
            <w:pPr>
              <w:spacing w:before="0" w:after="0" w:line="252" w:lineRule="auto"/>
              <w:jc w:val="right"/>
              <w:keepNext w:val="0"/>
              <w:bidi/>
            </w:pPr>
            <w:r/>
            <w:r>
              <w:rPr>
                <w:rFonts w:ascii="Arial" w:hAnsi="Arial" w:cs="Arial"/>
                <w:b w:val="0"/>
                <w:i w:val="0"/>
                <w:color w:val="111111"/>
                <w:sz w:val="18"/>
                <w:rtl/>
              </w:rPr>
              <w:t>تراز و دفاتر بانکی با یک Cut-off مشترک پس از بستن ثبت‌های معلق</w:t>
            </w:r>
          </w:p>
        </w:tc>
      </w:tr>
    </w:tbl>
    <w:p>
      <w:pPr>
        <w:spacing w:after="40"/>
      </w:pPr>
    </w:p>
    <w:p>
      <w:pPr>
        <w:pStyle w:val="Heading1"/>
        <w:jc w:val="right"/>
        <w:keepNext/>
        <w:bidi/>
      </w:pPr>
      <w:r>
        <w:rPr>
          <w:rFonts w:ascii="Arial" w:hAnsi="Arial" w:cs="Arial"/>
          <w:b/>
          <w:i w:val="0"/>
          <w:color w:val="2E74B5"/>
          <w:sz w:val="32"/>
          <w:rtl/>
        </w:rPr>
        <w:t>5. خروجی اسناد روزانه و دفتر روزنامه</w:t>
      </w:r>
    </w:p>
    <w:p>
      <w:pPr>
        <w:pStyle w:val="Heading2"/>
        <w:jc w:val="right"/>
        <w:keepNext/>
        <w:bidi/>
      </w:pPr>
      <w:r>
        <w:rPr>
          <w:rFonts w:ascii="Arial" w:hAnsi="Arial" w:cs="Arial"/>
          <w:b/>
          <w:i w:val="0"/>
          <w:color w:val="2E74B5"/>
          <w:sz w:val="26"/>
          <w:rtl/>
        </w:rPr>
        <w:t>5.1 دفتر عملکرد روزانه</w:t>
      </w:r>
    </w:p>
    <w:p>
      <w:pPr>
        <w:spacing w:before="0" w:after="120" w:line="264" w:lineRule="auto"/>
        <w:jc w:val="right"/>
        <w:keepNext w:val="0"/>
        <w:bidi/>
      </w:pPr>
      <w:r>
        <w:rPr>
          <w:rFonts w:ascii="Arial" w:hAnsi="Arial" w:cs="Arial"/>
          <w:b w:val="0"/>
          <w:i w:val="0"/>
          <w:color w:val="111111"/>
          <w:sz w:val="21"/>
          <w:rtl/>
        </w:rPr>
        <w:t>فایل نمیدونم.xls شامل 22,371 ردیف عملیاتی و 14,114 شماره سند در بازه ثبت‌شده 1403/12/30 تا 1405/06/10 است. جمع ردیف‌های جزئی دقیقاً با ردیف جمع خود فایل برابر است:</w:t>
      </w:r>
    </w:p>
    <w:tbl>
      <w:tblPr>
        <w:tblStyle w:val="TableGrid"/>
        <w:tblW w:type="dxa" w:w="9360"/>
        <w:jc w:val="left"/>
        <w:tblLayout w:type="fixed"/>
        <w:tblLook w:firstColumn="1" w:firstRow="1" w:lastColumn="0" w:lastRow="0" w:noHBand="0" w:noVBand="1" w:val="04A0"/>
        <w:tblInd w:w="120" w:type="dxa"/>
        <w:bidiVisual/>
      </w:tblPr>
      <w:tblGrid>
        <w:gridCol w:w="3120"/>
        <w:gridCol w:w="3120"/>
        <w:gridCol w:w="3120"/>
      </w:tblGrid>
      <w:tr>
        <w:trPr>
          <w:tblHeader/>
        </w:trPr>
        <w:tc>
          <w:tcPr>
            <w:tcW w:type="dxa" w:w="3120"/>
            <w:shd w:fill="17365D"/>
            <w:tcMar>
              <w:top w:w="80" w:type="dxa"/>
              <w:start w:w="120" w:type="dxa"/>
              <w:bottom w:w="80" w:type="dxa"/>
              <w:end w:w="120" w:type="dxa"/>
            </w:tcMar>
            <w:vAlign w:val="center"/>
          </w:tcPr>
          <w:p>
            <w:pPr>
              <w:spacing w:before="0" w:after="0" w:line="252" w:lineRule="auto"/>
              <w:jc w:val="center"/>
              <w:bidi/>
            </w:pPr>
            <w:r/>
            <w:r>
              <w:rPr>
                <w:rFonts w:ascii="Arial" w:hAnsi="Arial" w:cs="Arial"/>
                <w:b/>
                <w:i w:val="0"/>
                <w:color w:val="FFFFFF"/>
                <w:sz w:val="18"/>
                <w:rtl/>
              </w:rPr>
              <w:t>بدهکار</w:t>
            </w:r>
          </w:p>
        </w:tc>
        <w:tc>
          <w:tcPr>
            <w:tcW w:type="dxa" w:w="3120"/>
            <w:shd w:fill="17365D"/>
            <w:tcMar>
              <w:top w:w="80" w:type="dxa"/>
              <w:start w:w="120" w:type="dxa"/>
              <w:bottom w:w="80" w:type="dxa"/>
              <w:end w:w="120" w:type="dxa"/>
            </w:tcMar>
            <w:vAlign w:val="center"/>
          </w:tcPr>
          <w:p>
            <w:pPr>
              <w:spacing w:before="0" w:after="0" w:line="252" w:lineRule="auto"/>
              <w:jc w:val="center"/>
              <w:bidi/>
            </w:pPr>
            <w:r/>
            <w:r>
              <w:rPr>
                <w:rFonts w:ascii="Arial" w:hAnsi="Arial" w:cs="Arial"/>
                <w:b/>
                <w:i w:val="0"/>
                <w:color w:val="FFFFFF"/>
                <w:sz w:val="18"/>
                <w:rtl/>
              </w:rPr>
              <w:t>بستانکار</w:t>
            </w:r>
          </w:p>
        </w:tc>
        <w:tc>
          <w:tcPr>
            <w:tcW w:type="dxa" w:w="3120"/>
            <w:shd w:fill="17365D"/>
            <w:tcMar>
              <w:top w:w="80" w:type="dxa"/>
              <w:start w:w="120" w:type="dxa"/>
              <w:bottom w:w="80" w:type="dxa"/>
              <w:end w:w="120" w:type="dxa"/>
            </w:tcMar>
            <w:vAlign w:val="center"/>
          </w:tcPr>
          <w:p>
            <w:pPr>
              <w:spacing w:before="0" w:after="0" w:line="252" w:lineRule="auto"/>
              <w:jc w:val="center"/>
              <w:bidi/>
            </w:pPr>
            <w:r/>
            <w:r>
              <w:rPr>
                <w:rFonts w:ascii="Arial" w:hAnsi="Arial" w:cs="Arial"/>
                <w:b/>
                <w:i w:val="0"/>
                <w:color w:val="FFFFFF"/>
                <w:sz w:val="18"/>
                <w:rtl/>
              </w:rPr>
              <w:t>خالص بدهکار</w:t>
            </w:r>
          </w:p>
        </w:tc>
      </w:tr>
      <w:tr>
        <w:tc>
          <w:tcPr>
            <w:tcW w:type="dxa" w:w="312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‎3,849,316,596,784‎</w:t>
            </w:r>
          </w:p>
        </w:tc>
        <w:tc>
          <w:tcPr>
            <w:tcW w:type="dxa" w:w="312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‎3,812,919,160,935‎</w:t>
            </w:r>
          </w:p>
        </w:tc>
        <w:tc>
          <w:tcPr>
            <w:tcW w:type="dxa" w:w="312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‎36,397,435,849‎</w:t>
            </w:r>
          </w:p>
        </w:tc>
      </w:tr>
    </w:tbl>
    <w:p>
      <w:pPr>
        <w:spacing w:after="40"/>
      </w:pPr>
    </w:p>
    <w:p>
      <w:pPr>
        <w:spacing w:before="0" w:after="120" w:line="264" w:lineRule="auto"/>
        <w:jc w:val="right"/>
        <w:keepNext w:val="0"/>
        <w:bidi/>
      </w:pPr>
      <w:r>
        <w:rPr>
          <w:rFonts w:ascii="Arial" w:hAnsi="Arial" w:cs="Arial"/>
          <w:b w:val="0"/>
          <w:i w:val="0"/>
          <w:color w:val="111111"/>
          <w:sz w:val="21"/>
          <w:rtl/>
        </w:rPr>
        <w:t>این خالص به‌تنهایی نشانه مغایرت حسابداری نیست؛ فقط 3,058 شماره سند در همین خروجی دارای جمع بدهکار و بستانکار برابرند و 11,056 شماره سند طرف کامل دوبل را در فایل ندارند. بنابراین این فایل یک گزارش عملکرد عملیاتی است و نباید به‌عنوان دفتر کل دوبل یا کنترل نهایی تراز استفاده شود.</w:t>
      </w:r>
    </w:p>
    <w:p>
      <w:pPr>
        <w:pStyle w:val="Heading2"/>
        <w:jc w:val="right"/>
        <w:keepNext/>
        <w:bidi/>
      </w:pPr>
      <w:r>
        <w:rPr>
          <w:rFonts w:ascii="Arial" w:hAnsi="Arial" w:cs="Arial"/>
          <w:b/>
          <w:i w:val="0"/>
          <w:color w:val="2E74B5"/>
          <w:sz w:val="26"/>
          <w:rtl/>
        </w:rPr>
        <w:t>5.2 دفتر روزنامه XLSX</w:t>
      </w:r>
    </w:p>
    <w:p>
      <w:pPr>
        <w:spacing w:before="0" w:after="120" w:line="264" w:lineRule="auto"/>
        <w:jc w:val="right"/>
        <w:keepNext w:val="0"/>
        <w:bidi/>
      </w:pPr>
      <w:r>
        <w:rPr>
          <w:rFonts w:ascii="Arial" w:hAnsi="Arial" w:cs="Arial"/>
          <w:b w:val="0"/>
          <w:i w:val="0"/>
          <w:color w:val="111111"/>
          <w:sz w:val="21"/>
          <w:rtl/>
        </w:rPr>
        <w:t>فایل دفتر روزنامه(1).xlsx تعداد 26,016 ردیف دارد، اما ردیف جمع انتهایی آن در سلول‌ها به‌شکل رشته‌های عددی با جداکننده ناقص ذخیره شده و تاریخ، شماره سند و کد حساب استاندارد در هر ردیف ارائه نشده است. این فایل برای نگهداری شواهد مناسب است، اما برای Import قطعی سند حسابداری کفایت ندارد.</w:t>
      </w:r>
    </w:p>
    <w:p>
      <w:pPr>
        <w:spacing w:before="100" w:after="160" w:line="264" w:lineRule="auto"/>
        <w:ind w:left="140" w:right="140"/>
        <w:jc w:val="right"/>
        <w:bidi/>
        <w:shd w:fill="EAF2F8"/>
        <w:pBdr>
          <w:top w:val="single" w:sz="4" w:space="4" w:color="7F8C8D"/>
          <w:start w:val="single" w:sz="4" w:space="4" w:color="7F8C8D"/>
          <w:bottom w:val="single" w:sz="4" w:space="4" w:color="7F8C8D"/>
          <w:end w:val="single" w:sz="4" w:space="4" w:color="7F8C8D"/>
        </w:pBdr>
      </w:pPr>
      <w:r>
        <w:rPr>
          <w:rFonts w:ascii="Arial" w:hAnsi="Arial" w:cs="Arial"/>
          <w:b/>
          <w:i w:val="0"/>
          <w:color w:val="17365D"/>
          <w:sz w:val="21"/>
          <w:rtl/>
        </w:rPr>
        <w:t xml:space="preserve">خروجی جایگزین موردنیاز: </w:t>
      </w:r>
      <w:r>
        <w:rPr>
          <w:rFonts w:ascii="Arial" w:hAnsi="Arial" w:cs="Arial"/>
          <w:b w:val="0"/>
          <w:i w:val="0"/>
          <w:color w:val="111111"/>
          <w:sz w:val="21"/>
          <w:rtl/>
        </w:rPr>
        <w:t>یک خروجی استاندارد با ستون‌های ثابت شامل شماره سند، تاریخ سند، ردیف سند، کد حساب کل/معین/تفصیلی، شرح، بدهکار، بستانکار، نوع سند و وضعیت قطعی دریافت شود. هر سند باید بعد از گروه‌بندی شماره سند، بدهکار و بستانکار برابر داشته باشد.</w:t>
      </w:r>
    </w:p>
    <w:p>
      <w:pPr>
        <w:pStyle w:val="Heading1"/>
        <w:jc w:val="right"/>
        <w:keepNext/>
        <w:bidi/>
      </w:pPr>
      <w:r>
        <w:rPr>
          <w:rFonts w:ascii="Arial" w:hAnsi="Arial" w:cs="Arial"/>
          <w:b/>
          <w:i w:val="0"/>
          <w:color w:val="2E74B5"/>
          <w:sz w:val="32"/>
          <w:rtl/>
        </w:rPr>
        <w:t>6. موجودی انبار</w:t>
      </w:r>
    </w:p>
    <w:tbl>
      <w:tblPr>
        <w:tblStyle w:val="TableGrid"/>
        <w:tblW w:type="dxa" w:w="9360"/>
        <w:jc w:val="left"/>
        <w:tblLayout w:type="fixed"/>
        <w:tblLook w:firstColumn="1" w:firstRow="1" w:lastColumn="0" w:lastRow="0" w:noHBand="0" w:noVBand="1" w:val="04A0"/>
        <w:tblInd w:w="120" w:type="dxa"/>
        <w:bidiVisual/>
      </w:tblPr>
      <w:tblGrid>
        <w:gridCol w:w="3500"/>
        <w:gridCol w:w="5860"/>
      </w:tblGrid>
      <w:tr>
        <w:trPr>
          <w:tblHeader/>
        </w:trPr>
        <w:tc>
          <w:tcPr>
            <w:tcW w:type="dxa" w:w="3500"/>
            <w:shd w:fill="17365D"/>
            <w:tcMar>
              <w:top w:w="80" w:type="dxa"/>
              <w:start w:w="120" w:type="dxa"/>
              <w:bottom w:w="80" w:type="dxa"/>
              <w:end w:w="120" w:type="dxa"/>
            </w:tcMar>
            <w:vAlign w:val="center"/>
          </w:tcPr>
          <w:p>
            <w:pPr>
              <w:spacing w:before="0" w:after="0" w:line="252" w:lineRule="auto"/>
              <w:jc w:val="center"/>
              <w:bidi/>
            </w:pPr>
            <w:r/>
            <w:r>
              <w:rPr>
                <w:rFonts w:ascii="Arial" w:hAnsi="Arial" w:cs="Arial"/>
                <w:b/>
                <w:i w:val="0"/>
                <w:color w:val="FFFFFF"/>
                <w:sz w:val="18"/>
                <w:rtl/>
              </w:rPr>
              <w:t>شاخص</w:t>
            </w:r>
          </w:p>
        </w:tc>
        <w:tc>
          <w:tcPr>
            <w:tcW w:type="dxa" w:w="5860"/>
            <w:shd w:fill="17365D"/>
            <w:tcMar>
              <w:top w:w="80" w:type="dxa"/>
              <w:start w:w="120" w:type="dxa"/>
              <w:bottom w:w="80" w:type="dxa"/>
              <w:end w:w="120" w:type="dxa"/>
            </w:tcMar>
            <w:vAlign w:val="center"/>
          </w:tcPr>
          <w:p>
            <w:pPr>
              <w:spacing w:before="0" w:after="0" w:line="252" w:lineRule="auto"/>
              <w:jc w:val="center"/>
              <w:bidi/>
            </w:pPr>
            <w:r/>
            <w:r>
              <w:rPr>
                <w:rFonts w:ascii="Arial" w:hAnsi="Arial" w:cs="Arial"/>
                <w:b/>
                <w:i w:val="0"/>
                <w:color w:val="FFFFFF"/>
                <w:sz w:val="18"/>
                <w:rtl/>
              </w:rPr>
              <w:t>نتیجه</w:t>
            </w:r>
          </w:p>
        </w:tc>
      </w:tr>
      <w:tr>
        <w:tc>
          <w:tcPr>
            <w:tcW w:type="dxa" w:w="35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تعداد فایل‌های انبار</w:t>
            </w:r>
          </w:p>
        </w:tc>
        <w:tc>
          <w:tcPr>
            <w:tcW w:type="dxa" w:w="586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‎18‎</w:t>
            </w:r>
          </w:p>
        </w:tc>
      </w:tr>
      <w:tr>
        <w:tc>
          <w:tcPr>
            <w:tcW w:type="dxa" w:w="35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ردیف کالای دارای کد</w:t>
            </w:r>
          </w:p>
        </w:tc>
        <w:tc>
          <w:tcPr>
            <w:tcW w:type="dxa" w:w="586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‎863‎</w:t>
            </w:r>
          </w:p>
        </w:tc>
      </w:tr>
      <w:tr>
        <w:tc>
          <w:tcPr>
            <w:tcW w:type="dxa" w:w="35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کد کالای یکتا در کل فایل‌ها</w:t>
            </w:r>
          </w:p>
        </w:tc>
        <w:tc>
          <w:tcPr>
            <w:tcW w:type="dxa" w:w="586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‎858‎</w:t>
            </w:r>
          </w:p>
        </w:tc>
      </w:tr>
      <w:tr>
        <w:tc>
          <w:tcPr>
            <w:tcW w:type="dxa" w:w="35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تکرار کد بین انبارها</w:t>
            </w:r>
          </w:p>
        </w:tc>
        <w:tc>
          <w:tcPr>
            <w:tcW w:type="dxa" w:w="586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‎5‎ - مجاز در صورت موجودی یک کالا در چند انبار</w:t>
            </w:r>
          </w:p>
        </w:tc>
      </w:tr>
      <w:tr>
        <w:tc>
          <w:tcPr>
            <w:tcW w:type="dxa" w:w="35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جمع مقداری موجودی فایل‌ها</w:t>
            </w:r>
          </w:p>
        </w:tc>
        <w:tc>
          <w:tcPr>
            <w:tcW w:type="dxa" w:w="586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‎3,686‎ واحد منبع</w:t>
            </w:r>
          </w:p>
        </w:tc>
      </w:tr>
      <w:tr>
        <w:tc>
          <w:tcPr>
            <w:tcW w:type="dxa" w:w="35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ردیف جمع بدون کد کالا</w:t>
            </w:r>
          </w:p>
        </w:tc>
        <w:tc>
          <w:tcPr>
            <w:tcW w:type="dxa" w:w="586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‎17‎</w:t>
            </w:r>
          </w:p>
        </w:tc>
      </w:tr>
      <w:tr>
        <w:tc>
          <w:tcPr>
            <w:tcW w:type="dxa" w:w="35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8"/>
                <w:rtl/>
              </w:rPr>
              <w:t>انبار بدون موجودی</w:t>
            </w:r>
          </w:p>
        </w:tc>
        <w:tc>
          <w:tcPr>
            <w:tcW w:type="dxa" w:w="586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8"/>
                <w:rtl/>
              </w:rPr>
              <w:t>انبار کشو فلش - بدون ردیف کالا؛ باید به‌عنوان انبار صفر حفظ شود</w:t>
            </w:r>
          </w:p>
        </w:tc>
      </w:tr>
    </w:tbl>
    <w:p>
      <w:pPr>
        <w:spacing w:after="40"/>
      </w:pPr>
    </w:p>
    <w:p>
      <w:pPr>
        <w:spacing w:before="0" w:after="120" w:line="264" w:lineRule="auto"/>
        <w:jc w:val="right"/>
        <w:keepNext w:val="0"/>
        <w:bidi/>
      </w:pPr>
      <w:r>
        <w:rPr>
          <w:rFonts w:ascii="Arial" w:hAnsi="Arial" w:cs="Arial"/>
          <w:b w:val="0"/>
          <w:i w:val="0"/>
          <w:color w:val="111111"/>
          <w:sz w:val="21"/>
          <w:rtl/>
        </w:rPr>
        <w:t>17 ردیف بدون کد کالا، ردیف جمع موجودی هر فایل هستند و نباید به‌عنوان کالا Import شوند. برای اعلام تطبیق یا مغایرت موجودی، شناسه پایدار هر انبار و زمان برش مشترک بین فایل حساب کالا و فایل‌های موجودی لازم است؛ این دو مورد در بسته صریح نیستند.</w:t>
      </w:r>
    </w:p>
    <w:p>
      <w:pPr>
        <w:pStyle w:val="Heading1"/>
        <w:jc w:val="right"/>
        <w:keepNext/>
        <w:bidi/>
      </w:pPr>
      <w:r>
        <w:rPr>
          <w:rFonts w:ascii="Arial" w:hAnsi="Arial" w:cs="Arial"/>
          <w:b/>
          <w:i w:val="0"/>
          <w:color w:val="2E74B5"/>
          <w:sz w:val="32"/>
          <w:rtl/>
        </w:rPr>
        <w:t>7. جمع‌بندی تصمیم و موارد تأیید</w:t>
      </w:r>
    </w:p>
    <w:tbl>
      <w:tblPr>
        <w:tblStyle w:val="TableGrid"/>
        <w:tblW w:type="dxa" w:w="9360"/>
        <w:jc w:val="left"/>
        <w:tblLayout w:type="fixed"/>
        <w:tblLook w:firstColumn="1" w:firstRow="1" w:lastColumn="0" w:lastRow="0" w:noHBand="0" w:noVBand="1" w:val="04A0"/>
        <w:tblInd w:w="120" w:type="dxa"/>
        <w:bidiVisual/>
      </w:tblPr>
      <w:tblGrid>
        <w:gridCol w:w="900"/>
        <w:gridCol w:w="4900"/>
        <w:gridCol w:w="2100"/>
        <w:gridCol w:w="1460"/>
      </w:tblGrid>
      <w:tr>
        <w:trPr>
          <w:tblHeader/>
        </w:trPr>
        <w:tc>
          <w:tcPr>
            <w:tcW w:type="dxa" w:w="900"/>
            <w:shd w:fill="17365D"/>
            <w:tcMar>
              <w:top w:w="80" w:type="dxa"/>
              <w:start w:w="120" w:type="dxa"/>
              <w:bottom w:w="80" w:type="dxa"/>
              <w:end w:w="120" w:type="dxa"/>
            </w:tcMar>
            <w:vAlign w:val="center"/>
          </w:tcPr>
          <w:p>
            <w:pPr>
              <w:spacing w:before="0" w:after="0" w:line="252" w:lineRule="auto"/>
              <w:jc w:val="center"/>
              <w:bidi/>
            </w:pPr>
            <w:r/>
            <w:r>
              <w:rPr>
                <w:rFonts w:ascii="Arial" w:hAnsi="Arial" w:cs="Arial"/>
                <w:b/>
                <w:i w:val="0"/>
                <w:color w:val="FFFFFF"/>
                <w:sz w:val="18"/>
                <w:rtl/>
              </w:rPr>
              <w:t>ردیف</w:t>
            </w:r>
          </w:p>
        </w:tc>
        <w:tc>
          <w:tcPr>
            <w:tcW w:type="dxa" w:w="4900"/>
            <w:shd w:fill="17365D"/>
            <w:tcMar>
              <w:top w:w="80" w:type="dxa"/>
              <w:start w:w="120" w:type="dxa"/>
              <w:bottom w:w="80" w:type="dxa"/>
              <w:end w:w="120" w:type="dxa"/>
            </w:tcMar>
            <w:vAlign w:val="center"/>
          </w:tcPr>
          <w:p>
            <w:pPr>
              <w:spacing w:before="0" w:after="0" w:line="252" w:lineRule="auto"/>
              <w:jc w:val="center"/>
              <w:bidi/>
            </w:pPr>
            <w:r/>
            <w:r>
              <w:rPr>
                <w:rFonts w:ascii="Arial" w:hAnsi="Arial" w:cs="Arial"/>
                <w:b/>
                <w:i w:val="0"/>
                <w:color w:val="FFFFFF"/>
                <w:sz w:val="18"/>
                <w:rtl/>
              </w:rPr>
              <w:t>تصمیم/تأیید موردنیاز</w:t>
            </w:r>
          </w:p>
        </w:tc>
        <w:tc>
          <w:tcPr>
            <w:tcW w:type="dxa" w:w="2100"/>
            <w:shd w:fill="17365D"/>
            <w:tcMar>
              <w:top w:w="80" w:type="dxa"/>
              <w:start w:w="120" w:type="dxa"/>
              <w:bottom w:w="80" w:type="dxa"/>
              <w:end w:w="120" w:type="dxa"/>
            </w:tcMar>
            <w:vAlign w:val="center"/>
          </w:tcPr>
          <w:p>
            <w:pPr>
              <w:spacing w:before="0" w:after="0" w:line="252" w:lineRule="auto"/>
              <w:jc w:val="center"/>
              <w:bidi/>
            </w:pPr>
            <w:r/>
            <w:r>
              <w:rPr>
                <w:rFonts w:ascii="Arial" w:hAnsi="Arial" w:cs="Arial"/>
                <w:b/>
                <w:i w:val="0"/>
                <w:color w:val="FFFFFF"/>
                <w:sz w:val="18"/>
                <w:rtl/>
              </w:rPr>
              <w:t>مسئول پیشنهادی</w:t>
            </w:r>
          </w:p>
        </w:tc>
        <w:tc>
          <w:tcPr>
            <w:tcW w:type="dxa" w:w="1460"/>
            <w:shd w:fill="17365D"/>
            <w:tcMar>
              <w:top w:w="80" w:type="dxa"/>
              <w:start w:w="120" w:type="dxa"/>
              <w:bottom w:w="80" w:type="dxa"/>
              <w:end w:w="120" w:type="dxa"/>
            </w:tcMar>
            <w:vAlign w:val="center"/>
          </w:tcPr>
          <w:p>
            <w:pPr>
              <w:spacing w:before="0" w:after="0" w:line="252" w:lineRule="auto"/>
              <w:jc w:val="center"/>
              <w:bidi/>
            </w:pPr>
            <w:r/>
            <w:r>
              <w:rPr>
                <w:rFonts w:ascii="Arial" w:hAnsi="Arial" w:cs="Arial"/>
                <w:b/>
                <w:i w:val="0"/>
                <w:color w:val="FFFFFF"/>
                <w:sz w:val="18"/>
                <w:rtl/>
              </w:rPr>
              <w:t>وضعیت</w:t>
            </w:r>
          </w:p>
        </w:tc>
      </w:tr>
      <w:tr>
        <w:tc>
          <w:tcPr>
            <w:tcW w:type="dxa" w:w="9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6"/>
                <w:rtl/>
              </w:rPr>
              <w:t>1</w:t>
            </w:r>
          </w:p>
        </w:tc>
        <w:tc>
          <w:tcPr>
            <w:tcW w:type="dxa" w:w="490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6"/>
                <w:rtl/>
              </w:rPr>
              <w:t>اعلام واحد پول منبع: ریال یا تومان</w:t>
            </w:r>
          </w:p>
        </w:tc>
        <w:tc>
          <w:tcPr>
            <w:tcW w:type="dxa" w:w="210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6"/>
                <w:rtl/>
              </w:rPr>
              <w:t>کارفرما / حسابدار</w:t>
            </w:r>
          </w:p>
        </w:tc>
        <w:tc>
          <w:tcPr>
            <w:tcW w:type="dxa" w:w="146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6"/>
                <w:rtl/>
              </w:rPr>
              <w:t>باز</w:t>
            </w:r>
          </w:p>
        </w:tc>
      </w:tr>
      <w:tr>
        <w:tc>
          <w:tcPr>
            <w:tcW w:type="dxa" w:w="9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6"/>
                <w:rtl/>
              </w:rPr>
              <w:t>2</w:t>
            </w:r>
          </w:p>
        </w:tc>
        <w:tc>
          <w:tcPr>
            <w:tcW w:type="dxa" w:w="490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6"/>
                <w:rtl/>
              </w:rPr>
              <w:t>تأیید زمان برش مشترک یا ارائه خروجی مجدد بانک و تراز</w:t>
            </w:r>
          </w:p>
        </w:tc>
        <w:tc>
          <w:tcPr>
            <w:tcW w:type="dxa" w:w="210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6"/>
                <w:rtl/>
              </w:rPr>
              <w:t>حسابدار</w:t>
            </w:r>
          </w:p>
        </w:tc>
        <w:tc>
          <w:tcPr>
            <w:tcW w:type="dxa" w:w="146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6"/>
                <w:rtl/>
              </w:rPr>
              <w:t>باز</w:t>
            </w:r>
          </w:p>
        </w:tc>
      </w:tr>
      <w:tr>
        <w:tc>
          <w:tcPr>
            <w:tcW w:type="dxa" w:w="9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6"/>
                <w:rtl/>
              </w:rPr>
              <w:t>3</w:t>
            </w:r>
          </w:p>
        </w:tc>
        <w:tc>
          <w:tcPr>
            <w:tcW w:type="dxa" w:w="490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6"/>
                <w:rtl/>
              </w:rPr>
              <w:t>تعیین تکلیف اختلاف خالص 699,837,000 بانک</w:t>
            </w:r>
          </w:p>
        </w:tc>
        <w:tc>
          <w:tcPr>
            <w:tcW w:type="dxa" w:w="210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6"/>
                <w:rtl/>
              </w:rPr>
              <w:t>حسابدار</w:t>
            </w:r>
          </w:p>
        </w:tc>
        <w:tc>
          <w:tcPr>
            <w:tcW w:type="dxa" w:w="146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6"/>
                <w:rtl/>
              </w:rPr>
              <w:t>باز</w:t>
            </w:r>
          </w:p>
        </w:tc>
      </w:tr>
      <w:tr>
        <w:tc>
          <w:tcPr>
            <w:tcW w:type="dxa" w:w="9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6"/>
                <w:rtl/>
              </w:rPr>
              <w:t>4</w:t>
            </w:r>
          </w:p>
        </w:tc>
        <w:tc>
          <w:tcPr>
            <w:tcW w:type="dxa" w:w="490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6"/>
                <w:rtl/>
              </w:rPr>
              <w:t>تأیید حذف 782 ردیف تکراری دقیق بر مبنای Legacy Code</w:t>
            </w:r>
          </w:p>
        </w:tc>
        <w:tc>
          <w:tcPr>
            <w:tcW w:type="dxa" w:w="210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6"/>
                <w:rtl/>
              </w:rPr>
              <w:t>کارفرما</w:t>
            </w:r>
          </w:p>
        </w:tc>
        <w:tc>
          <w:tcPr>
            <w:tcW w:type="dxa" w:w="146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6"/>
                <w:rtl/>
              </w:rPr>
              <w:t>باز</w:t>
            </w:r>
          </w:p>
        </w:tc>
      </w:tr>
      <w:tr>
        <w:tc>
          <w:tcPr>
            <w:tcW w:type="dxa" w:w="9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6"/>
                <w:rtl/>
              </w:rPr>
              <w:t>5</w:t>
            </w:r>
          </w:p>
        </w:tc>
        <w:tc>
          <w:tcPr>
            <w:tcW w:type="dxa" w:w="490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6"/>
                <w:rtl/>
              </w:rPr>
              <w:t>تأیید اینکه 100 شخص فاقد مانده، حساب بدون گردش/مانده‌اند</w:t>
            </w:r>
          </w:p>
        </w:tc>
        <w:tc>
          <w:tcPr>
            <w:tcW w:type="dxa" w:w="210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6"/>
                <w:rtl/>
              </w:rPr>
              <w:t>حسابدار</w:t>
            </w:r>
          </w:p>
        </w:tc>
        <w:tc>
          <w:tcPr>
            <w:tcW w:type="dxa" w:w="146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6"/>
                <w:rtl/>
              </w:rPr>
              <w:t>باز</w:t>
            </w:r>
          </w:p>
        </w:tc>
      </w:tr>
      <w:tr>
        <w:tc>
          <w:tcPr>
            <w:tcW w:type="dxa" w:w="9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6"/>
                <w:rtl/>
              </w:rPr>
              <w:t>6</w:t>
            </w:r>
          </w:p>
        </w:tc>
        <w:tc>
          <w:tcPr>
            <w:tcW w:type="dxa" w:w="490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6"/>
                <w:rtl/>
              </w:rPr>
              <w:t>ارائه نگاشت شناسه انبارها و Cut-off موجودی</w:t>
            </w:r>
          </w:p>
        </w:tc>
        <w:tc>
          <w:tcPr>
            <w:tcW w:type="dxa" w:w="210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6"/>
                <w:rtl/>
              </w:rPr>
              <w:t>انباردار</w:t>
            </w:r>
          </w:p>
        </w:tc>
        <w:tc>
          <w:tcPr>
            <w:tcW w:type="dxa" w:w="146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6"/>
                <w:rtl/>
              </w:rPr>
              <w:t>باز</w:t>
            </w:r>
          </w:p>
        </w:tc>
      </w:tr>
      <w:tr>
        <w:tc>
          <w:tcPr>
            <w:tcW w:type="dxa" w:w="9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6"/>
                <w:rtl/>
              </w:rPr>
              <w:t>7</w:t>
            </w:r>
          </w:p>
        </w:tc>
        <w:tc>
          <w:tcPr>
            <w:tcW w:type="dxa" w:w="490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6"/>
                <w:rtl/>
              </w:rPr>
              <w:t>ارائه خروجی استاندارد سند دوبل</w:t>
            </w:r>
          </w:p>
        </w:tc>
        <w:tc>
          <w:tcPr>
            <w:tcW w:type="dxa" w:w="210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6"/>
                <w:rtl/>
              </w:rPr>
              <w:t>پشتیبان حسابداری آسان</w:t>
            </w:r>
          </w:p>
        </w:tc>
        <w:tc>
          <w:tcPr>
            <w:tcW w:type="dxa" w:w="146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6"/>
                <w:rtl/>
              </w:rPr>
              <w:t>باز</w:t>
            </w:r>
          </w:p>
        </w:tc>
      </w:tr>
      <w:tr>
        <w:tc>
          <w:tcPr>
            <w:tcW w:type="dxa" w:w="900"/>
            <w:tcMar>
              <w:top w:w="80" w:type="dxa"/>
              <w:start w:w="120" w:type="dxa"/>
              <w:bottom w:w="80" w:type="dxa"/>
              <w:end w:w="120" w:type="dxa"/>
            </w:tcMar>
            <w:vAlign w:val="center"/>
          </w:tcPr>
          <w:p>
            <w:pPr>
              <w:spacing w:before="0" w:after="0" w:line="252" w:lineRule="auto"/>
              <w:jc w:val="center"/>
              <w:bidi/>
            </w:pPr>
            <w:r/>
            <w:r>
              <w:rPr>
                <w:rFonts w:ascii="Arial" w:hAnsi="Arial" w:cs="Arial"/>
                <w:b w:val="0"/>
                <w:i w:val="0"/>
                <w:color w:val="111111"/>
                <w:sz w:val="16"/>
                <w:rtl/>
              </w:rPr>
              <w:t>8</w:t>
            </w:r>
          </w:p>
        </w:tc>
        <w:tc>
          <w:tcPr>
            <w:tcW w:type="dxa" w:w="490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6"/>
                <w:rtl/>
              </w:rPr>
              <w:t>تأیید گزارش نهایی مغایرت قبل از Import قطعی</w:t>
            </w:r>
          </w:p>
        </w:tc>
        <w:tc>
          <w:tcPr>
            <w:tcW w:type="dxa" w:w="210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6"/>
                <w:rtl/>
              </w:rPr>
              <w:t>مدیر پروژه / کارفرما</w:t>
            </w:r>
          </w:p>
        </w:tc>
        <w:tc>
          <w:tcPr>
            <w:tcW w:type="dxa" w:w="1460"/>
            <w:tcMar>
              <w:top w:w="80" w:type="dxa"/>
              <w:start w:w="120" w:type="dxa"/>
              <w:bottom w:w="80" w:type="dxa"/>
              <w:end w:w="120" w:type="dxa"/>
            </w:tcMar>
            <w:vAlign w:val="center"/>
          </w:tcPr>
          <w:p>
            <w:pPr>
              <w:spacing w:before="0" w:after="0" w:line="252" w:lineRule="auto"/>
              <w:jc w:val="right"/>
              <w:bidi/>
            </w:pPr>
            <w:r/>
            <w:r>
              <w:rPr>
                <w:rFonts w:ascii="Arial" w:hAnsi="Arial" w:cs="Arial"/>
                <w:b w:val="0"/>
                <w:i w:val="0"/>
                <w:color w:val="111111"/>
                <w:sz w:val="16"/>
                <w:rtl/>
              </w:rPr>
              <w:t>باز</w:t>
            </w:r>
          </w:p>
        </w:tc>
      </w:tr>
    </w:tbl>
    <w:p>
      <w:pPr>
        <w:spacing w:after="40"/>
      </w:pPr>
    </w:p>
    <w:p>
      <w:pPr>
        <w:spacing w:before="100" w:after="160" w:line="264" w:lineRule="auto"/>
        <w:ind w:left="140" w:right="140"/>
        <w:jc w:val="right"/>
        <w:bidi/>
        <w:shd w:fill="FCE8E6"/>
        <w:pBdr>
          <w:top w:val="single" w:sz="4" w:space="4" w:color="7F8C8D"/>
          <w:start w:val="single" w:sz="4" w:space="4" w:color="7F8C8D"/>
          <w:bottom w:val="single" w:sz="4" w:space="4" w:color="7F8C8D"/>
          <w:end w:val="single" w:sz="4" w:space="4" w:color="7F8C8D"/>
        </w:pBdr>
      </w:pPr>
      <w:r>
        <w:rPr>
          <w:rFonts w:ascii="Arial" w:hAnsi="Arial" w:cs="Arial"/>
          <w:b/>
          <w:i w:val="0"/>
          <w:color w:val="9C0006"/>
          <w:sz w:val="21"/>
          <w:rtl/>
        </w:rPr>
        <w:t xml:space="preserve">حکم نهایی: </w:t>
      </w:r>
      <w:r>
        <w:rPr>
          <w:rFonts w:ascii="Arial" w:hAnsi="Arial" w:cs="Arial"/>
          <w:b w:val="0"/>
          <w:i w:val="0"/>
          <w:color w:val="111111"/>
          <w:sz w:val="21"/>
          <w:rtl/>
        </w:rPr>
        <w:t>بسته برای نگهداری و Staging غیرمخرب مناسب است؛ برای Import نهایی حسابداری هنوز آماده نیست. مانع اصلی، اختلاف مشروط بانک، نبود واحد پول صریح، نبود Cut-off مشترک و نبود خروجی کامل سند دوبل است.</w:t>
      </w:r>
    </w:p>
    <w:p>
      <w:pPr>
        <w:pStyle w:val="Heading1"/>
        <w:jc w:val="right"/>
        <w:keepNext/>
        <w:bidi/>
      </w:pPr>
      <w:r>
        <w:rPr>
          <w:rFonts w:ascii="Arial" w:hAnsi="Arial" w:cs="Arial"/>
          <w:b/>
          <w:i w:val="0"/>
          <w:color w:val="2E74B5"/>
          <w:sz w:val="32"/>
          <w:rtl/>
        </w:rPr>
        <w:t>پیوست A - فهرست منابع اصلی کنترل</w:t>
      </w:r>
    </w:p>
    <w:p>
      <w:pPr>
        <w:spacing w:before="0" w:after="60" w:line="264" w:lineRule="auto"/>
        <w:jc w:val="right"/>
        <w:keepNext w:val="0"/>
        <w:bidi/>
      </w:pPr>
      <w:r>
        <w:rPr>
          <w:rFonts w:ascii="Arial" w:hAnsi="Arial" w:cs="Arial"/>
          <w:b w:val="0"/>
          <w:i w:val="0"/>
          <w:color w:val="111111"/>
          <w:sz w:val="21"/>
          <w:rtl/>
        </w:rPr>
        <w:t>منابع مالی اصلی: تراز ازمایشی.xlsx، مانده حساب ها.xlsx، مخاطبین(1).xlsx، نمیدونم.xls، دفتر روزنامه(1).xlsx، ده فایل بانکی و صندوق.xlsx.</w:t>
      </w:r>
    </w:p>
    <w:p>
      <w:pPr>
        <w:spacing w:before="0" w:after="60" w:line="264" w:lineRule="auto"/>
        <w:jc w:val="right"/>
        <w:keepNext w:val="0"/>
        <w:bidi/>
      </w:pPr>
      <w:r>
        <w:rPr>
          <w:rFonts w:ascii="Arial" w:hAnsi="Arial" w:cs="Arial"/>
          <w:b w:val="0"/>
          <w:i w:val="0"/>
          <w:color w:val="111111"/>
          <w:sz w:val="21"/>
          <w:rtl/>
        </w:rPr>
        <w:t>منابع کالا و قواعد: حساب کالا.xlsx، هجده فایل موجودی انبار و SAMI_ERP_Migration_Manifest.xlsx.</w:t>
      </w:r>
    </w:p>
    <w:p>
      <w:pPr>
        <w:spacing w:before="0" w:after="120" w:line="264" w:lineRule="auto"/>
        <w:jc w:val="right"/>
        <w:keepNext w:val="0"/>
        <w:bidi/>
      </w:pPr>
      <w:r>
        <w:rPr>
          <w:rFonts w:ascii="Arial" w:hAnsi="Arial" w:cs="Arial"/>
          <w:b w:val="0"/>
          <w:i/>
          <w:color w:val="5F6368"/>
          <w:sz w:val="21"/>
          <w:rtl/>
        </w:rPr>
        <w:t>یادداشت ممیزی: اعداد این گزارش با دو مسیر مستقل بازجمع شدند؛ ردیف‌های جمع از ردیف‌های داده جدا شدند و ادعاهای فاقد تعریف گزارش یا زمان برش، به‌صورت «نیازمند تأیید» ثبت شده‌اند.</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Arial" w:hAnsi="Arial" w:cs="Arial"/>
        <w:b w:val="0"/>
        <w:i w:val="0"/>
        <w:color w:val="5F6368"/>
        <w:sz w:val="17"/>
        <w:rtl/>
      </w:rPr>
      <w:t xml:space="preserve">صفحه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pPr>
    <w:r>
      <w:rPr>
        <w:rFonts w:ascii="Arial" w:hAnsi="Arial" w:cs="Arial"/>
        <w:b w:val="0"/>
        <w:i w:val="0"/>
        <w:color w:val="5F6368"/>
        <w:sz w:val="17"/>
        <w:rtl/>
      </w:rPr>
      <w:t>SAMI ERP | گزارش کنترل مهاجرت داده‌های حسابداری آسان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cs="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cs="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cs="Arial"/>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کنترل و تطبیق بسته مهاجرت حسابداری آسان به SAMI ERP</dc:title>
  <dc:subject>Migration reconciliation and employer review</dc:subject>
  <dc:creator/>
  <cp:keywords/>
  <dc:description>External-shareable reconciliation report</dc:description>
  <cp:lastModifiedBy/>
  <cp:revision>1</cp:revision>
  <dcterms:created xsi:type="dcterms:W3CDTF">2013-12-23T23:15:00Z</dcterms:created>
  <dcterms:modified xsi:type="dcterms:W3CDTF">2013-12-23T23:15:00Z</dcterms:modified>
  <cp:category/>
</cp:coreProperties>
</file>