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" w:hAnsi="Helvetica" w:cs="Helvetica"/>
          <w:sz w:val="48"/>
          <w:sz-cs w:val="48"/>
          <w:b/>
          <w:spacing w:val="0"/>
        </w:rPr>
        <w:t xml:space="preserve">Noty conversion check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A paragraph with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bold text</w:t>
      </w:r>
      <w:r>
        <w:rPr>
          <w:rFonts w:ascii="Helvetica" w:hAnsi="Helvetica" w:cs="Helvetica"/>
          <w:sz w:val="24"/>
          <w:sz-cs w:val="24"/>
          <w:spacing w:val="0"/>
        </w:rPr>
        <w:t xml:space="preserve">, </w:t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italics</w:t>
      </w:r>
      <w:r>
        <w:rPr>
          <w:rFonts w:ascii="Helvetica" w:hAnsi="Helvetica" w:cs="Helvetica"/>
          <w:sz w:val="24"/>
          <w:sz-cs w:val="24"/>
          <w:spacing w:val="0"/>
        </w:rPr>
        <w:t xml:space="preserve">, and an umlaut: Größe.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Subject</w:t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Score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Biology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93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History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88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Second section after the table.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