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0"/>
      </w:pPr>
      <w:r>
        <w:rPr>
          <w:rFonts w:ascii="Calibri" w:hAnsi="Calibri"/>
          <w:b/>
          <w:i w:val="0"/>
          <w:color w:val="1F4E79"/>
          <w:sz w:val="88"/>
        </w:rPr>
        <w:t>DenkKern</w:t>
      </w:r>
    </w:p>
    <w:p>
      <w:pPr>
        <w:spacing w:after="0"/>
      </w:pPr>
      <w:r>
        <w:rPr>
          <w:rFonts w:ascii="Calibri" w:hAnsi="Calibri"/>
          <w:b w:val="0"/>
          <w:i/>
          <w:color w:val="595959"/>
          <w:sz w:val="32"/>
        </w:rPr>
        <w:t>Decisions for disrupted supply chains</w:t>
      </w:r>
    </w:p>
    <w:p>
      <w:pPr>
        <w:pBdr>
          <w:bottom w:val="single" w:sz="6" w:space="1" w:color="1F4E79"/>
        </w:pBdr>
        <w:spacing w:before="40" w:after="160"/>
      </w:pPr>
    </w:p>
    <w:p>
      <w:r>
        <w:rPr>
          <w:rFonts w:ascii="Calibri" w:hAnsi="Calibri"/>
          <w:b/>
          <w:i w:val="0"/>
          <w:sz w:val="40"/>
        </w:rPr>
        <w:t>Product Requirements Document</w:t>
      </w:r>
    </w:p>
    <w:p>
      <w:pPr>
        <w:spacing w:before="160" w:after="0"/>
      </w:pPr>
      <w:r>
        <w:rPr>
          <w:rFonts w:ascii="Calibri" w:hAnsi="Calibri"/>
          <w:b w:val="0"/>
          <w:i w:val="0"/>
          <w:color w:val="595959"/>
          <w:sz w:val="22"/>
        </w:rPr>
        <w:t>Version 0.1 - Draft for team review</w:t>
      </w:r>
    </w:p>
    <w:p>
      <w:pPr>
        <w:spacing w:after="1600"/>
      </w:pPr>
    </w:p>
    <w:p>
      <w:pPr>
        <w:spacing w:after="40"/>
      </w:pPr>
      <w:r>
        <w:rPr>
          <w:rFonts w:ascii="Calibri" w:hAnsi="Calibri"/>
          <w:b/>
          <w:i w:val="0"/>
          <w:color w:val="595959"/>
          <w:sz w:val="22"/>
        </w:rPr>
        <w:t>Prepared for</w:t>
      </w:r>
    </w:p>
    <w:p>
      <w:pPr>
        <w:spacing w:after="200"/>
      </w:pPr>
      <w:r>
        <w:rPr>
          <w:rFonts w:ascii="Calibri" w:hAnsi="Calibri"/>
          <w:b w:val="0"/>
          <w:i w:val="0"/>
          <w:sz w:val="24"/>
        </w:rPr>
        <w:t>Amir (Engineering)  -  Jane (Data and ML)  -  Nick (Business)</w:t>
      </w:r>
    </w:p>
    <w:p>
      <w:pPr>
        <w:spacing w:after="40"/>
      </w:pPr>
      <w:r>
        <w:rPr>
          <w:rFonts w:ascii="Calibri" w:hAnsi="Calibri"/>
          <w:b/>
          <w:i w:val="0"/>
          <w:color w:val="595959"/>
          <w:sz w:val="22"/>
        </w:rPr>
        <w:t>Strategy and architecture advisory</w:t>
      </w:r>
    </w:p>
    <w:p>
      <w:pPr>
        <w:spacing w:after="200"/>
      </w:pPr>
      <w:r>
        <w:rPr>
          <w:rFonts w:ascii="Calibri" w:hAnsi="Calibri"/>
          <w:b w:val="0"/>
          <w:i w:val="0"/>
          <w:sz w:val="24"/>
        </w:rPr>
        <w:t>Claude (platform / product / security)</w:t>
      </w:r>
    </w:p>
    <w:p>
      <w:pPr>
        <w:spacing w:after="40"/>
      </w:pPr>
      <w:r>
        <w:rPr>
          <w:rFonts w:ascii="Calibri" w:hAnsi="Calibri"/>
          <w:b/>
          <w:i w:val="0"/>
          <w:color w:val="595959"/>
          <w:sz w:val="22"/>
        </w:rPr>
        <w:t>Date</w:t>
      </w:r>
    </w:p>
    <w:p>
      <w:pPr>
        <w:spacing w:after="200"/>
      </w:pPr>
      <w:r>
        <w:rPr>
          <w:rFonts w:ascii="Calibri" w:hAnsi="Calibri"/>
          <w:b w:val="0"/>
          <w:i w:val="0"/>
          <w:sz w:val="24"/>
        </w:rPr>
        <w:t>6 May 2026</w:t>
      </w:r>
    </w:p>
    <w:p>
      <w:pPr>
        <w:spacing w:after="40"/>
      </w:pPr>
      <w:r>
        <w:rPr>
          <w:rFonts w:ascii="Calibri" w:hAnsi="Calibri"/>
          <w:b/>
          <w:i w:val="0"/>
          <w:color w:val="595959"/>
          <w:sz w:val="22"/>
        </w:rPr>
        <w:t>Status</w:t>
      </w:r>
    </w:p>
    <w:p>
      <w:pPr>
        <w:spacing w:after="200"/>
      </w:pPr>
      <w:r>
        <w:rPr>
          <w:rFonts w:ascii="Calibri" w:hAnsi="Calibri"/>
          <w:b w:val="0"/>
          <w:i w:val="0"/>
          <w:sz w:val="24"/>
        </w:rPr>
        <w:t>Draft. Open questions are tracked in section 14. This document is the working contract for v1.</w:t>
      </w:r>
    </w:p>
    <w:p>
      <w:r>
        <w:br w:type="page"/>
      </w:r>
    </w:p>
    <w:p>
      <w:pPr>
        <w:keepNext/>
        <w:spacing w:before="280" w:after="120"/>
      </w:pPr>
      <w:r>
        <w:rPr>
          <w:rFonts w:ascii="Calibri" w:hAnsi="Calibri"/>
          <w:b/>
          <w:i w:val="0"/>
          <w:color w:val="1F4E79"/>
          <w:sz w:val="36"/>
        </w:rPr>
        <w:t>Contents</w:t>
      </w:r>
    </w:p>
    <w:p>
      <w:pPr>
        <w:spacing w:after="40"/>
      </w:pPr>
      <w:r>
        <w:rPr>
          <w:rFonts w:ascii="Calibri" w:hAnsi="Calibri"/>
          <w:b w:val="0"/>
          <w:i w:val="0"/>
          <w:sz w:val="22"/>
        </w:rPr>
        <w:t>1.  TL;DR</w:t>
      </w:r>
    </w:p>
    <w:p>
      <w:pPr>
        <w:spacing w:after="40"/>
      </w:pPr>
      <w:r>
        <w:rPr>
          <w:rFonts w:ascii="Calibri" w:hAnsi="Calibri"/>
          <w:b w:val="0"/>
          <w:i w:val="0"/>
          <w:sz w:val="22"/>
        </w:rPr>
        <w:t>2.  Problem statement</w:t>
      </w:r>
    </w:p>
    <w:p>
      <w:pPr>
        <w:spacing w:after="40"/>
      </w:pPr>
      <w:r>
        <w:rPr>
          <w:rFonts w:ascii="Calibri" w:hAnsi="Calibri"/>
          <w:b w:val="0"/>
          <w:i w:val="0"/>
          <w:sz w:val="22"/>
        </w:rPr>
        <w:t>3.  Target users</w:t>
      </w:r>
    </w:p>
    <w:p>
      <w:pPr>
        <w:spacing w:after="40"/>
      </w:pPr>
      <w:r>
        <w:rPr>
          <w:rFonts w:ascii="Calibri" w:hAnsi="Calibri"/>
          <w:b w:val="0"/>
          <w:i w:val="0"/>
          <w:sz w:val="22"/>
        </w:rPr>
        <w:t>4.  Vision</w:t>
      </w:r>
    </w:p>
    <w:p>
      <w:pPr>
        <w:spacing w:after="40"/>
      </w:pPr>
      <w:r>
        <w:rPr>
          <w:rFonts w:ascii="Calibri" w:hAnsi="Calibri"/>
          <w:b w:val="0"/>
          <w:i w:val="0"/>
          <w:sz w:val="22"/>
        </w:rPr>
        <w:t>5.  Goals</w:t>
      </w:r>
    </w:p>
    <w:p>
      <w:pPr>
        <w:spacing w:after="40"/>
      </w:pPr>
      <w:r>
        <w:rPr>
          <w:rFonts w:ascii="Calibri" w:hAnsi="Calibri"/>
          <w:b w:val="0"/>
          <w:i w:val="0"/>
          <w:sz w:val="22"/>
        </w:rPr>
        <w:t>6.  Non-goals (v1)</w:t>
      </w:r>
    </w:p>
    <w:p>
      <w:pPr>
        <w:spacing w:after="40"/>
      </w:pPr>
      <w:r>
        <w:rPr>
          <w:rFonts w:ascii="Calibri" w:hAnsi="Calibri"/>
          <w:b w:val="0"/>
          <w:i w:val="0"/>
          <w:sz w:val="22"/>
        </w:rPr>
        <w:t>7.  Success metrics</w:t>
      </w:r>
    </w:p>
    <w:p>
      <w:pPr>
        <w:spacing w:after="40"/>
      </w:pPr>
      <w:r>
        <w:rPr>
          <w:rFonts w:ascii="Calibri" w:hAnsi="Calibri"/>
          <w:b w:val="0"/>
          <w:i w:val="0"/>
          <w:sz w:val="22"/>
        </w:rPr>
        <w:t>8.  Use cases / user stories</w:t>
      </w:r>
    </w:p>
    <w:p>
      <w:pPr>
        <w:spacing w:after="40"/>
      </w:pPr>
      <w:r>
        <w:rPr>
          <w:rFonts w:ascii="Calibri" w:hAnsi="Calibri"/>
          <w:b w:val="0"/>
          <w:i w:val="0"/>
          <w:sz w:val="22"/>
        </w:rPr>
        <w:t>9.  Functional requirements</w:t>
      </w:r>
    </w:p>
    <w:p>
      <w:pPr>
        <w:spacing w:after="40"/>
      </w:pPr>
      <w:r>
        <w:rPr>
          <w:rFonts w:ascii="Calibri" w:hAnsi="Calibri"/>
          <w:b w:val="0"/>
          <w:i w:val="0"/>
          <w:sz w:val="22"/>
        </w:rPr>
        <w:t>10. Non-functional requirements</w:t>
      </w:r>
    </w:p>
    <w:p>
      <w:pPr>
        <w:spacing w:after="40"/>
      </w:pPr>
      <w:r>
        <w:rPr>
          <w:rFonts w:ascii="Calibri" w:hAnsi="Calibri"/>
          <w:b w:val="0"/>
          <w:i w:val="0"/>
          <w:sz w:val="22"/>
        </w:rPr>
        <w:t>11. High-level architecture</w:t>
      </w:r>
    </w:p>
    <w:p>
      <w:pPr>
        <w:spacing w:after="40"/>
      </w:pPr>
      <w:r>
        <w:rPr>
          <w:rFonts w:ascii="Calibri" w:hAnsi="Calibri"/>
          <w:b w:val="0"/>
          <w:i w:val="0"/>
          <w:sz w:val="22"/>
        </w:rPr>
        <w:t>12. MVP scope</w:t>
      </w:r>
    </w:p>
    <w:p>
      <w:pPr>
        <w:spacing w:after="40"/>
      </w:pPr>
      <w:r>
        <w:rPr>
          <w:rFonts w:ascii="Calibri" w:hAnsi="Calibri"/>
          <w:b w:val="0"/>
          <w:i w:val="0"/>
          <w:sz w:val="22"/>
        </w:rPr>
        <w:t>13. Risks and mitigations</w:t>
      </w:r>
    </w:p>
    <w:p>
      <w:pPr>
        <w:spacing w:after="40"/>
      </w:pPr>
      <w:r>
        <w:rPr>
          <w:rFonts w:ascii="Calibri" w:hAnsi="Calibri"/>
          <w:b w:val="0"/>
          <w:i w:val="0"/>
          <w:sz w:val="22"/>
        </w:rPr>
        <w:t>14. Open questions</w:t>
      </w:r>
    </w:p>
    <w:p>
      <w:pPr>
        <w:spacing w:after="40"/>
      </w:pPr>
      <w:r>
        <w:rPr>
          <w:rFonts w:ascii="Calibri" w:hAnsi="Calibri"/>
          <w:b w:val="0"/>
          <w:i w:val="0"/>
          <w:sz w:val="22"/>
        </w:rPr>
        <w:t>15. Roadmap</w:t>
      </w:r>
    </w:p>
    <w:p>
      <w:pPr>
        <w:spacing w:after="40"/>
      </w:pPr>
      <w:r>
        <w:rPr>
          <w:rFonts w:ascii="Calibri" w:hAnsi="Calibri"/>
          <w:b w:val="0"/>
          <w:i w:val="0"/>
          <w:sz w:val="22"/>
        </w:rPr>
        <w:t>16. Internal roles</w:t>
      </w:r>
    </w:p>
    <w:p>
      <w:pPr>
        <w:spacing w:after="40"/>
      </w:pPr>
      <w:r>
        <w:rPr>
          <w:rFonts w:ascii="Calibri" w:hAnsi="Calibri"/>
          <w:b w:val="0"/>
          <w:i w:val="0"/>
          <w:sz w:val="22"/>
        </w:rPr>
        <w:t>17. Glossary</w:t>
      </w:r>
    </w:p>
    <w:p>
      <w:r>
        <w:br w:type="page"/>
      </w:r>
    </w:p>
    <w:p>
      <w:pPr>
        <w:keepNext/>
        <w:spacing w:before="280" w:after="120"/>
      </w:pPr>
      <w:r>
        <w:rPr>
          <w:rFonts w:ascii="Calibri" w:hAnsi="Calibri"/>
          <w:b/>
          <w:i w:val="0"/>
          <w:color w:val="1F4E79"/>
          <w:sz w:val="36"/>
        </w:rPr>
        <w:t>1. TL;DR</w:t>
      </w:r>
    </w:p>
    <w:p>
      <w:pPr>
        <w:spacing w:after="200"/>
      </w:pPr>
      <w:r>
        <w:rPr>
          <w:rFonts w:ascii="Calibri" w:hAnsi="Calibri"/>
          <w:b w:val="0"/>
          <w:i w:val="0"/>
          <w:sz w:val="22"/>
        </w:rPr>
        <w:t>DenkKern turns shipment uncertainty into financially-informed operational decisions. Where existing tracking tools tell a manufacturing manager that a shipment is delayed, DenkKern tells them what to do about it - with quantified business impact and a recommended action ranked against the alternatives the customer can actually take. Version 1 targets a single high-value vertical: mid-size European manufacturers running production lines where one delayed component breaks the schedule and a single day of downtime carries six-figure cost.</w:t>
      </w:r>
    </w:p>
    <w:p>
      <w:pPr>
        <w:spacing w:after="80"/>
      </w:pPr>
      <w:r>
        <w:rPr>
          <w:rFonts w:ascii="Calibri" w:hAnsi="Calibri"/>
          <w:b w:val="0"/>
          <w:i/>
          <w:color w:val="595959"/>
          <w:sz w:val="22"/>
        </w:rPr>
        <w:t>The wedge is not better prediction. It is the missing layer between prediction and action - scenario generation, financial impact, and a defensible recommendation, in a single decision view.</w:t>
      </w:r>
    </w:p>
    <w:p>
      <w:pPr>
        <w:keepNext/>
        <w:spacing w:before="280" w:after="120"/>
      </w:pPr>
      <w:r>
        <w:rPr>
          <w:rFonts w:ascii="Calibri" w:hAnsi="Calibri"/>
          <w:b/>
          <w:i w:val="0"/>
          <w:color w:val="1F4E79"/>
          <w:sz w:val="36"/>
        </w:rPr>
        <w:t>2. Problem statement</w:t>
      </w:r>
    </w:p>
    <w:p>
      <w:pPr>
        <w:spacing w:after="80"/>
      </w:pPr>
      <w:r>
        <w:rPr>
          <w:rFonts w:ascii="Calibri" w:hAnsi="Calibri"/>
          <w:b w:val="0"/>
          <w:i w:val="0"/>
          <w:sz w:val="22"/>
        </w:rPr>
        <w:t>Manufacturing and shipbuilding firms run production schedules anchored to specific shipments. When those shipments are disrupted by maritime events - port congestion, strikes, weather, geopolitical incidents - the operational and financial consequences cascade quickly. Existing tools (carrier tracking, freight forwarder dashboards, ERP-integrated visibility platforms) deliver ETA predictions, disruption alerts, and tracking events. They do not deliver the things a production manager actually needs in the moment of decision:</w:t>
      </w:r>
    </w:p>
    <w:p>
      <w:pPr>
        <w:pStyle w:val="ListBullet"/>
        <w:spacing w:after="40"/>
      </w:pPr>
      <w:r>
        <w:rPr>
          <w:rFonts w:ascii="Calibri" w:hAnsi="Calibri"/>
          <w:b w:val="0"/>
          <w:i w:val="0"/>
          <w:sz w:val="22"/>
        </w:rPr>
        <w:t>a quantified estimate of business impact in the customer's own currency,</w:t>
      </w:r>
    </w:p>
    <w:p>
      <w:pPr>
        <w:pStyle w:val="ListBullet"/>
        <w:spacing w:after="40"/>
      </w:pPr>
      <w:r>
        <w:rPr>
          <w:rFonts w:ascii="Calibri" w:hAnsi="Calibri"/>
          <w:b w:val="0"/>
          <w:i w:val="0"/>
          <w:sz w:val="22"/>
        </w:rPr>
        <w:t>a comparison of the alternatives the customer can actually take,</w:t>
      </w:r>
    </w:p>
    <w:p>
      <w:pPr>
        <w:pStyle w:val="ListBullet"/>
        <w:spacing w:after="40"/>
      </w:pPr>
      <w:r>
        <w:rPr>
          <w:rFonts w:ascii="Calibri" w:hAnsi="Calibri"/>
          <w:b w:val="0"/>
          <w:i w:val="0"/>
          <w:sz w:val="22"/>
        </w:rPr>
        <w:t>a defensible recommendation for which alternative to take.</w:t>
      </w:r>
    </w:p>
    <w:p>
      <w:pPr>
        <w:spacing w:after="80"/>
      </w:pPr>
      <w:r>
        <w:rPr>
          <w:rFonts w:ascii="Calibri" w:hAnsi="Calibri"/>
          <w:b w:val="0"/>
          <w:i w:val="0"/>
          <w:sz w:val="22"/>
        </w:rPr>
        <w:t>The result is reactive: production managers absorb the alert, escalate the decision through procurement, operations, and sometimes finance, and lose hours or days while the cost of inaction accumulates. In Lena's case (Hamburg shipbuilding), a single day of unplanned production downtime is documented at approximately EUR 150,000.</w:t>
      </w:r>
    </w:p>
    <w:p>
      <w:pPr>
        <w:keepNext/>
        <w:spacing w:before="280" w:after="120"/>
      </w:pPr>
      <w:r>
        <w:rPr>
          <w:rFonts w:ascii="Calibri" w:hAnsi="Calibri"/>
          <w:b/>
          <w:i w:val="0"/>
          <w:color w:val="1F4E79"/>
          <w:sz w:val="36"/>
        </w:rPr>
        <w:t>3. Target users</w:t>
      </w:r>
    </w:p>
    <w:p>
      <w:pPr>
        <w:keepNext/>
        <w:spacing w:before="200" w:after="120"/>
      </w:pPr>
      <w:r>
        <w:rPr>
          <w:rFonts w:ascii="Calibri" w:hAnsi="Calibri"/>
          <w:b/>
          <w:i w:val="0"/>
          <w:color w:val="1F4E79"/>
          <w:sz w:val="28"/>
        </w:rPr>
        <w:t>3.1 Primary persona - Lena, Production Manager (User)</w:t>
      </w:r>
    </w:p>
    <w:p>
      <w:pPr>
        <w:spacing w:after="40"/>
      </w:pPr>
      <w:r>
        <w:rPr>
          <w:rFonts w:ascii="Calibri" w:hAnsi="Calibri"/>
          <w:b/>
          <w:i w:val="0"/>
          <w:sz w:val="22"/>
        </w:rPr>
        <w:t xml:space="preserve">Context: </w:t>
      </w:r>
      <w:r>
        <w:rPr>
          <w:rFonts w:ascii="Calibri" w:hAnsi="Calibri"/>
          <w:b w:val="0"/>
          <w:i w:val="0"/>
          <w:sz w:val="22"/>
        </w:rPr>
        <w:t>Hamburg shipbuilding firm; owns daily production schedule and component flow.</w:t>
      </w:r>
    </w:p>
    <w:p>
      <w:pPr>
        <w:spacing w:after="40"/>
      </w:pPr>
      <w:r>
        <w:rPr>
          <w:rFonts w:ascii="Calibri" w:hAnsi="Calibri"/>
          <w:b/>
          <w:i w:val="0"/>
          <w:sz w:val="22"/>
        </w:rPr>
        <w:t xml:space="preserve">Trigger: </w:t>
      </w:r>
      <w:r>
        <w:rPr>
          <w:rFonts w:ascii="Calibri" w:hAnsi="Calibri"/>
          <w:b w:val="0"/>
          <w:i w:val="0"/>
          <w:sz w:val="22"/>
        </w:rPr>
        <w:t>Disruption alert on a critical inbound shipment.</w:t>
      </w:r>
    </w:p>
    <w:p>
      <w:pPr>
        <w:spacing w:after="40"/>
      </w:pPr>
      <w:r>
        <w:rPr>
          <w:rFonts w:ascii="Calibri" w:hAnsi="Calibri"/>
          <w:b/>
          <w:i w:val="0"/>
          <w:sz w:val="22"/>
        </w:rPr>
        <w:t xml:space="preserve">Authority: </w:t>
      </w:r>
      <w:r>
        <w:rPr>
          <w:rFonts w:ascii="Calibri" w:hAnsi="Calibri"/>
          <w:b w:val="0"/>
          <w:i w:val="0"/>
          <w:sz w:val="22"/>
        </w:rPr>
        <w:t>Recommends actions; typically escalates spend decisions.</w:t>
      </w:r>
    </w:p>
    <w:p>
      <w:pPr>
        <w:spacing w:after="40"/>
      </w:pPr>
      <w:r>
        <w:rPr>
          <w:rFonts w:ascii="Calibri" w:hAnsi="Calibri"/>
          <w:b/>
          <w:i w:val="0"/>
          <w:sz w:val="22"/>
        </w:rPr>
        <w:t xml:space="preserve">Success: </w:t>
      </w:r>
      <w:r>
        <w:rPr>
          <w:rFonts w:ascii="Calibri" w:hAnsi="Calibri"/>
          <w:b w:val="0"/>
          <w:i w:val="0"/>
          <w:sz w:val="22"/>
        </w:rPr>
        <w:t>A defensible recommendation she can take to her supervisor in under 30 minutes.</w:t>
      </w:r>
    </w:p>
    <w:p>
      <w:pPr>
        <w:keepNext/>
        <w:spacing w:before="200" w:after="120"/>
      </w:pPr>
      <w:r>
        <w:rPr>
          <w:rFonts w:ascii="Calibri" w:hAnsi="Calibri"/>
          <w:b/>
          <w:i w:val="0"/>
          <w:color w:val="1F4E79"/>
          <w:sz w:val="28"/>
        </w:rPr>
        <w:t>3.2 Secondary persona - Procurement / Operations Director (Buyer)</w:t>
      </w:r>
    </w:p>
    <w:p>
      <w:pPr>
        <w:spacing w:after="40"/>
      </w:pPr>
      <w:r>
        <w:rPr>
          <w:rFonts w:ascii="Calibri" w:hAnsi="Calibri"/>
          <w:b/>
          <w:i w:val="0"/>
          <w:sz w:val="22"/>
        </w:rPr>
        <w:t xml:space="preserve">Context: </w:t>
      </w:r>
      <w:r>
        <w:rPr>
          <w:rFonts w:ascii="Calibri" w:hAnsi="Calibri"/>
          <w:b w:val="0"/>
          <w:i w:val="0"/>
          <w:sz w:val="22"/>
        </w:rPr>
        <w:t>Holds budget for expedited shipping, alternative suppliers, emergency stock.</w:t>
      </w:r>
    </w:p>
    <w:p>
      <w:pPr>
        <w:spacing w:after="40"/>
      </w:pPr>
      <w:r>
        <w:rPr>
          <w:rFonts w:ascii="Calibri" w:hAnsi="Calibri"/>
          <w:b/>
          <w:i w:val="0"/>
          <w:sz w:val="22"/>
        </w:rPr>
        <w:t xml:space="preserve">Role in flow: </w:t>
      </w:r>
      <w:r>
        <w:rPr>
          <w:rFonts w:ascii="Calibri" w:hAnsi="Calibri"/>
          <w:b w:val="0"/>
          <w:i w:val="0"/>
          <w:sz w:val="22"/>
        </w:rPr>
        <w:t>Approves Lena's recommendation; signs off on spend.</w:t>
      </w:r>
    </w:p>
    <w:p>
      <w:pPr>
        <w:spacing w:after="40"/>
      </w:pPr>
      <w:r>
        <w:rPr>
          <w:rFonts w:ascii="Calibri" w:hAnsi="Calibri"/>
          <w:b/>
          <w:i w:val="0"/>
          <w:sz w:val="22"/>
        </w:rPr>
        <w:t xml:space="preserve">Success: </w:t>
      </w:r>
      <w:r>
        <w:rPr>
          <w:rFonts w:ascii="Calibri" w:hAnsi="Calibri"/>
          <w:b w:val="0"/>
          <w:i w:val="0"/>
          <w:sz w:val="22"/>
        </w:rPr>
        <w:t>Faster decisions, lower cumulative cost-of-disruption per quarter, audit trail that holds up in finance review.</w:t>
      </w:r>
    </w:p>
    <w:p>
      <w:pPr>
        <w:keepNext/>
        <w:spacing w:before="200" w:after="120"/>
      </w:pPr>
      <w:r>
        <w:rPr>
          <w:rFonts w:ascii="Calibri" w:hAnsi="Calibri"/>
          <w:b/>
          <w:i w:val="0"/>
          <w:color w:val="1F4E79"/>
          <w:sz w:val="28"/>
        </w:rPr>
        <w:t>3.3 Tertiary persona - Finance / CFO (Reviewer)</w:t>
      </w:r>
    </w:p>
    <w:p>
      <w:pPr>
        <w:spacing w:after="40"/>
      </w:pPr>
      <w:r>
        <w:rPr>
          <w:rFonts w:ascii="Calibri" w:hAnsi="Calibri"/>
          <w:b/>
          <w:i w:val="0"/>
          <w:sz w:val="22"/>
        </w:rPr>
        <w:t xml:space="preserve">Context: </w:t>
      </w:r>
      <w:r>
        <w:rPr>
          <w:rFonts w:ascii="Calibri" w:hAnsi="Calibri"/>
          <w:b w:val="0"/>
          <w:i w:val="0"/>
          <w:sz w:val="22"/>
        </w:rPr>
        <w:t>Reviews quarterly cost-of-disruption metrics.</w:t>
      </w:r>
    </w:p>
    <w:p>
      <w:pPr>
        <w:spacing w:after="40"/>
      </w:pPr>
      <w:r>
        <w:rPr>
          <w:rFonts w:ascii="Calibri" w:hAnsi="Calibri"/>
          <w:b/>
          <w:i w:val="0"/>
          <w:sz w:val="22"/>
        </w:rPr>
        <w:t xml:space="preserve">Need: </w:t>
      </w:r>
      <w:r>
        <w:rPr>
          <w:rFonts w:ascii="Calibri" w:hAnsi="Calibri"/>
          <w:b w:val="0"/>
          <w:i w:val="0"/>
          <w:sz w:val="22"/>
        </w:rPr>
        <w:t>Assurance that recommendations are based on a defensible model, not vendor heuristics.</w:t>
      </w:r>
    </w:p>
    <w:p>
      <w:pPr>
        <w:keepNext/>
        <w:spacing w:before="280" w:after="120"/>
      </w:pPr>
      <w:r>
        <w:rPr>
          <w:rFonts w:ascii="Calibri" w:hAnsi="Calibri"/>
          <w:b/>
          <w:i w:val="0"/>
          <w:color w:val="1F4E79"/>
          <w:sz w:val="36"/>
        </w:rPr>
        <w:t>4. Vision</w:t>
      </w:r>
    </w:p>
    <w:p>
      <w:pPr>
        <w:spacing w:after="80"/>
      </w:pPr>
      <w:r>
        <w:rPr>
          <w:rFonts w:ascii="Calibri" w:hAnsi="Calibri"/>
          <w:b w:val="0"/>
          <w:i w:val="0"/>
          <w:sz w:val="22"/>
        </w:rPr>
        <w:t>DenkKern is the operational decision layer for physical supply chains. Long term, every disruption event in a customer's network produces a quantified scenario tree, an explicit financial recommendation, and a closed-loop record that improves the model. Within five years, no operations leader running a critical inbound supply chain in Europe should be making disruption decisions on instinct.</w:t>
      </w:r>
    </w:p>
    <w:p>
      <w:pPr>
        <w:keepNext/>
        <w:spacing w:before="280" w:after="120"/>
      </w:pPr>
      <w:r>
        <w:rPr>
          <w:rFonts w:ascii="Calibri" w:hAnsi="Calibri"/>
          <w:b/>
          <w:i w:val="0"/>
          <w:color w:val="1F4E79"/>
          <w:sz w:val="36"/>
        </w:rPr>
        <w:t>5. Goals</w:t>
      </w:r>
    </w:p>
    <w:tbl>
      <w:tblPr>
        <w:tblW w:type="auto" w:w="0"/>
        <w:jc w:val="left"/>
        <w:tblLayout w:type="fixed"/>
        <w:tblLook w:firstColumn="1" w:firstRow="1" w:lastColumn="0" w:lastRow="0" w:noHBand="0" w:noVBand="1" w:val="04A0"/>
      </w:tblPr>
      <w:tblGrid>
        <w:gridCol w:w="4706"/>
        <w:gridCol w:w="4706"/>
      </w:tblGrid>
      <w:tr>
        <w:tc>
          <w:tcPr>
            <w:tcW w:type="dxa" w:w="864"/>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ID</w:t>
            </w:r>
          </w:p>
        </w:tc>
        <w:tc>
          <w:tcPr>
            <w:tcW w:type="dxa" w:w="8928"/>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Goal</w:t>
            </w:r>
          </w:p>
        </w:tc>
      </w:tr>
      <w:tr>
        <w:tc>
          <w:tcPr>
            <w:tcW w:type="dxa" w:w="86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G1</w:t>
            </w:r>
          </w:p>
        </w:tc>
        <w:tc>
          <w:tcPr>
            <w:tcW w:type="dxa" w:w="89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Predict shipment delay risk with calibrated, scenario-level probabilities (not point ETAs).</w:t>
            </w:r>
          </w:p>
        </w:tc>
      </w:tr>
      <w:tr>
        <w:tc>
          <w:tcPr>
            <w:tcW w:type="dxa" w:w="864"/>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G2</w:t>
            </w:r>
          </w:p>
        </w:tc>
        <w:tc>
          <w:tcPr>
            <w:tcW w:type="dxa" w:w="89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Quantify the financial impact of each scenario in the customer's own cost model.</w:t>
            </w:r>
          </w:p>
        </w:tc>
      </w:tr>
      <w:tr>
        <w:tc>
          <w:tcPr>
            <w:tcW w:type="dxa" w:w="86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G3</w:t>
            </w:r>
          </w:p>
        </w:tc>
        <w:tc>
          <w:tcPr>
            <w:tcW w:type="dxa" w:w="89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Generate a small, decisionable set of operational alternatives the customer can actually take.</w:t>
            </w:r>
          </w:p>
        </w:tc>
      </w:tr>
      <w:tr>
        <w:tc>
          <w:tcPr>
            <w:tcW w:type="dxa" w:w="864"/>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G4</w:t>
            </w:r>
          </w:p>
        </w:tc>
        <w:tc>
          <w:tcPr>
            <w:tcW w:type="dxa" w:w="89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Recommend the financially optimal action with explicit confidence.</w:t>
            </w:r>
          </w:p>
        </w:tc>
      </w:tr>
      <w:tr>
        <w:tc>
          <w:tcPr>
            <w:tcW w:type="dxa" w:w="86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G5</w:t>
            </w:r>
          </w:p>
        </w:tc>
        <w:tc>
          <w:tcPr>
            <w:tcW w:type="dxa" w:w="89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Capture decision outcomes and feed them back into the model.</w:t>
            </w:r>
          </w:p>
        </w:tc>
      </w:tr>
    </w:tbl>
    <w:p>
      <w:pPr>
        <w:keepNext/>
        <w:spacing w:before="280" w:after="120"/>
      </w:pPr>
      <w:r>
        <w:rPr>
          <w:rFonts w:ascii="Calibri" w:hAnsi="Calibri"/>
          <w:b/>
          <w:i w:val="0"/>
          <w:color w:val="1F4E79"/>
          <w:sz w:val="36"/>
        </w:rPr>
        <w:t>6. Non-goals (v1)</w:t>
      </w:r>
    </w:p>
    <w:p>
      <w:pPr>
        <w:spacing w:after="80"/>
      </w:pPr>
      <w:r>
        <w:rPr>
          <w:rFonts w:ascii="Calibri" w:hAnsi="Calibri"/>
          <w:b w:val="0"/>
          <w:i w:val="0"/>
          <w:sz w:val="22"/>
        </w:rPr>
        <w:t>To keep scope honest, the following are explicitly out of scope for v1:</w:t>
      </w:r>
    </w:p>
    <w:p>
      <w:pPr>
        <w:pStyle w:val="ListBullet"/>
        <w:spacing w:after="40"/>
      </w:pPr>
      <w:r>
        <w:rPr>
          <w:rFonts w:ascii="Calibri" w:hAnsi="Calibri"/>
          <w:b w:val="0"/>
          <w:i w:val="0"/>
          <w:sz w:val="22"/>
        </w:rPr>
        <w:t>Full transportation management system replacement.</w:t>
      </w:r>
    </w:p>
    <w:p>
      <w:pPr>
        <w:pStyle w:val="ListBullet"/>
        <w:spacing w:after="40"/>
      </w:pPr>
      <w:r>
        <w:rPr>
          <w:rFonts w:ascii="Calibri" w:hAnsi="Calibri"/>
          <w:b w:val="0"/>
          <w:i w:val="0"/>
          <w:sz w:val="22"/>
        </w:rPr>
        <w:t>Real-time vehicle tracking (we consume vendor feeds, we do not produce them).</w:t>
      </w:r>
    </w:p>
    <w:p>
      <w:pPr>
        <w:pStyle w:val="ListBullet"/>
        <w:spacing w:after="40"/>
      </w:pPr>
      <w:r>
        <w:rPr>
          <w:rFonts w:ascii="Calibri" w:hAnsi="Calibri"/>
          <w:b w:val="0"/>
          <w:i w:val="0"/>
          <w:sz w:val="22"/>
        </w:rPr>
        <w:t>Carbon and ESG accounting.</w:t>
      </w:r>
    </w:p>
    <w:p>
      <w:pPr>
        <w:pStyle w:val="ListBullet"/>
        <w:spacing w:after="40"/>
      </w:pPr>
      <w:r>
        <w:rPr>
          <w:rFonts w:ascii="Calibri" w:hAnsi="Calibri"/>
          <w:b w:val="0"/>
          <w:i w:val="0"/>
          <w:sz w:val="22"/>
        </w:rPr>
        <w:t>Last-mile or warehouse decisions.</w:t>
      </w:r>
    </w:p>
    <w:p>
      <w:pPr>
        <w:pStyle w:val="ListBullet"/>
        <w:spacing w:after="40"/>
      </w:pPr>
      <w:r>
        <w:rPr>
          <w:rFonts w:ascii="Calibri" w:hAnsi="Calibri"/>
          <w:b w:val="0"/>
          <w:i w:val="0"/>
          <w:sz w:val="22"/>
        </w:rPr>
        <w:t>Demand-side forecasting.</w:t>
      </w:r>
    </w:p>
    <w:p>
      <w:pPr>
        <w:pStyle w:val="ListBullet"/>
        <w:spacing w:after="40"/>
      </w:pPr>
      <w:r>
        <w:rPr>
          <w:rFonts w:ascii="Calibri" w:hAnsi="Calibri"/>
          <w:b w:val="0"/>
          <w:i w:val="0"/>
          <w:sz w:val="22"/>
        </w:rPr>
        <w:t>Buying or selling shipping capacity, or operating as a freight broker.</w:t>
      </w:r>
    </w:p>
    <w:p>
      <w:pPr>
        <w:keepNext/>
        <w:spacing w:before="280" w:after="120"/>
      </w:pPr>
      <w:r>
        <w:rPr>
          <w:rFonts w:ascii="Calibri" w:hAnsi="Calibri"/>
          <w:b/>
          <w:i w:val="0"/>
          <w:color w:val="1F4E79"/>
          <w:sz w:val="36"/>
        </w:rPr>
        <w:t>7. Success metrics</w:t>
      </w:r>
    </w:p>
    <w:p>
      <w:pPr>
        <w:keepNext/>
        <w:spacing w:before="200" w:after="120"/>
      </w:pPr>
      <w:r>
        <w:rPr>
          <w:rFonts w:ascii="Calibri" w:hAnsi="Calibri"/>
          <w:b/>
          <w:i w:val="0"/>
          <w:color w:val="1F4E79"/>
          <w:sz w:val="28"/>
        </w:rPr>
        <w:t>7.1 North star</w:t>
      </w:r>
    </w:p>
    <w:p>
      <w:pPr>
        <w:spacing w:after="80"/>
      </w:pPr>
      <w:r>
        <w:rPr>
          <w:rFonts w:ascii="Calibri" w:hAnsi="Calibri"/>
          <w:b/>
          <w:i w:val="0"/>
          <w:sz w:val="22"/>
        </w:rPr>
        <w:t>Customer-attributed cost-of-disruption avoided per quarter, per active customer.</w:t>
      </w:r>
    </w:p>
    <w:p>
      <w:pPr>
        <w:spacing w:after="80"/>
      </w:pPr>
      <w:r>
        <w:rPr>
          <w:rFonts w:ascii="Calibri" w:hAnsi="Calibri"/>
          <w:b w:val="0"/>
          <w:i w:val="0"/>
          <w:sz w:val="22"/>
        </w:rPr>
        <w:t>Definition: for each disruption event, the difference between the cost of the action the customer would have taken without DenkKern (baseline) and the cost of the action DenkKern recommended and the customer accepted, summed across the quarter. Baseline is captured at intake and reviewed monthly.</w:t>
      </w:r>
    </w:p>
    <w:p>
      <w:pPr>
        <w:keepNext/>
        <w:spacing w:before="200" w:after="120"/>
      </w:pPr>
      <w:r>
        <w:rPr>
          <w:rFonts w:ascii="Calibri" w:hAnsi="Calibri"/>
          <w:b/>
          <w:i w:val="0"/>
          <w:color w:val="1F4E79"/>
          <w:sz w:val="28"/>
        </w:rPr>
        <w:t>7.2 Supporting metrics</w:t>
      </w:r>
    </w:p>
    <w:tbl>
      <w:tblPr>
        <w:tblW w:type="auto" w:w="0"/>
        <w:jc w:val="left"/>
        <w:tblLayout w:type="fixed"/>
        <w:tblLook w:firstColumn="1" w:firstRow="1" w:lastColumn="0" w:lastRow="0" w:noHBand="0" w:noVBand="1" w:val="04A0"/>
      </w:tblPr>
      <w:tblGrid>
        <w:gridCol w:w="4706"/>
        <w:gridCol w:w="4706"/>
      </w:tblGrid>
      <w:tr>
        <w:tc>
          <w:tcPr>
            <w:tcW w:type="dxa" w:w="3744"/>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Metric</w:t>
            </w:r>
          </w:p>
        </w:tc>
        <w:tc>
          <w:tcPr>
            <w:tcW w:type="dxa" w:w="6048"/>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Target</w:t>
            </w:r>
          </w:p>
        </w:tc>
      </w:tr>
      <w:tr>
        <w:tc>
          <w:tcPr>
            <w:tcW w:type="dxa" w:w="374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Time-from-alert to decision</w:t>
            </w:r>
          </w:p>
        </w:tc>
        <w:tc>
          <w:tcPr>
            <w:tcW w:type="dxa" w:w="604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75th percentile under 30 minutes</w:t>
            </w:r>
          </w:p>
        </w:tc>
      </w:tr>
      <w:tr>
        <w:tc>
          <w:tcPr>
            <w:tcW w:type="dxa" w:w="3744"/>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Recommendation acceptance rate</w:t>
            </w:r>
          </w:p>
        </w:tc>
        <w:tc>
          <w:tcPr>
            <w:tcW w:type="dxa" w:w="604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At least 40% by end of pilot</w:t>
            </w:r>
          </w:p>
        </w:tc>
      </w:tr>
      <w:tr>
        <w:tc>
          <w:tcPr>
            <w:tcW w:type="dxa" w:w="374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Model calibration</w:t>
            </w:r>
          </w:p>
        </w:tc>
        <w:tc>
          <w:tcPr>
            <w:tcW w:type="dxa" w:w="604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Predicted vs. observed delay distribution; reviewed monthly</w:t>
            </w:r>
          </w:p>
        </w:tc>
      </w:tr>
      <w:tr>
        <w:tc>
          <w:tcPr>
            <w:tcW w:type="dxa" w:w="3744"/>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Explanation completeness</w:t>
            </w:r>
          </w:p>
        </w:tc>
        <w:tc>
          <w:tcPr>
            <w:tcW w:type="dxa" w:w="604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Qualitative review monthly; every recommendation surfaces top 3 drivers</w:t>
            </w:r>
          </w:p>
        </w:tc>
      </w:tr>
      <w:tr>
        <w:tc>
          <w:tcPr>
            <w:tcW w:type="dxa" w:w="374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Production-manager NPS</w:t>
            </w:r>
          </w:p>
        </w:tc>
        <w:tc>
          <w:tcPr>
            <w:tcW w:type="dxa" w:w="604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Tracked from pilot week 4 onward</w:t>
            </w:r>
          </w:p>
        </w:tc>
      </w:tr>
      <w:tr>
        <w:tc>
          <w:tcPr>
            <w:tcW w:type="dxa" w:w="3744"/>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Pilot-to-paid conversion</w:t>
            </w:r>
          </w:p>
        </w:tc>
        <w:tc>
          <w:tcPr>
            <w:tcW w:type="dxa" w:w="604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At least 50% of pilot customers convert within 90 days of pilot end</w:t>
            </w:r>
          </w:p>
        </w:tc>
      </w:tr>
    </w:tbl>
    <w:p>
      <w:pPr>
        <w:keepNext/>
        <w:spacing w:before="280" w:after="120"/>
      </w:pPr>
      <w:r>
        <w:rPr>
          <w:rFonts w:ascii="Calibri" w:hAnsi="Calibri"/>
          <w:b/>
          <w:i w:val="0"/>
          <w:color w:val="1F4E79"/>
          <w:sz w:val="36"/>
        </w:rPr>
        <w:t>8. Use cases / user stories</w:t>
      </w:r>
    </w:p>
    <w:tbl>
      <w:tblPr>
        <w:tblW w:type="auto" w:w="0"/>
        <w:jc w:val="left"/>
        <w:tblLayout w:type="fixed"/>
        <w:tblLook w:firstColumn="1" w:firstRow="1" w:lastColumn="0" w:lastRow="0" w:noHBand="0" w:noVBand="1" w:val="04A0"/>
      </w:tblPr>
      <w:tblGrid>
        <w:gridCol w:w="4706"/>
        <w:gridCol w:w="4706"/>
      </w:tblGrid>
      <w:tr>
        <w:tc>
          <w:tcPr>
            <w:tcW w:type="dxa" w:w="864"/>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ID</w:t>
            </w:r>
          </w:p>
        </w:tc>
        <w:tc>
          <w:tcPr>
            <w:tcW w:type="dxa" w:w="8928"/>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Story</w:t>
            </w:r>
          </w:p>
        </w:tc>
      </w:tr>
      <w:tr>
        <w:tc>
          <w:tcPr>
            <w:tcW w:type="dxa" w:w="86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US-1</w:t>
            </w:r>
          </w:p>
        </w:tc>
        <w:tc>
          <w:tcPr>
            <w:tcW w:type="dxa" w:w="89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As Lena, when I receive a disruption alert about an inbound shipment, I want a ranked list of operational alternatives with their financial impact within minutes, so I can recommend an action with confidence.</w:t>
            </w:r>
          </w:p>
        </w:tc>
      </w:tr>
      <w:tr>
        <w:tc>
          <w:tcPr>
            <w:tcW w:type="dxa" w:w="864"/>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US-2</w:t>
            </w:r>
          </w:p>
        </w:tc>
        <w:tc>
          <w:tcPr>
            <w:tcW w:type="dxa" w:w="89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As a procurement director, I want to see the assumptions behind a recommendation so I can challenge or accept it without re-doing the analysis.</w:t>
            </w:r>
          </w:p>
        </w:tc>
      </w:tr>
      <w:tr>
        <w:tc>
          <w:tcPr>
            <w:tcW w:type="dxa" w:w="86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US-3</w:t>
            </w:r>
          </w:p>
        </w:tc>
        <w:tc>
          <w:tcPr>
            <w:tcW w:type="dxa" w:w="89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As Lena, after I act, I want to log the decision and outcome so the system improves and I have an audit trail.</w:t>
            </w:r>
          </w:p>
        </w:tc>
      </w:tr>
      <w:tr>
        <w:tc>
          <w:tcPr>
            <w:tcW w:type="dxa" w:w="864"/>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US-4</w:t>
            </w:r>
          </w:p>
        </w:tc>
        <w:tc>
          <w:tcPr>
            <w:tcW w:type="dxa" w:w="89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As a CFO, I want a quarterly view of disruption events, decisions, and avoided costs so I can defend the spend on DenkKern.</w:t>
            </w:r>
          </w:p>
        </w:tc>
      </w:tr>
      <w:tr>
        <w:tc>
          <w:tcPr>
            <w:tcW w:type="dxa" w:w="86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US-5</w:t>
            </w:r>
          </w:p>
        </w:tc>
        <w:tc>
          <w:tcPr>
            <w:tcW w:type="dxa" w:w="89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As Jane, I want a calibration dashboard so I know when our delay model is drifting before a customer notices.</w:t>
            </w:r>
          </w:p>
        </w:tc>
      </w:tr>
    </w:tbl>
    <w:p>
      <w:pPr>
        <w:keepNext/>
        <w:spacing w:before="280" w:after="120"/>
      </w:pPr>
      <w:r>
        <w:rPr>
          <w:rFonts w:ascii="Calibri" w:hAnsi="Calibri"/>
          <w:b/>
          <w:i w:val="0"/>
          <w:color w:val="1F4E79"/>
          <w:sz w:val="36"/>
        </w:rPr>
        <w:t>9. Functional requirements</w:t>
      </w:r>
    </w:p>
    <w:tbl>
      <w:tblPr>
        <w:tblW w:type="auto" w:w="0"/>
        <w:jc w:val="left"/>
        <w:tblLayout w:type="fixed"/>
        <w:tblLook w:firstColumn="1" w:firstRow="1" w:lastColumn="0" w:lastRow="0" w:noHBand="0" w:noVBand="1" w:val="04A0"/>
      </w:tblPr>
      <w:tblGrid>
        <w:gridCol w:w="3137"/>
        <w:gridCol w:w="3137"/>
        <w:gridCol w:w="3137"/>
      </w:tblGrid>
      <w:tr>
        <w:tc>
          <w:tcPr>
            <w:tcW w:type="dxa" w:w="1008"/>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ID</w:t>
            </w:r>
          </w:p>
        </w:tc>
        <w:tc>
          <w:tcPr>
            <w:tcW w:type="dxa" w:w="7056"/>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Requirement</w:t>
            </w:r>
          </w:p>
        </w:tc>
        <w:tc>
          <w:tcPr>
            <w:tcW w:type="dxa" w:w="1728"/>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Priority</w:t>
            </w:r>
          </w:p>
        </w:tc>
      </w:tr>
      <w:tr>
        <w:tc>
          <w:tcPr>
            <w:tcW w:type="dxa" w:w="100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FR-1</w:t>
            </w:r>
          </w:p>
        </w:tc>
        <w:tc>
          <w:tcPr>
            <w:tcW w:type="dxa" w:w="7056"/>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Ingest AIS vessel data, weather feeds, port congestion data, and disruption alerts continuously.</w:t>
            </w:r>
          </w:p>
        </w:tc>
        <w:tc>
          <w:tcPr>
            <w:tcW w:type="dxa" w:w="17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Must (v1)</w:t>
            </w:r>
          </w:p>
        </w:tc>
      </w:tr>
      <w:tr>
        <w:tc>
          <w:tcPr>
            <w:tcW w:type="dxa" w:w="100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FR-2</w:t>
            </w:r>
          </w:p>
        </w:tc>
        <w:tc>
          <w:tcPr>
            <w:tcW w:type="dxa" w:w="7056"/>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Maintain a per-customer registry of critical shipments with cost-of-delay parameters.</w:t>
            </w:r>
          </w:p>
        </w:tc>
        <w:tc>
          <w:tcPr>
            <w:tcW w:type="dxa" w:w="17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Must (v1)</w:t>
            </w:r>
          </w:p>
        </w:tc>
      </w:tr>
      <w:tr>
        <w:tc>
          <w:tcPr>
            <w:tcW w:type="dxa" w:w="100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FR-3</w:t>
            </w:r>
          </w:p>
        </w:tc>
        <w:tc>
          <w:tcPr>
            <w:tcW w:type="dxa" w:w="7056"/>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Produce probabilistic delay forecasts (scenario distribution, not point ETA) for tracked shipments.</w:t>
            </w:r>
          </w:p>
        </w:tc>
        <w:tc>
          <w:tcPr>
            <w:tcW w:type="dxa" w:w="17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Must (v1)</w:t>
            </w:r>
          </w:p>
        </w:tc>
      </w:tr>
      <w:tr>
        <w:tc>
          <w:tcPr>
            <w:tcW w:type="dxa" w:w="100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FR-4</w:t>
            </w:r>
          </w:p>
        </w:tc>
        <w:tc>
          <w:tcPr>
            <w:tcW w:type="dxa" w:w="7056"/>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Surface a disruption alert when forecasted delay exceeds a customer-defined threshold.</w:t>
            </w:r>
          </w:p>
        </w:tc>
        <w:tc>
          <w:tcPr>
            <w:tcW w:type="dxa" w:w="17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Must (v1)</w:t>
            </w:r>
          </w:p>
        </w:tc>
      </w:tr>
      <w:tr>
        <w:tc>
          <w:tcPr>
            <w:tcW w:type="dxa" w:w="100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FR-5</w:t>
            </w:r>
          </w:p>
        </w:tc>
        <w:tc>
          <w:tcPr>
            <w:tcW w:type="dxa" w:w="7056"/>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Generate at least three operational scenarios per alert (e.g., wait, expedite, replace).</w:t>
            </w:r>
          </w:p>
        </w:tc>
        <w:tc>
          <w:tcPr>
            <w:tcW w:type="dxa" w:w="17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Must (v1)</w:t>
            </w:r>
          </w:p>
        </w:tc>
      </w:tr>
      <w:tr>
        <w:tc>
          <w:tcPr>
            <w:tcW w:type="dxa" w:w="100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FR-6</w:t>
            </w:r>
          </w:p>
        </w:tc>
        <w:tc>
          <w:tcPr>
            <w:tcW w:type="dxa" w:w="7056"/>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Compute financial impact per scenario using the customer cost model.</w:t>
            </w:r>
          </w:p>
        </w:tc>
        <w:tc>
          <w:tcPr>
            <w:tcW w:type="dxa" w:w="17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Must (v1)</w:t>
            </w:r>
          </w:p>
        </w:tc>
      </w:tr>
      <w:tr>
        <w:tc>
          <w:tcPr>
            <w:tcW w:type="dxa" w:w="100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FR-7</w:t>
            </w:r>
          </w:p>
        </w:tc>
        <w:tc>
          <w:tcPr>
            <w:tcW w:type="dxa" w:w="7056"/>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Rank scenarios and surface a recommended action with confidence interval.</w:t>
            </w:r>
          </w:p>
        </w:tc>
        <w:tc>
          <w:tcPr>
            <w:tcW w:type="dxa" w:w="17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Must (v1)</w:t>
            </w:r>
          </w:p>
        </w:tc>
      </w:tr>
      <w:tr>
        <w:tc>
          <w:tcPr>
            <w:tcW w:type="dxa" w:w="100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FR-8</w:t>
            </w:r>
          </w:p>
        </w:tc>
        <w:tc>
          <w:tcPr>
            <w:tcW w:type="dxa" w:w="7056"/>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Render the recommendation in a single-screen decision view.</w:t>
            </w:r>
          </w:p>
        </w:tc>
        <w:tc>
          <w:tcPr>
            <w:tcW w:type="dxa" w:w="17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Must (v1)</w:t>
            </w:r>
          </w:p>
        </w:tc>
      </w:tr>
      <w:tr>
        <w:tc>
          <w:tcPr>
            <w:tcW w:type="dxa" w:w="100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FR-9</w:t>
            </w:r>
          </w:p>
        </w:tc>
        <w:tc>
          <w:tcPr>
            <w:tcW w:type="dxa" w:w="7056"/>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Capture user decision and outcome with timestamp and reviewer.</w:t>
            </w:r>
          </w:p>
        </w:tc>
        <w:tc>
          <w:tcPr>
            <w:tcW w:type="dxa" w:w="17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Must (v1)</w:t>
            </w:r>
          </w:p>
        </w:tc>
      </w:tr>
      <w:tr>
        <w:tc>
          <w:tcPr>
            <w:tcW w:type="dxa" w:w="100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FR-10</w:t>
            </w:r>
          </w:p>
        </w:tc>
        <w:tc>
          <w:tcPr>
            <w:tcW w:type="dxa" w:w="7056"/>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Provide quarterly reporting view: avoided cost, decisions, accuracy.</w:t>
            </w:r>
          </w:p>
        </w:tc>
        <w:tc>
          <w:tcPr>
            <w:tcW w:type="dxa" w:w="17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Should (v1)</w:t>
            </w:r>
          </w:p>
        </w:tc>
      </w:tr>
      <w:tr>
        <w:tc>
          <w:tcPr>
            <w:tcW w:type="dxa" w:w="100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FR-11</w:t>
            </w:r>
          </w:p>
        </w:tc>
        <w:tc>
          <w:tcPr>
            <w:tcW w:type="dxa" w:w="7056"/>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Integrate with customer ERP/MES to pull production schedule.</w:t>
            </w:r>
          </w:p>
        </w:tc>
        <w:tc>
          <w:tcPr>
            <w:tcW w:type="dxa" w:w="17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Should (post-v1)</w:t>
            </w:r>
          </w:p>
        </w:tc>
      </w:tr>
      <w:tr>
        <w:tc>
          <w:tcPr>
            <w:tcW w:type="dxa" w:w="100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FR-12</w:t>
            </w:r>
          </w:p>
        </w:tc>
        <w:tc>
          <w:tcPr>
            <w:tcW w:type="dxa" w:w="7056"/>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Support multiple shipments per critical assembly.</w:t>
            </w:r>
          </w:p>
        </w:tc>
        <w:tc>
          <w:tcPr>
            <w:tcW w:type="dxa" w:w="17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Should (v1)</w:t>
            </w:r>
          </w:p>
        </w:tc>
      </w:tr>
      <w:tr>
        <w:tc>
          <w:tcPr>
            <w:tcW w:type="dxa" w:w="100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FR-13</w:t>
            </w:r>
          </w:p>
        </w:tc>
        <w:tc>
          <w:tcPr>
            <w:tcW w:type="dxa" w:w="7056"/>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Push notifications via email; Slack and MS Teams to follow.</w:t>
            </w:r>
          </w:p>
        </w:tc>
        <w:tc>
          <w:tcPr>
            <w:tcW w:type="dxa" w:w="17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Should (v1)</w:t>
            </w:r>
          </w:p>
        </w:tc>
      </w:tr>
      <w:tr>
        <w:tc>
          <w:tcPr>
            <w:tcW w:type="dxa" w:w="100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FR-14</w:t>
            </w:r>
          </w:p>
        </w:tc>
        <w:tc>
          <w:tcPr>
            <w:tcW w:type="dxa" w:w="7056"/>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Public API for partners and integrators.</w:t>
            </w:r>
          </w:p>
        </w:tc>
        <w:tc>
          <w:tcPr>
            <w:tcW w:type="dxa" w:w="17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Could (post-v1)</w:t>
            </w:r>
          </w:p>
        </w:tc>
      </w:tr>
    </w:tbl>
    <w:p>
      <w:pPr>
        <w:keepNext/>
        <w:spacing w:before="280" w:after="120"/>
      </w:pPr>
      <w:r>
        <w:rPr>
          <w:rFonts w:ascii="Calibri" w:hAnsi="Calibri"/>
          <w:b/>
          <w:i w:val="0"/>
          <w:color w:val="1F4E79"/>
          <w:sz w:val="36"/>
        </w:rPr>
        <w:t>10. Non-functional requirements</w:t>
      </w:r>
    </w:p>
    <w:tbl>
      <w:tblPr>
        <w:tblW w:type="auto" w:w="0"/>
        <w:jc w:val="left"/>
        <w:tblLayout w:type="fixed"/>
        <w:tblLook w:firstColumn="1" w:firstRow="1" w:lastColumn="0" w:lastRow="0" w:noHBand="0" w:noVBand="1" w:val="04A0"/>
      </w:tblPr>
      <w:tblGrid>
        <w:gridCol w:w="4706"/>
        <w:gridCol w:w="4706"/>
      </w:tblGrid>
      <w:tr>
        <w:tc>
          <w:tcPr>
            <w:tcW w:type="dxa" w:w="1152"/>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ID</w:t>
            </w:r>
          </w:p>
        </w:tc>
        <w:tc>
          <w:tcPr>
            <w:tcW w:type="dxa" w:w="8640"/>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Requirement</w:t>
            </w:r>
          </w:p>
        </w:tc>
      </w:tr>
      <w:tr>
        <w:tc>
          <w:tcPr>
            <w:tcW w:type="dxa" w:w="115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NFR-1</w:t>
            </w:r>
          </w:p>
        </w:tc>
        <w:tc>
          <w:tcPr>
            <w:tcW w:type="dxa" w:w="864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Tenant isolation. Customer data never crosses tenants; cost models are not used to train cross-customer predictions without explicit opt-in.</w:t>
            </w:r>
          </w:p>
        </w:tc>
      </w:tr>
      <w:tr>
        <w:tc>
          <w:tcPr>
            <w:tcW w:type="dxa" w:w="1152"/>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NFR-2</w:t>
            </w:r>
          </w:p>
        </w:tc>
        <w:tc>
          <w:tcPr>
            <w:tcW w:type="dxa" w:w="8640"/>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Encryption at rest and in transit; KMS-managed keys, per-region key custody.</w:t>
            </w:r>
          </w:p>
        </w:tc>
      </w:tr>
      <w:tr>
        <w:tc>
          <w:tcPr>
            <w:tcW w:type="dxa" w:w="115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NFR-3</w:t>
            </w:r>
          </w:p>
        </w:tc>
        <w:tc>
          <w:tcPr>
            <w:tcW w:type="dxa" w:w="864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Audit log: every recommendation, every input snapshot, every decision; immutable, retained at least 7 years.</w:t>
            </w:r>
          </w:p>
        </w:tc>
      </w:tr>
      <w:tr>
        <w:tc>
          <w:tcPr>
            <w:tcW w:type="dxa" w:w="1152"/>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NFR-4</w:t>
            </w:r>
          </w:p>
        </w:tc>
        <w:tc>
          <w:tcPr>
            <w:tcW w:type="dxa" w:w="8640"/>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EU data residency by default; per-region deployment supported.</w:t>
            </w:r>
          </w:p>
        </w:tc>
      </w:tr>
      <w:tr>
        <w:tc>
          <w:tcPr>
            <w:tcW w:type="dxa" w:w="115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NFR-5</w:t>
            </w:r>
          </w:p>
        </w:tc>
        <w:tc>
          <w:tcPr>
            <w:tcW w:type="dxa" w:w="864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Recommendation latency: under 60 seconds from alert ingestion.</w:t>
            </w:r>
          </w:p>
        </w:tc>
      </w:tr>
      <w:tr>
        <w:tc>
          <w:tcPr>
            <w:tcW w:type="dxa" w:w="1152"/>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NFR-6</w:t>
            </w:r>
          </w:p>
        </w:tc>
        <w:tc>
          <w:tcPr>
            <w:tcW w:type="dxa" w:w="8640"/>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Availability: 99.5% v1, 99.9% v2.</w:t>
            </w:r>
          </w:p>
        </w:tc>
      </w:tr>
      <w:tr>
        <w:tc>
          <w:tcPr>
            <w:tcW w:type="dxa" w:w="115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NFR-7</w:t>
            </w:r>
          </w:p>
        </w:tc>
        <w:tc>
          <w:tcPr>
            <w:tcW w:type="dxa" w:w="864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Explainability: every recommendation surfaces its top three drivers.</w:t>
            </w:r>
          </w:p>
        </w:tc>
      </w:tr>
      <w:tr>
        <w:tc>
          <w:tcPr>
            <w:tcW w:type="dxa" w:w="1152"/>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NFR-8</w:t>
            </w:r>
          </w:p>
        </w:tc>
        <w:tc>
          <w:tcPr>
            <w:tcW w:type="dxa" w:w="8640"/>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Calibration monitoring: dashboard tracking prediction quality vs. realized outcomes, refreshed monthly.</w:t>
            </w:r>
          </w:p>
        </w:tc>
      </w:tr>
      <w:tr>
        <w:tc>
          <w:tcPr>
            <w:tcW w:type="dxa" w:w="115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NFR-9</w:t>
            </w:r>
          </w:p>
        </w:tc>
        <w:tc>
          <w:tcPr>
            <w:tcW w:type="dxa" w:w="864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Compliance: GDPR baseline; SOC 2 Type I as a v2 milestone, Type II in phase 3.</w:t>
            </w:r>
          </w:p>
        </w:tc>
      </w:tr>
    </w:tbl>
    <w:p>
      <w:pPr>
        <w:keepNext/>
        <w:spacing w:before="280" w:after="120"/>
      </w:pPr>
      <w:r>
        <w:rPr>
          <w:rFonts w:ascii="Calibri" w:hAnsi="Calibri"/>
          <w:b/>
          <w:i w:val="0"/>
          <w:color w:val="1F4E79"/>
          <w:sz w:val="36"/>
        </w:rPr>
        <w:t>11. High-level architecture</w:t>
      </w:r>
    </w:p>
    <w:p>
      <w:pPr>
        <w:spacing w:after="80"/>
      </w:pPr>
      <w:r>
        <w:rPr>
          <w:rFonts w:ascii="Calibri" w:hAnsi="Calibri"/>
          <w:b w:val="0"/>
          <w:i w:val="0"/>
          <w:sz w:val="22"/>
        </w:rPr>
        <w:t>Layered architecture, each layer owned by a clear teammate. Detailed design lives in the architecture document; this section anchors language so the team agrees on what each box is responsible for.</w:t>
      </w:r>
    </w:p>
    <w:tbl>
      <w:tblPr>
        <w:tblW w:type="auto" w:w="0"/>
        <w:jc w:val="left"/>
        <w:tblLayout w:type="fixed"/>
        <w:tblLook w:firstColumn="1" w:firstRow="1" w:lastColumn="0" w:lastRow="0" w:noHBand="0" w:noVBand="1" w:val="04A0"/>
      </w:tblPr>
      <w:tblGrid>
        <w:gridCol w:w="3137"/>
        <w:gridCol w:w="3137"/>
        <w:gridCol w:w="3137"/>
      </w:tblGrid>
      <w:tr>
        <w:tc>
          <w:tcPr>
            <w:tcW w:type="dxa" w:w="2160"/>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Layer</w:t>
            </w:r>
          </w:p>
        </w:tc>
        <w:tc>
          <w:tcPr>
            <w:tcW w:type="dxa" w:w="5328"/>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Responsibility</w:t>
            </w:r>
          </w:p>
        </w:tc>
        <w:tc>
          <w:tcPr>
            <w:tcW w:type="dxa" w:w="2304"/>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Owner</w:t>
            </w:r>
          </w:p>
        </w:tc>
      </w:tr>
      <w:tr>
        <w:tc>
          <w:tcPr>
            <w:tcW w:type="dxa" w:w="216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External data</w:t>
            </w:r>
          </w:p>
        </w:tc>
        <w:tc>
          <w:tcPr>
            <w:tcW w:type="dxa" w:w="53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AIS feeds, weather APIs, port congestion, disruption news, customer ERP/MES.</w:t>
            </w:r>
          </w:p>
        </w:tc>
        <w:tc>
          <w:tcPr>
            <w:tcW w:type="dxa" w:w="230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Vendor partners</w:t>
            </w:r>
          </w:p>
        </w:tc>
      </w:tr>
      <w:tr>
        <w:tc>
          <w:tcPr>
            <w:tcW w:type="dxa" w:w="2160"/>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Ingestion</w:t>
            </w:r>
          </w:p>
        </w:tc>
        <w:tc>
          <w:tcPr>
            <w:tcW w:type="dxa" w:w="53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Streaming pipeline; deduplication; event enrichment; source authentication.</w:t>
            </w:r>
          </w:p>
        </w:tc>
        <w:tc>
          <w:tcPr>
            <w:tcW w:type="dxa" w:w="2304"/>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Amir</w:t>
            </w:r>
          </w:p>
        </w:tc>
      </w:tr>
      <w:tr>
        <w:tc>
          <w:tcPr>
            <w:tcW w:type="dxa" w:w="216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Data platform</w:t>
            </w:r>
          </w:p>
        </w:tc>
        <w:tc>
          <w:tcPr>
            <w:tcW w:type="dxa" w:w="53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Time-series store, event store, per-tenant cost models.</w:t>
            </w:r>
          </w:p>
        </w:tc>
        <w:tc>
          <w:tcPr>
            <w:tcW w:type="dxa" w:w="230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Jane / Amir</w:t>
            </w:r>
          </w:p>
        </w:tc>
      </w:tr>
      <w:tr>
        <w:tc>
          <w:tcPr>
            <w:tcW w:type="dxa" w:w="2160"/>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ML layer</w:t>
            </w:r>
          </w:p>
        </w:tc>
        <w:tc>
          <w:tcPr>
            <w:tcW w:type="dxa" w:w="53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Scenario-based probabilistic delay model; calibration tracker.</w:t>
            </w:r>
          </w:p>
        </w:tc>
        <w:tc>
          <w:tcPr>
            <w:tcW w:type="dxa" w:w="2304"/>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Jane</w:t>
            </w:r>
          </w:p>
        </w:tc>
      </w:tr>
      <w:tr>
        <w:tc>
          <w:tcPr>
            <w:tcW w:type="dxa" w:w="216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Decision engine</w:t>
            </w:r>
          </w:p>
        </w:tc>
        <w:tc>
          <w:tcPr>
            <w:tcW w:type="dxa" w:w="53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Scenario generator, financial impact calculator, ranking.</w:t>
            </w:r>
          </w:p>
        </w:tc>
        <w:tc>
          <w:tcPr>
            <w:tcW w:type="dxa" w:w="230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Jane / Amir</w:t>
            </w:r>
          </w:p>
        </w:tc>
      </w:tr>
      <w:tr>
        <w:tc>
          <w:tcPr>
            <w:tcW w:type="dxa" w:w="2160"/>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Application</w:t>
            </w:r>
          </w:p>
        </w:tc>
        <w:tc>
          <w:tcPr>
            <w:tcW w:type="dxa" w:w="53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Web app (decision view, history, reporting), notification service, API.</w:t>
            </w:r>
          </w:p>
        </w:tc>
        <w:tc>
          <w:tcPr>
            <w:tcW w:type="dxa" w:w="2304"/>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Amir</w:t>
            </w:r>
          </w:p>
        </w:tc>
      </w:tr>
      <w:tr>
        <w:tc>
          <w:tcPr>
            <w:tcW w:type="dxa" w:w="216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Identity &amp; trust</w:t>
            </w:r>
          </w:p>
        </w:tc>
        <w:tc>
          <w:tcPr>
            <w:tcW w:type="dxa" w:w="53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Per-tenant auth, RBAC, audit log, encryption services.</w:t>
            </w:r>
          </w:p>
        </w:tc>
        <w:tc>
          <w:tcPr>
            <w:tcW w:type="dxa" w:w="230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Amir / Claude (review)</w:t>
            </w:r>
          </w:p>
        </w:tc>
      </w:tr>
    </w:tbl>
    <w:p>
      <w:pPr>
        <w:keepNext/>
        <w:spacing w:before="280" w:after="120"/>
      </w:pPr>
      <w:r>
        <w:rPr>
          <w:rFonts w:ascii="Calibri" w:hAnsi="Calibri"/>
          <w:b/>
          <w:i w:val="0"/>
          <w:color w:val="1F4E79"/>
          <w:sz w:val="36"/>
        </w:rPr>
        <w:t>12. MVP scope</w:t>
      </w:r>
    </w:p>
    <w:p>
      <w:pPr>
        <w:keepNext/>
        <w:spacing w:before="200" w:after="120"/>
      </w:pPr>
      <w:r>
        <w:rPr>
          <w:rFonts w:ascii="Calibri" w:hAnsi="Calibri"/>
          <w:b/>
          <w:i w:val="0"/>
          <w:color w:val="1F4E79"/>
          <w:sz w:val="28"/>
        </w:rPr>
        <w:t>12.1 In scope (90 days)</w:t>
      </w:r>
    </w:p>
    <w:p>
      <w:pPr>
        <w:pStyle w:val="ListBullet"/>
        <w:spacing w:after="40"/>
      </w:pPr>
      <w:r>
        <w:rPr>
          <w:rFonts w:ascii="Calibri" w:hAnsi="Calibri"/>
          <w:b w:val="0"/>
          <w:i w:val="0"/>
          <w:sz w:val="22"/>
        </w:rPr>
        <w:t>One vertical: mid-size European manufacturer with critical inbound shipments.</w:t>
      </w:r>
    </w:p>
    <w:p>
      <w:pPr>
        <w:pStyle w:val="ListBullet"/>
        <w:spacing w:after="40"/>
      </w:pPr>
      <w:r>
        <w:rPr>
          <w:rFonts w:ascii="Calibri" w:hAnsi="Calibri"/>
          <w:b w:val="0"/>
          <w:i w:val="0"/>
          <w:sz w:val="22"/>
        </w:rPr>
        <w:t>One disruption type prioritized: maritime / port congestion (data is most accessible).</w:t>
      </w:r>
    </w:p>
    <w:p>
      <w:pPr>
        <w:pStyle w:val="ListBullet"/>
        <w:spacing w:after="40"/>
      </w:pPr>
      <w:r>
        <w:rPr>
          <w:rFonts w:ascii="Calibri" w:hAnsi="Calibri"/>
          <w:b w:val="0"/>
          <w:i w:val="0"/>
          <w:sz w:val="22"/>
        </w:rPr>
        <w:t>Manual cost-model intake - structured intake workshop; no ERP integration yet.</w:t>
      </w:r>
    </w:p>
    <w:p>
      <w:pPr>
        <w:pStyle w:val="ListBullet"/>
        <w:spacing w:after="40"/>
      </w:pPr>
      <w:r>
        <w:rPr>
          <w:rFonts w:ascii="Calibri" w:hAnsi="Calibri"/>
          <w:b w:val="0"/>
          <w:i w:val="0"/>
          <w:sz w:val="22"/>
        </w:rPr>
        <w:t>Single-tenant deployment per pilot customer.</w:t>
      </w:r>
    </w:p>
    <w:p>
      <w:pPr>
        <w:pStyle w:val="ListBullet"/>
        <w:spacing w:after="40"/>
      </w:pPr>
      <w:r>
        <w:rPr>
          <w:rFonts w:ascii="Calibri" w:hAnsi="Calibri"/>
          <w:b w:val="0"/>
          <w:i w:val="0"/>
          <w:sz w:val="22"/>
        </w:rPr>
        <w:t>Decision view: scenario list, cost breakdown, recommendation, decision capture.</w:t>
      </w:r>
    </w:p>
    <w:p>
      <w:pPr>
        <w:pStyle w:val="ListBullet"/>
        <w:spacing w:after="40"/>
      </w:pPr>
      <w:r>
        <w:rPr>
          <w:rFonts w:ascii="Calibri" w:hAnsi="Calibri"/>
          <w:b w:val="0"/>
          <w:i w:val="0"/>
          <w:sz w:val="22"/>
        </w:rPr>
        <w:t>Email notification only.</w:t>
      </w:r>
    </w:p>
    <w:p>
      <w:pPr>
        <w:pStyle w:val="ListBullet"/>
        <w:spacing w:after="40"/>
      </w:pPr>
      <w:r>
        <w:rPr>
          <w:rFonts w:ascii="Calibri" w:hAnsi="Calibri"/>
          <w:b w:val="0"/>
          <w:i w:val="0"/>
          <w:sz w:val="22"/>
        </w:rPr>
        <w:t>Three pilot customers minimum, two paid pilots ideal.</w:t>
      </w:r>
    </w:p>
    <w:p>
      <w:pPr>
        <w:keepNext/>
        <w:spacing w:before="200" w:after="120"/>
      </w:pPr>
      <w:r>
        <w:rPr>
          <w:rFonts w:ascii="Calibri" w:hAnsi="Calibri"/>
          <w:b/>
          <w:i w:val="0"/>
          <w:color w:val="1F4E79"/>
          <w:sz w:val="28"/>
        </w:rPr>
        <w:t>12.2 Out of scope (90 days)</w:t>
      </w:r>
    </w:p>
    <w:p>
      <w:pPr>
        <w:pStyle w:val="ListBullet"/>
        <w:spacing w:after="40"/>
      </w:pPr>
      <w:r>
        <w:rPr>
          <w:rFonts w:ascii="Calibri" w:hAnsi="Calibri"/>
          <w:b w:val="0"/>
          <w:i w:val="0"/>
          <w:sz w:val="22"/>
        </w:rPr>
        <w:t>ERP/MES integration.</w:t>
      </w:r>
    </w:p>
    <w:p>
      <w:pPr>
        <w:pStyle w:val="ListBullet"/>
        <w:spacing w:after="40"/>
      </w:pPr>
      <w:r>
        <w:rPr>
          <w:rFonts w:ascii="Calibri" w:hAnsi="Calibri"/>
          <w:b w:val="0"/>
          <w:i w:val="0"/>
          <w:sz w:val="22"/>
        </w:rPr>
        <w:t>Multi-tenant SaaS.</w:t>
      </w:r>
    </w:p>
    <w:p>
      <w:pPr>
        <w:pStyle w:val="ListBullet"/>
        <w:spacing w:after="40"/>
      </w:pPr>
      <w:r>
        <w:rPr>
          <w:rFonts w:ascii="Calibri" w:hAnsi="Calibri"/>
          <w:b w:val="0"/>
          <w:i w:val="0"/>
          <w:sz w:val="22"/>
        </w:rPr>
        <w:t>Slack and Teams notifications.</w:t>
      </w:r>
    </w:p>
    <w:p>
      <w:pPr>
        <w:pStyle w:val="ListBullet"/>
        <w:spacing w:after="40"/>
      </w:pPr>
      <w:r>
        <w:rPr>
          <w:rFonts w:ascii="Calibri" w:hAnsi="Calibri"/>
          <w:b w:val="0"/>
          <w:i w:val="0"/>
          <w:sz w:val="22"/>
        </w:rPr>
        <w:t>Public API.</w:t>
      </w:r>
    </w:p>
    <w:p>
      <w:pPr>
        <w:pStyle w:val="ListBullet"/>
        <w:spacing w:after="40"/>
      </w:pPr>
      <w:r>
        <w:rPr>
          <w:rFonts w:ascii="Calibri" w:hAnsi="Calibri"/>
          <w:b w:val="0"/>
          <w:i w:val="0"/>
          <w:sz w:val="22"/>
        </w:rPr>
        <w:t>Disruption types beyond port congestion (strikes, weather catastrophes - phase 2).</w:t>
      </w:r>
    </w:p>
    <w:p>
      <w:pPr>
        <w:pStyle w:val="ListBullet"/>
        <w:spacing w:after="40"/>
      </w:pPr>
      <w:r>
        <w:rPr>
          <w:rFonts w:ascii="Calibri" w:hAnsi="Calibri"/>
          <w:b w:val="0"/>
          <w:i w:val="0"/>
          <w:sz w:val="22"/>
        </w:rPr>
        <w:t>Self-serve onboarding.</w:t>
      </w:r>
    </w:p>
    <w:p>
      <w:pPr>
        <w:keepNext/>
        <w:spacing w:before="200" w:after="120"/>
      </w:pPr>
      <w:r>
        <w:rPr>
          <w:rFonts w:ascii="Calibri" w:hAnsi="Calibri"/>
          <w:b/>
          <w:i w:val="0"/>
          <w:color w:val="1F4E79"/>
          <w:sz w:val="28"/>
        </w:rPr>
        <w:t>12.3 Pilot exit criteria</w:t>
      </w:r>
    </w:p>
    <w:p>
      <w:pPr>
        <w:spacing w:after="80"/>
      </w:pPr>
      <w:r>
        <w:rPr>
          <w:rFonts w:ascii="Calibri" w:hAnsi="Calibri"/>
          <w:b w:val="0"/>
          <w:i w:val="0"/>
          <w:sz w:val="22"/>
        </w:rPr>
        <w:t>We exit pilot and begin commercial sale when (a) at least 5 disruption events per pilot customer have been handled with a recommendation, (b) recommendation acceptance is at least 40%, (c) calibration is within target tolerance, and (d) at least one pilot has signed a letter of intent to convert to paid.</w:t>
      </w:r>
    </w:p>
    <w:p>
      <w:pPr>
        <w:keepNext/>
        <w:spacing w:before="280" w:after="120"/>
      </w:pPr>
      <w:r>
        <w:rPr>
          <w:rFonts w:ascii="Calibri" w:hAnsi="Calibri"/>
          <w:b/>
          <w:i w:val="0"/>
          <w:color w:val="1F4E79"/>
          <w:sz w:val="36"/>
        </w:rPr>
        <w:t>13. Risks and mitigations</w:t>
      </w:r>
    </w:p>
    <w:tbl>
      <w:tblPr>
        <w:tblW w:type="auto" w:w="0"/>
        <w:jc w:val="left"/>
        <w:tblLayout w:type="fixed"/>
        <w:tblLook w:firstColumn="1" w:firstRow="1" w:lastColumn="0" w:lastRow="0" w:noHBand="0" w:noVBand="1" w:val="04A0"/>
      </w:tblPr>
      <w:tblGrid>
        <w:gridCol w:w="1882"/>
        <w:gridCol w:w="1882"/>
        <w:gridCol w:w="1882"/>
        <w:gridCol w:w="1882"/>
        <w:gridCol w:w="1882"/>
      </w:tblGrid>
      <w:tr>
        <w:tc>
          <w:tcPr>
            <w:tcW w:type="dxa" w:w="864"/>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ID</w:t>
            </w:r>
          </w:p>
        </w:tc>
        <w:tc>
          <w:tcPr>
            <w:tcW w:type="dxa" w:w="3312"/>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Risk</w:t>
            </w:r>
          </w:p>
        </w:tc>
        <w:tc>
          <w:tcPr>
            <w:tcW w:type="dxa" w:w="1296"/>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Likelihood</w:t>
            </w:r>
          </w:p>
        </w:tc>
        <w:tc>
          <w:tcPr>
            <w:tcW w:type="dxa" w:w="1152"/>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Impact</w:t>
            </w:r>
          </w:p>
        </w:tc>
        <w:tc>
          <w:tcPr>
            <w:tcW w:type="dxa" w:w="3168"/>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Mitigation</w:t>
            </w:r>
          </w:p>
        </w:tc>
      </w:tr>
      <w:tr>
        <w:tc>
          <w:tcPr>
            <w:tcW w:type="dxa" w:w="86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R-1</w:t>
            </w:r>
          </w:p>
        </w:tc>
        <w:tc>
          <w:tcPr>
            <w:tcW w:type="dxa" w:w="331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Cost-of-delay numbers are opinions, not facts; customers can't or won't share them.</w:t>
            </w:r>
          </w:p>
        </w:tc>
        <w:tc>
          <w:tcPr>
            <w:tcW w:type="dxa" w:w="1296"/>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High</w:t>
            </w:r>
          </w:p>
        </w:tc>
        <w:tc>
          <w:tcPr>
            <w:tcW w:type="dxa" w:w="115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Critical</w:t>
            </w:r>
          </w:p>
        </w:tc>
        <w:tc>
          <w:tcPr>
            <w:tcW w:type="dxa" w:w="316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Structured intake workshop; templated cost categories; allow ranges with sensitivity analysis.</w:t>
            </w:r>
          </w:p>
        </w:tc>
      </w:tr>
      <w:tr>
        <w:tc>
          <w:tcPr>
            <w:tcW w:type="dxa" w:w="864"/>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R-2</w:t>
            </w:r>
          </w:p>
        </w:tc>
        <w:tc>
          <w:tcPr>
            <w:tcW w:type="dxa" w:w="3312"/>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Disruption data is sparse and noisy; ML model overfits.</w:t>
            </w:r>
          </w:p>
        </w:tc>
        <w:tc>
          <w:tcPr>
            <w:tcW w:type="dxa" w:w="1296"/>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Medium</w:t>
            </w:r>
          </w:p>
        </w:tc>
        <w:tc>
          <w:tcPr>
            <w:tcW w:type="dxa" w:w="1152"/>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High</w:t>
            </w:r>
          </w:p>
        </w:tc>
        <w:tc>
          <w:tcPr>
            <w:tcW w:type="dxa" w:w="316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Scenario-based forecasting with explicit uncertainty; calibration monitoring from day one.</w:t>
            </w:r>
          </w:p>
        </w:tc>
      </w:tr>
      <w:tr>
        <w:tc>
          <w:tcPr>
            <w:tcW w:type="dxa" w:w="86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R-3</w:t>
            </w:r>
          </w:p>
        </w:tc>
        <w:tc>
          <w:tcPr>
            <w:tcW w:type="dxa" w:w="331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Recommendation moves money; if wrong, we are exposed.</w:t>
            </w:r>
          </w:p>
        </w:tc>
        <w:tc>
          <w:tcPr>
            <w:tcW w:type="dxa" w:w="1296"/>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Medium</w:t>
            </w:r>
          </w:p>
        </w:tc>
        <w:tc>
          <w:tcPr>
            <w:tcW w:type="dxa" w:w="115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High</w:t>
            </w:r>
          </w:p>
        </w:tc>
        <w:tc>
          <w:tcPr>
            <w:tcW w:type="dxa" w:w="316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Recommendation is advisory, not automated; explicit human-in-the-loop; immutable audit trail.</w:t>
            </w:r>
          </w:p>
        </w:tc>
      </w:tr>
      <w:tr>
        <w:tc>
          <w:tcPr>
            <w:tcW w:type="dxa" w:w="864"/>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R-4</w:t>
            </w:r>
          </w:p>
        </w:tc>
        <w:tc>
          <w:tcPr>
            <w:tcW w:type="dxa" w:w="3312"/>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Long sales cycle in target segment.</w:t>
            </w:r>
          </w:p>
        </w:tc>
        <w:tc>
          <w:tcPr>
            <w:tcW w:type="dxa" w:w="1296"/>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High</w:t>
            </w:r>
          </w:p>
        </w:tc>
        <w:tc>
          <w:tcPr>
            <w:tcW w:type="dxa" w:w="1152"/>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Medium</w:t>
            </w:r>
          </w:p>
        </w:tc>
        <w:tc>
          <w:tcPr>
            <w:tcW w:type="dxa" w:w="316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Pilot with letter of intent rather than full procurement; lean intake.</w:t>
            </w:r>
          </w:p>
        </w:tc>
      </w:tr>
      <w:tr>
        <w:tc>
          <w:tcPr>
            <w:tcW w:type="dxa" w:w="86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R-5</w:t>
            </w:r>
          </w:p>
        </w:tc>
        <w:tc>
          <w:tcPr>
            <w:tcW w:type="dxa" w:w="331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Data vendor concentration / cost.</w:t>
            </w:r>
          </w:p>
        </w:tc>
        <w:tc>
          <w:tcPr>
            <w:tcW w:type="dxa" w:w="1296"/>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Medium</w:t>
            </w:r>
          </w:p>
        </w:tc>
        <w:tc>
          <w:tcPr>
            <w:tcW w:type="dxa" w:w="115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Medium</w:t>
            </w:r>
          </w:p>
        </w:tc>
        <w:tc>
          <w:tcPr>
            <w:tcW w:type="dxa" w:w="316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Multi-source fallback; vendor-agnostic ingestion abstraction.</w:t>
            </w:r>
          </w:p>
        </w:tc>
      </w:tr>
      <w:tr>
        <w:tc>
          <w:tcPr>
            <w:tcW w:type="dxa" w:w="864"/>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R-6</w:t>
            </w:r>
          </w:p>
        </w:tc>
        <w:tc>
          <w:tcPr>
            <w:tcW w:type="dxa" w:w="3312"/>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Adversarial manipulation of inputs.</w:t>
            </w:r>
          </w:p>
        </w:tc>
        <w:tc>
          <w:tcPr>
            <w:tcW w:type="dxa" w:w="1296"/>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Low</w:t>
            </w:r>
          </w:p>
        </w:tc>
        <w:tc>
          <w:tcPr>
            <w:tcW w:type="dxa" w:w="1152"/>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High</w:t>
            </w:r>
          </w:p>
        </w:tc>
        <w:tc>
          <w:tcPr>
            <w:tcW w:type="dxa" w:w="316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Source authentication; anomaly detection on inputs; rate limits.</w:t>
            </w:r>
          </w:p>
        </w:tc>
      </w:tr>
      <w:tr>
        <w:tc>
          <w:tcPr>
            <w:tcW w:type="dxa" w:w="86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R-7</w:t>
            </w:r>
          </w:p>
        </w:tc>
        <w:tc>
          <w:tcPr>
            <w:tcW w:type="dxa" w:w="331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Internal team capacity (3 founders).</w:t>
            </w:r>
          </w:p>
        </w:tc>
        <w:tc>
          <w:tcPr>
            <w:tcW w:type="dxa" w:w="1296"/>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High</w:t>
            </w:r>
          </w:p>
        </w:tc>
        <w:tc>
          <w:tcPr>
            <w:tcW w:type="dxa" w:w="115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Medium</w:t>
            </w:r>
          </w:p>
        </w:tc>
        <w:tc>
          <w:tcPr>
            <w:tcW w:type="dxa" w:w="316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Tight MVP scope; defer integrations; lean ops; Claude as standing reviewer.</w:t>
            </w:r>
          </w:p>
        </w:tc>
      </w:tr>
    </w:tbl>
    <w:p>
      <w:pPr>
        <w:keepNext/>
        <w:spacing w:before="280" w:after="120"/>
      </w:pPr>
      <w:r>
        <w:rPr>
          <w:rFonts w:ascii="Calibri" w:hAnsi="Calibri"/>
          <w:b/>
          <w:i w:val="0"/>
          <w:color w:val="1F4E79"/>
          <w:sz w:val="36"/>
        </w:rPr>
        <w:t>14. Open questions</w:t>
      </w:r>
    </w:p>
    <w:p>
      <w:pPr>
        <w:spacing w:after="80"/>
      </w:pPr>
      <w:r>
        <w:rPr>
          <w:rFonts w:ascii="Calibri" w:hAnsi="Calibri"/>
          <w:b w:val="0"/>
          <w:i w:val="0"/>
          <w:sz w:val="22"/>
        </w:rPr>
        <w:t>Items the team needs to resolve to lock v1. Each should have an owner and a target date.</w:t>
      </w:r>
    </w:p>
    <w:tbl>
      <w:tblPr>
        <w:tblW w:type="auto" w:w="0"/>
        <w:jc w:val="left"/>
        <w:tblLayout w:type="fixed"/>
        <w:tblLook w:firstColumn="1" w:firstRow="1" w:lastColumn="0" w:lastRow="0" w:noHBand="0" w:noVBand="1" w:val="04A0"/>
      </w:tblPr>
      <w:tblGrid>
        <w:gridCol w:w="3137"/>
        <w:gridCol w:w="3137"/>
        <w:gridCol w:w="3137"/>
      </w:tblGrid>
      <w:tr>
        <w:tc>
          <w:tcPr>
            <w:tcW w:type="dxa" w:w="864"/>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ID</w:t>
            </w:r>
          </w:p>
        </w:tc>
        <w:tc>
          <w:tcPr>
            <w:tcW w:type="dxa" w:w="7200"/>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Question</w:t>
            </w:r>
          </w:p>
        </w:tc>
        <w:tc>
          <w:tcPr>
            <w:tcW w:type="dxa" w:w="1728"/>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Owner</w:t>
            </w:r>
          </w:p>
        </w:tc>
      </w:tr>
      <w:tr>
        <w:tc>
          <w:tcPr>
            <w:tcW w:type="dxa" w:w="86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OQ-1</w:t>
            </w:r>
          </w:p>
        </w:tc>
        <w:tc>
          <w:tcPr>
            <w:tcW w:type="dxa" w:w="720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Which exact data vendors do we pilot with for AIS, weather, and port congestion?</w:t>
            </w:r>
          </w:p>
        </w:tc>
        <w:tc>
          <w:tcPr>
            <w:tcW w:type="dxa" w:w="17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Jane</w:t>
            </w:r>
          </w:p>
        </w:tc>
      </w:tr>
      <w:tr>
        <w:tc>
          <w:tcPr>
            <w:tcW w:type="dxa" w:w="864"/>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OQ-2</w:t>
            </w:r>
          </w:p>
        </w:tc>
        <w:tc>
          <w:tcPr>
            <w:tcW w:type="dxa" w:w="7200"/>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Hosting: AWS Frankfurt, Azure, or GCP? Driver: data residency, cost, team skill.</w:t>
            </w:r>
          </w:p>
        </w:tc>
        <w:tc>
          <w:tcPr>
            <w:tcW w:type="dxa" w:w="17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Amir</w:t>
            </w:r>
          </w:p>
        </w:tc>
      </w:tr>
      <w:tr>
        <w:tc>
          <w:tcPr>
            <w:tcW w:type="dxa" w:w="86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OQ-3</w:t>
            </w:r>
          </w:p>
        </w:tc>
        <w:tc>
          <w:tcPr>
            <w:tcW w:type="dxa" w:w="720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Pricing model: per shipment, per disruption event, per seat, or platform fee?</w:t>
            </w:r>
          </w:p>
        </w:tc>
        <w:tc>
          <w:tcPr>
            <w:tcW w:type="dxa" w:w="17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Nick</w:t>
            </w:r>
          </w:p>
        </w:tc>
      </w:tr>
      <w:tr>
        <w:tc>
          <w:tcPr>
            <w:tcW w:type="dxa" w:w="864"/>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OQ-4</w:t>
            </w:r>
          </w:p>
        </w:tc>
        <w:tc>
          <w:tcPr>
            <w:tcW w:type="dxa" w:w="7200"/>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Do we offer a paid 'cost-of-delay calibration' professional services tier?</w:t>
            </w:r>
          </w:p>
        </w:tc>
        <w:tc>
          <w:tcPr>
            <w:tcW w:type="dxa" w:w="17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Nick</w:t>
            </w:r>
          </w:p>
        </w:tc>
      </w:tr>
      <w:tr>
        <w:tc>
          <w:tcPr>
            <w:tcW w:type="dxa" w:w="86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OQ-5</w:t>
            </w:r>
          </w:p>
        </w:tc>
        <w:tc>
          <w:tcPr>
            <w:tcW w:type="dxa" w:w="720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Pilot customer #1: who, by when, for how long, with what success criteria?</w:t>
            </w:r>
          </w:p>
        </w:tc>
        <w:tc>
          <w:tcPr>
            <w:tcW w:type="dxa" w:w="17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Nick</w:t>
            </w:r>
          </w:p>
        </w:tc>
      </w:tr>
      <w:tr>
        <w:tc>
          <w:tcPr>
            <w:tcW w:type="dxa" w:w="864"/>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OQ-6</w:t>
            </w:r>
          </w:p>
        </w:tc>
        <w:tc>
          <w:tcPr>
            <w:tcW w:type="dxa" w:w="7200"/>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What is the minimum-credible recommendation explanation Lena will accept?</w:t>
            </w:r>
          </w:p>
        </w:tc>
        <w:tc>
          <w:tcPr>
            <w:tcW w:type="dxa" w:w="17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Amir + Nick</w:t>
            </w:r>
          </w:p>
        </w:tc>
      </w:tr>
      <w:tr>
        <w:tc>
          <w:tcPr>
            <w:tcW w:type="dxa" w:w="864"/>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OQ-7</w:t>
            </w:r>
          </w:p>
        </w:tc>
        <w:tc>
          <w:tcPr>
            <w:tcW w:type="dxa" w:w="720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How do we capture and version a customer's cost model over time?</w:t>
            </w:r>
          </w:p>
        </w:tc>
        <w:tc>
          <w:tcPr>
            <w:tcW w:type="dxa" w:w="1728"/>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Jane</w:t>
            </w:r>
          </w:p>
        </w:tc>
      </w:tr>
      <w:tr>
        <w:tc>
          <w:tcPr>
            <w:tcW w:type="dxa" w:w="864"/>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OQ-8</w:t>
            </w:r>
          </w:p>
        </w:tc>
        <w:tc>
          <w:tcPr>
            <w:tcW w:type="dxa" w:w="7200"/>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Liability stance: is the recommendation advice or guidance? Insurance?</w:t>
            </w:r>
          </w:p>
        </w:tc>
        <w:tc>
          <w:tcPr>
            <w:tcW w:type="dxa" w:w="1728"/>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Nick + Claude</w:t>
            </w:r>
          </w:p>
        </w:tc>
      </w:tr>
    </w:tbl>
    <w:p>
      <w:pPr>
        <w:keepNext/>
        <w:spacing w:before="280" w:after="120"/>
      </w:pPr>
      <w:r>
        <w:rPr>
          <w:rFonts w:ascii="Calibri" w:hAnsi="Calibri"/>
          <w:b/>
          <w:i w:val="0"/>
          <w:color w:val="1F4E79"/>
          <w:sz w:val="36"/>
        </w:rPr>
        <w:t>15. Roadmap</w:t>
      </w:r>
    </w:p>
    <w:p>
      <w:pPr>
        <w:keepNext/>
        <w:spacing w:before="200" w:after="120"/>
      </w:pPr>
      <w:r>
        <w:rPr>
          <w:rFonts w:ascii="Calibri" w:hAnsi="Calibri"/>
          <w:b/>
          <w:i w:val="0"/>
          <w:color w:val="1F4E79"/>
          <w:sz w:val="28"/>
        </w:rPr>
        <w:t>15.1 Phase 1 - MVP pilot (months 0-3)</w:t>
      </w:r>
    </w:p>
    <w:p>
      <w:pPr>
        <w:spacing w:after="80"/>
      </w:pPr>
      <w:r>
        <w:rPr>
          <w:rFonts w:ascii="Calibri" w:hAnsi="Calibri"/>
          <w:b w:val="0"/>
          <w:i w:val="0"/>
          <w:sz w:val="22"/>
        </w:rPr>
        <w:t>Goal: prove that a recommendation is valuable enough to be accepted in a real decision.</w:t>
      </w:r>
    </w:p>
    <w:p>
      <w:pPr>
        <w:pStyle w:val="ListBullet"/>
        <w:spacing w:after="40"/>
      </w:pPr>
      <w:r>
        <w:rPr>
          <w:rFonts w:ascii="Calibri" w:hAnsi="Calibri"/>
          <w:b w:val="0"/>
          <w:i w:val="0"/>
          <w:sz w:val="22"/>
        </w:rPr>
        <w:t>Build ingestion + scenario forecasting + decision view.</w:t>
      </w:r>
    </w:p>
    <w:p>
      <w:pPr>
        <w:pStyle w:val="ListBullet"/>
        <w:spacing w:after="40"/>
      </w:pPr>
      <w:r>
        <w:rPr>
          <w:rFonts w:ascii="Calibri" w:hAnsi="Calibri"/>
          <w:b w:val="0"/>
          <w:i w:val="0"/>
          <w:sz w:val="22"/>
        </w:rPr>
        <w:t>Onboard 2-3 pilot customers under a letter of intent.</w:t>
      </w:r>
    </w:p>
    <w:p>
      <w:pPr>
        <w:pStyle w:val="ListBullet"/>
        <w:spacing w:after="40"/>
      </w:pPr>
      <w:r>
        <w:rPr>
          <w:rFonts w:ascii="Calibri" w:hAnsi="Calibri"/>
          <w:b w:val="0"/>
          <w:i w:val="0"/>
          <w:sz w:val="22"/>
        </w:rPr>
        <w:t>Manual cost-model intake.</w:t>
      </w:r>
    </w:p>
    <w:p>
      <w:pPr>
        <w:pStyle w:val="ListBullet"/>
        <w:spacing w:after="40"/>
      </w:pPr>
      <w:r>
        <w:rPr>
          <w:rFonts w:ascii="Calibri" w:hAnsi="Calibri"/>
          <w:b w:val="0"/>
          <w:i w:val="0"/>
          <w:sz w:val="22"/>
        </w:rPr>
        <w:t>Calibration monitoring live from day one.</w:t>
      </w:r>
    </w:p>
    <w:p>
      <w:pPr>
        <w:pStyle w:val="ListBullet"/>
        <w:spacing w:after="40"/>
      </w:pPr>
      <w:r>
        <w:rPr>
          <w:rFonts w:ascii="Calibri" w:hAnsi="Calibri"/>
          <w:b w:val="0"/>
          <w:i w:val="0"/>
          <w:sz w:val="22"/>
        </w:rPr>
        <w:t>Exit when pilot exit criteria (12.3) are met.</w:t>
      </w:r>
    </w:p>
    <w:p>
      <w:pPr>
        <w:keepNext/>
        <w:spacing w:before="200" w:after="120"/>
      </w:pPr>
      <w:r>
        <w:rPr>
          <w:rFonts w:ascii="Calibri" w:hAnsi="Calibri"/>
          <w:b/>
          <w:i w:val="0"/>
          <w:color w:val="1F4E79"/>
          <w:sz w:val="28"/>
        </w:rPr>
        <w:t>15.2 Phase 2 - Productize (months 4-9)</w:t>
      </w:r>
    </w:p>
    <w:p>
      <w:pPr>
        <w:spacing w:after="80"/>
      </w:pPr>
      <w:r>
        <w:rPr>
          <w:rFonts w:ascii="Calibri" w:hAnsi="Calibri"/>
          <w:b w:val="0"/>
          <w:i w:val="0"/>
          <w:sz w:val="22"/>
        </w:rPr>
        <w:t>Goal: make the pilot repeatable.</w:t>
      </w:r>
    </w:p>
    <w:p>
      <w:pPr>
        <w:pStyle w:val="ListBullet"/>
        <w:spacing w:after="40"/>
      </w:pPr>
      <w:r>
        <w:rPr>
          <w:rFonts w:ascii="Calibri" w:hAnsi="Calibri"/>
          <w:b w:val="0"/>
          <w:i w:val="0"/>
          <w:sz w:val="22"/>
        </w:rPr>
        <w:t>Multi-tenant deployment.</w:t>
      </w:r>
    </w:p>
    <w:p>
      <w:pPr>
        <w:pStyle w:val="ListBullet"/>
        <w:spacing w:after="40"/>
      </w:pPr>
      <w:r>
        <w:rPr>
          <w:rFonts w:ascii="Calibri" w:hAnsi="Calibri"/>
          <w:b w:val="0"/>
          <w:i w:val="0"/>
          <w:sz w:val="22"/>
        </w:rPr>
        <w:t>ERP/MES integration with one system (e.g., SAP S/4HANA).</w:t>
      </w:r>
    </w:p>
    <w:p>
      <w:pPr>
        <w:pStyle w:val="ListBullet"/>
        <w:spacing w:after="40"/>
      </w:pPr>
      <w:r>
        <w:rPr>
          <w:rFonts w:ascii="Calibri" w:hAnsi="Calibri"/>
          <w:b w:val="0"/>
          <w:i w:val="0"/>
          <w:sz w:val="22"/>
        </w:rPr>
        <w:t>Slack and Teams notifications.</w:t>
      </w:r>
    </w:p>
    <w:p>
      <w:pPr>
        <w:pStyle w:val="ListBullet"/>
        <w:spacing w:after="40"/>
      </w:pPr>
      <w:r>
        <w:rPr>
          <w:rFonts w:ascii="Calibri" w:hAnsi="Calibri"/>
          <w:b w:val="0"/>
          <w:i w:val="0"/>
          <w:sz w:val="22"/>
        </w:rPr>
        <w:t>Reporting and quarterly review view.</w:t>
      </w:r>
    </w:p>
    <w:p>
      <w:pPr>
        <w:pStyle w:val="ListBullet"/>
        <w:spacing w:after="40"/>
      </w:pPr>
      <w:r>
        <w:rPr>
          <w:rFonts w:ascii="Calibri" w:hAnsi="Calibri"/>
          <w:b w:val="0"/>
          <w:i w:val="0"/>
          <w:sz w:val="22"/>
        </w:rPr>
        <w:t>Expand to a second disruption type (port strikes, weather).</w:t>
      </w:r>
    </w:p>
    <w:p>
      <w:pPr>
        <w:pStyle w:val="ListBullet"/>
        <w:spacing w:after="40"/>
      </w:pPr>
      <w:r>
        <w:rPr>
          <w:rFonts w:ascii="Calibri" w:hAnsi="Calibri"/>
          <w:b w:val="0"/>
          <w:i w:val="0"/>
          <w:sz w:val="22"/>
        </w:rPr>
        <w:t>SOC 2 Type I.</w:t>
      </w:r>
    </w:p>
    <w:p>
      <w:pPr>
        <w:keepNext/>
        <w:spacing w:before="200" w:after="120"/>
      </w:pPr>
      <w:r>
        <w:rPr>
          <w:rFonts w:ascii="Calibri" w:hAnsi="Calibri"/>
          <w:b/>
          <w:i w:val="0"/>
          <w:color w:val="1F4E79"/>
          <w:sz w:val="28"/>
        </w:rPr>
        <w:t>15.3 Phase 3 - Scale (months 10-18)</w:t>
      </w:r>
    </w:p>
    <w:p>
      <w:pPr>
        <w:pStyle w:val="ListBullet"/>
        <w:spacing w:after="40"/>
      </w:pPr>
      <w:r>
        <w:rPr>
          <w:rFonts w:ascii="Calibri" w:hAnsi="Calibri"/>
          <w:b w:val="0"/>
          <w:i w:val="0"/>
          <w:sz w:val="22"/>
        </w:rPr>
        <w:t>Public API.</w:t>
      </w:r>
    </w:p>
    <w:p>
      <w:pPr>
        <w:pStyle w:val="ListBullet"/>
        <w:spacing w:after="40"/>
      </w:pPr>
      <w:r>
        <w:rPr>
          <w:rFonts w:ascii="Calibri" w:hAnsi="Calibri"/>
          <w:b w:val="0"/>
          <w:i w:val="0"/>
          <w:sz w:val="22"/>
        </w:rPr>
        <w:t>Carrier-side integrations (DSV, Kuehne+Nagel, etc.).</w:t>
      </w:r>
    </w:p>
    <w:p>
      <w:pPr>
        <w:pStyle w:val="ListBullet"/>
        <w:spacing w:after="40"/>
      </w:pPr>
      <w:r>
        <w:rPr>
          <w:rFonts w:ascii="Calibri" w:hAnsi="Calibri"/>
          <w:b w:val="0"/>
          <w:i w:val="0"/>
          <w:sz w:val="22"/>
        </w:rPr>
        <w:t>Self-serve calibration intake.</w:t>
      </w:r>
    </w:p>
    <w:p>
      <w:pPr>
        <w:pStyle w:val="ListBullet"/>
        <w:spacing w:after="40"/>
      </w:pPr>
      <w:r>
        <w:rPr>
          <w:rFonts w:ascii="Calibri" w:hAnsi="Calibri"/>
          <w:b w:val="0"/>
          <w:i w:val="0"/>
          <w:sz w:val="22"/>
        </w:rPr>
        <w:t>Second vertical (electronics or automotive components).</w:t>
      </w:r>
    </w:p>
    <w:p>
      <w:pPr>
        <w:pStyle w:val="ListBullet"/>
        <w:spacing w:after="40"/>
      </w:pPr>
      <w:r>
        <w:rPr>
          <w:rFonts w:ascii="Calibri" w:hAnsi="Calibri"/>
          <w:b w:val="0"/>
          <w:i w:val="0"/>
          <w:sz w:val="22"/>
        </w:rPr>
        <w:t>SOC 2 Type II.</w:t>
      </w:r>
    </w:p>
    <w:p>
      <w:pPr>
        <w:keepNext/>
        <w:spacing w:before="280" w:after="120"/>
      </w:pPr>
      <w:r>
        <w:rPr>
          <w:rFonts w:ascii="Calibri" w:hAnsi="Calibri"/>
          <w:b/>
          <w:i w:val="0"/>
          <w:color w:val="1F4E79"/>
          <w:sz w:val="36"/>
        </w:rPr>
        <w:t>16. Internal roles</w:t>
      </w:r>
    </w:p>
    <w:tbl>
      <w:tblPr>
        <w:tblW w:type="auto" w:w="0"/>
        <w:jc w:val="left"/>
        <w:tblLayout w:type="fixed"/>
        <w:tblLook w:firstColumn="1" w:firstRow="1" w:lastColumn="0" w:lastRow="0" w:noHBand="0" w:noVBand="1" w:val="04A0"/>
      </w:tblPr>
      <w:tblGrid>
        <w:gridCol w:w="4706"/>
        <w:gridCol w:w="4706"/>
      </w:tblGrid>
      <w:tr>
        <w:tc>
          <w:tcPr>
            <w:tcW w:type="dxa" w:w="1440"/>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Person</w:t>
            </w:r>
          </w:p>
        </w:tc>
        <w:tc>
          <w:tcPr>
            <w:tcW w:type="dxa" w:w="8352"/>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Responsibility</w:t>
            </w:r>
          </w:p>
        </w:tc>
      </w:tr>
      <w:tr>
        <w:tc>
          <w:tcPr>
            <w:tcW w:type="dxa" w:w="144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Amir</w:t>
            </w:r>
          </w:p>
        </w:tc>
        <w:tc>
          <w:tcPr>
            <w:tcW w:type="dxa" w:w="835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Product engineering. Frontend, backend, integration of the decision view and ingestion services.</w:t>
            </w:r>
          </w:p>
        </w:tc>
      </w:tr>
      <w:tr>
        <w:tc>
          <w:tcPr>
            <w:tcW w:type="dxa" w:w="1440"/>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Jane</w:t>
            </w:r>
          </w:p>
        </w:tc>
        <w:tc>
          <w:tcPr>
            <w:tcW w:type="dxa" w:w="8352"/>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Data engineering and ML. Scenario forecasting model, calibration, data platform.</w:t>
            </w:r>
          </w:p>
        </w:tc>
      </w:tr>
      <w:tr>
        <w:tc>
          <w:tcPr>
            <w:tcW w:type="dxa" w:w="144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Nick</w:t>
            </w:r>
          </w:p>
        </w:tc>
        <w:tc>
          <w:tcPr>
            <w:tcW w:type="dxa" w:w="835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Customer development and business. Pilot pipeline, intake workshops, pricing, contracts.</w:t>
            </w:r>
          </w:p>
        </w:tc>
      </w:tr>
      <w:tr>
        <w:tc>
          <w:tcPr>
            <w:tcW w:type="dxa" w:w="1440"/>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Claude</w:t>
            </w:r>
          </w:p>
        </w:tc>
        <w:tc>
          <w:tcPr>
            <w:tcW w:type="dxa" w:w="8352"/>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Strategy and technical advisory. Holistic platform architecture, knowledge management, security review, board-level cadence.</w:t>
            </w:r>
          </w:p>
        </w:tc>
      </w:tr>
    </w:tbl>
    <w:p>
      <w:pPr>
        <w:keepNext/>
        <w:spacing w:before="280" w:after="120"/>
      </w:pPr>
      <w:r>
        <w:rPr>
          <w:rFonts w:ascii="Calibri" w:hAnsi="Calibri"/>
          <w:b/>
          <w:i w:val="0"/>
          <w:color w:val="1F4E79"/>
          <w:sz w:val="36"/>
        </w:rPr>
        <w:t>17. Glossary</w:t>
      </w:r>
    </w:p>
    <w:tbl>
      <w:tblPr>
        <w:tblW w:type="auto" w:w="0"/>
        <w:jc w:val="left"/>
        <w:tblLayout w:type="fixed"/>
        <w:tblLook w:firstColumn="1" w:firstRow="1" w:lastColumn="0" w:lastRow="0" w:noHBand="0" w:noVBand="1" w:val="04A0"/>
      </w:tblPr>
      <w:tblGrid>
        <w:gridCol w:w="4706"/>
        <w:gridCol w:w="4706"/>
      </w:tblGrid>
      <w:tr>
        <w:tc>
          <w:tcPr>
            <w:tcW w:type="dxa" w:w="2160"/>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Term</w:t>
            </w:r>
          </w:p>
        </w:tc>
        <w:tc>
          <w:tcPr>
            <w:tcW w:type="dxa" w:w="7632"/>
            <w:tcBorders>
              <w:top w:val="single" w:sz="4" w:color="BFBFBF"/>
              <w:left w:val="single" w:sz="4" w:color="BFBFBF"/>
              <w:bottom w:val="single" w:sz="4" w:color="BFBFBF"/>
              <w:right w:val="single" w:sz="4" w:color="BFBFBF"/>
            </w:tcBorders>
            <w:shd w:val="clear" w:color="auto" w:fill="1F4E79"/>
            <w:vAlign w:val="center"/>
          </w:tcPr>
          <w:p>
            <w:pPr>
              <w:spacing w:before="40" w:after="40"/>
            </w:pPr>
            <w:r/>
            <w:r>
              <w:rPr>
                <w:rFonts w:ascii="Calibri" w:hAnsi="Calibri"/>
                <w:b/>
                <w:i w:val="0"/>
                <w:color w:val="FFFFFF"/>
                <w:sz w:val="20"/>
              </w:rPr>
              <w:t>Definition</w:t>
            </w:r>
          </w:p>
        </w:tc>
      </w:tr>
      <w:tr>
        <w:tc>
          <w:tcPr>
            <w:tcW w:type="dxa" w:w="216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AIS</w:t>
            </w:r>
          </w:p>
        </w:tc>
        <w:tc>
          <w:tcPr>
            <w:tcW w:type="dxa" w:w="763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Automatic Identification System; the standard for vessel position broadcasting.</w:t>
            </w:r>
          </w:p>
        </w:tc>
      </w:tr>
      <w:tr>
        <w:tc>
          <w:tcPr>
            <w:tcW w:type="dxa" w:w="2160"/>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Calibration</w:t>
            </w:r>
          </w:p>
        </w:tc>
        <w:tc>
          <w:tcPr>
            <w:tcW w:type="dxa" w:w="7632"/>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Alignment between predicted probabilities and observed frequencies.</w:t>
            </w:r>
          </w:p>
        </w:tc>
      </w:tr>
      <w:tr>
        <w:tc>
          <w:tcPr>
            <w:tcW w:type="dxa" w:w="216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Cost-of-delay</w:t>
            </w:r>
          </w:p>
        </w:tc>
        <w:tc>
          <w:tcPr>
            <w:tcW w:type="dxa" w:w="763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Per-time-unit cost a customer incurs when a shipment is late.</w:t>
            </w:r>
          </w:p>
        </w:tc>
      </w:tr>
      <w:tr>
        <w:tc>
          <w:tcPr>
            <w:tcW w:type="dxa" w:w="2160"/>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ETA</w:t>
            </w:r>
          </w:p>
        </w:tc>
        <w:tc>
          <w:tcPr>
            <w:tcW w:type="dxa" w:w="7632"/>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Estimated Time of Arrival.</w:t>
            </w:r>
          </w:p>
        </w:tc>
      </w:tr>
      <w:tr>
        <w:tc>
          <w:tcPr>
            <w:tcW w:type="dxa" w:w="216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MES</w:t>
            </w:r>
          </w:p>
        </w:tc>
        <w:tc>
          <w:tcPr>
            <w:tcW w:type="dxa" w:w="763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Manufacturing Execution System.</w:t>
            </w:r>
          </w:p>
        </w:tc>
      </w:tr>
      <w:tr>
        <w:tc>
          <w:tcPr>
            <w:tcW w:type="dxa" w:w="2160"/>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Scenario</w:t>
            </w:r>
          </w:p>
        </w:tc>
        <w:tc>
          <w:tcPr>
            <w:tcW w:type="dxa" w:w="7632"/>
            <w:tcBorders>
              <w:top w:val="single" w:sz="4" w:color="BFBFBF"/>
              <w:left w:val="single" w:sz="4" w:color="BFBFBF"/>
              <w:bottom w:val="single" w:sz="4" w:color="BFBFBF"/>
              <w:right w:val="single" w:sz="4" w:color="BFBFBF"/>
            </w:tcBorders>
            <w:shd w:val="clear" w:color="auto" w:fill="F2F2F2"/>
            <w:vAlign w:val="top"/>
          </w:tcPr>
          <w:p>
            <w:pPr>
              <w:spacing w:before="40" w:after="40"/>
            </w:pPr>
            <w:r/>
            <w:r>
              <w:rPr>
                <w:rFonts w:ascii="Calibri" w:hAnsi="Calibri"/>
                <w:b w:val="0"/>
                <w:i w:val="0"/>
                <w:sz w:val="20"/>
              </w:rPr>
              <w:t>A structured operational alternative (wait, expedite, substitute, partial).</w:t>
            </w:r>
          </w:p>
        </w:tc>
      </w:tr>
      <w:tr>
        <w:tc>
          <w:tcPr>
            <w:tcW w:type="dxa" w:w="2160"/>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Tenant</w:t>
            </w:r>
          </w:p>
        </w:tc>
        <w:tc>
          <w:tcPr>
            <w:tcW w:type="dxa" w:w="7632"/>
            <w:tcBorders>
              <w:top w:val="single" w:sz="4" w:color="BFBFBF"/>
              <w:left w:val="single" w:sz="4" w:color="BFBFBF"/>
              <w:bottom w:val="single" w:sz="4" w:color="BFBFBF"/>
              <w:right w:val="single" w:sz="4" w:color="BFBFBF"/>
            </w:tcBorders>
            <w:vAlign w:val="top"/>
          </w:tcPr>
          <w:p>
            <w:pPr>
              <w:spacing w:before="40" w:after="40"/>
            </w:pPr>
            <w:r/>
            <w:r>
              <w:rPr>
                <w:rFonts w:ascii="Calibri" w:hAnsi="Calibri"/>
                <w:b w:val="0"/>
                <w:i w:val="0"/>
                <w:sz w:val="20"/>
              </w:rPr>
              <w:t>An isolated customer environment; data and models are not shared across tenants.</w:t>
            </w:r>
          </w:p>
        </w:tc>
      </w:tr>
    </w:tbl>
    <w:p>
      <w:pPr>
        <w:pBdr>
          <w:bottom w:val="single" w:sz="6" w:space="1" w:color="1F4E79"/>
        </w:pBdr>
        <w:spacing w:before="40" w:after="160"/>
      </w:pPr>
    </w:p>
    <w:p>
      <w:pPr>
        <w:spacing w:after="80"/>
      </w:pPr>
      <w:r>
        <w:rPr>
          <w:rFonts w:ascii="Calibri" w:hAnsi="Calibri"/>
          <w:b w:val="0"/>
          <w:i/>
          <w:color w:val="595959"/>
          <w:sz w:val="20"/>
        </w:rPr>
        <w:t>End of document. Review with team, mark up open questions, and convert this draft into v0.2 with owners and target dates assigned. Successor documents (architecture, security baseline, intake playbook) live alongside this PRD and reference it by section.</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