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6AE09" w14:textId="77777777" w:rsidR="004F5A00" w:rsidRPr="00732562" w:rsidRDefault="004F5A00" w:rsidP="00406847">
      <w:pPr>
        <w:shd w:val="clear" w:color="auto" w:fill="FFFFFF"/>
        <w:spacing w:after="0" w:line="360" w:lineRule="auto"/>
        <w:jc w:val="center"/>
        <w:outlineLvl w:val="3"/>
        <w:rPr>
          <w:rFonts w:eastAsia="Times New Roman" w:cs="Arial"/>
          <w:b/>
          <w:bCs/>
          <w:sz w:val="24"/>
          <w:szCs w:val="24"/>
          <w:u w:val="single"/>
        </w:rPr>
      </w:pPr>
      <w:r w:rsidRPr="00732562">
        <w:rPr>
          <w:rFonts w:eastAsia="Times New Roman" w:cs="Arial"/>
          <w:b/>
          <w:bCs/>
          <w:sz w:val="24"/>
          <w:szCs w:val="24"/>
          <w:u w:val="single"/>
          <w:rtl/>
        </w:rPr>
        <w:t>תכנית עבודת גמר המוגשת לאישור</w:t>
      </w:r>
    </w:p>
    <w:p w14:paraId="6B7F6223" w14:textId="069EE010" w:rsidR="004F5A00" w:rsidRPr="006001F8" w:rsidRDefault="00BA5F9A" w:rsidP="00406847">
      <w:pPr>
        <w:shd w:val="clear" w:color="auto" w:fill="FFFFFF"/>
        <w:tabs>
          <w:tab w:val="left" w:pos="1635"/>
          <w:tab w:val="center" w:pos="4680"/>
        </w:tabs>
        <w:spacing w:after="0" w:line="360" w:lineRule="auto"/>
        <w:outlineLvl w:val="3"/>
        <w:rPr>
          <w:rFonts w:asciiTheme="minorBidi" w:eastAsia="Times New Roman" w:hAnsiTheme="minorBidi" w:cstheme="minorBidi"/>
          <w:b/>
          <w:bCs/>
          <w:sz w:val="24"/>
          <w:szCs w:val="24"/>
          <w:rtl/>
        </w:rPr>
      </w:pPr>
      <w:r>
        <w:rPr>
          <w:rFonts w:asciiTheme="minorBidi" w:eastAsia="Times New Roman" w:hAnsiTheme="minorBidi" w:cstheme="minorBidi"/>
          <w:b/>
          <w:bCs/>
          <w:sz w:val="24"/>
          <w:szCs w:val="24"/>
        </w:rPr>
        <w:tab/>
      </w:r>
      <w:r>
        <w:rPr>
          <w:rFonts w:asciiTheme="minorBidi" w:eastAsia="Times New Roman" w:hAnsiTheme="minorBidi" w:cstheme="minorBidi"/>
          <w:b/>
          <w:bCs/>
          <w:sz w:val="24"/>
          <w:szCs w:val="24"/>
        </w:rPr>
        <w:tab/>
      </w:r>
      <w:r w:rsidR="004163D1">
        <w:rPr>
          <w:rFonts w:asciiTheme="minorBidi" w:eastAsia="Times New Roman" w:hAnsiTheme="minorBidi" w:cstheme="minorBidi" w:hint="cs"/>
          <w:b/>
          <w:bCs/>
          <w:sz w:val="24"/>
          <w:szCs w:val="24"/>
          <w:rtl/>
        </w:rPr>
        <w:t>16.01.2017</w:t>
      </w:r>
    </w:p>
    <w:p w14:paraId="10E4D4E0" w14:textId="77777777" w:rsidR="004F5A00" w:rsidRPr="00732562" w:rsidRDefault="00057025" w:rsidP="00406847">
      <w:pPr>
        <w:shd w:val="clear" w:color="auto" w:fill="FFFFFF"/>
        <w:spacing w:after="0" w:line="360" w:lineRule="auto"/>
        <w:jc w:val="center"/>
        <w:outlineLvl w:val="3"/>
        <w:rPr>
          <w:rFonts w:eastAsia="Times New Roman" w:cs="Arial"/>
          <w:b/>
          <w:bCs/>
          <w:sz w:val="24"/>
          <w:szCs w:val="24"/>
          <w:rtl/>
        </w:rPr>
      </w:pPr>
      <w:r w:rsidRPr="00732562">
        <w:rPr>
          <w:rFonts w:eastAsia="Times New Roman" w:cs="Arial" w:hint="cs"/>
          <w:b/>
          <w:bCs/>
          <w:sz w:val="24"/>
          <w:szCs w:val="24"/>
          <w:rtl/>
        </w:rPr>
        <w:t>301842266</w:t>
      </w:r>
    </w:p>
    <w:p w14:paraId="35C7481A" w14:textId="77777777" w:rsidR="00057025" w:rsidRPr="00732562" w:rsidRDefault="00057025" w:rsidP="00406847">
      <w:pPr>
        <w:shd w:val="clear" w:color="auto" w:fill="FFFFFF"/>
        <w:spacing w:after="0" w:line="360" w:lineRule="auto"/>
        <w:jc w:val="center"/>
        <w:outlineLvl w:val="3"/>
        <w:rPr>
          <w:rFonts w:eastAsia="Times New Roman" w:cs="Arial"/>
          <w:b/>
          <w:bCs/>
          <w:sz w:val="24"/>
          <w:szCs w:val="24"/>
        </w:rPr>
      </w:pPr>
      <w:r w:rsidRPr="00732562">
        <w:rPr>
          <w:rFonts w:eastAsia="Times New Roman" w:cs="Arial"/>
          <w:b/>
          <w:bCs/>
          <w:sz w:val="24"/>
          <w:szCs w:val="24"/>
        </w:rPr>
        <w:t>Rotem Marom</w:t>
      </w:r>
      <w:r w:rsidR="00F71D60" w:rsidRPr="00732562">
        <w:rPr>
          <w:rFonts w:eastAsia="Times New Roman" w:cs="Arial"/>
          <w:b/>
          <w:bCs/>
          <w:sz w:val="24"/>
          <w:szCs w:val="24"/>
        </w:rPr>
        <w:t xml:space="preserve"> </w:t>
      </w:r>
      <w:r w:rsidR="00047D8C" w:rsidRPr="00732562">
        <w:rPr>
          <w:rFonts w:eastAsia="Times New Roman" w:cs="Arial" w:hint="cs"/>
          <w:b/>
          <w:bCs/>
          <w:sz w:val="24"/>
          <w:szCs w:val="24"/>
          <w:rtl/>
        </w:rPr>
        <w:t>רותם מרום</w:t>
      </w:r>
    </w:p>
    <w:p w14:paraId="3925E629" w14:textId="77777777" w:rsidR="00057025" w:rsidRPr="00732562" w:rsidRDefault="00047D8C" w:rsidP="00406847">
      <w:pPr>
        <w:shd w:val="clear" w:color="auto" w:fill="FFFFFF"/>
        <w:spacing w:after="0" w:line="360" w:lineRule="auto"/>
        <w:jc w:val="center"/>
        <w:outlineLvl w:val="3"/>
        <w:rPr>
          <w:rFonts w:eastAsia="Times New Roman" w:cs="Arial"/>
          <w:b/>
          <w:bCs/>
          <w:sz w:val="24"/>
          <w:szCs w:val="24"/>
          <w:rtl/>
        </w:rPr>
      </w:pPr>
      <w:r w:rsidRPr="00732562">
        <w:rPr>
          <w:rFonts w:eastAsia="Times New Roman" w:cs="Arial" w:hint="cs"/>
          <w:b/>
          <w:bCs/>
          <w:sz w:val="24"/>
          <w:szCs w:val="24"/>
          <w:rtl/>
        </w:rPr>
        <w:t>החוג לאגרואקולוגיה ובריאות הצמח</w:t>
      </w:r>
    </w:p>
    <w:p w14:paraId="7DFB8F21" w14:textId="77777777" w:rsidR="00047D8C" w:rsidRPr="00732562" w:rsidRDefault="00047D8C" w:rsidP="00406847">
      <w:pPr>
        <w:shd w:val="clear" w:color="auto" w:fill="FFFFFF"/>
        <w:spacing w:after="0" w:line="360" w:lineRule="auto"/>
        <w:jc w:val="center"/>
        <w:outlineLvl w:val="3"/>
        <w:rPr>
          <w:rFonts w:eastAsia="Times New Roman" w:cs="Arial"/>
          <w:b/>
          <w:bCs/>
          <w:sz w:val="24"/>
          <w:szCs w:val="24"/>
          <w:rtl/>
        </w:rPr>
      </w:pPr>
      <w:r w:rsidRPr="00732562">
        <w:rPr>
          <w:rFonts w:eastAsia="Times New Roman" w:cs="Arial" w:hint="cs"/>
          <w:b/>
          <w:bCs/>
          <w:sz w:val="24"/>
          <w:szCs w:val="24"/>
          <w:rtl/>
        </w:rPr>
        <w:t>שם המדריכים: פרופ' יצחק הדר ופרופ' בני חפץ</w:t>
      </w:r>
    </w:p>
    <w:p w14:paraId="36AED5D5" w14:textId="77777777" w:rsidR="00047D8C" w:rsidRPr="00732562" w:rsidRDefault="00047D8C" w:rsidP="00406847">
      <w:pPr>
        <w:shd w:val="clear" w:color="auto" w:fill="FFFFFF"/>
        <w:spacing w:after="0" w:line="360" w:lineRule="auto"/>
        <w:jc w:val="center"/>
        <w:outlineLvl w:val="3"/>
        <w:rPr>
          <w:rFonts w:eastAsia="Times New Roman" w:cs="Arial"/>
          <w:b/>
          <w:bCs/>
          <w:sz w:val="24"/>
          <w:szCs w:val="24"/>
          <w:u w:val="single"/>
          <w:rtl/>
        </w:rPr>
      </w:pPr>
    </w:p>
    <w:p w14:paraId="6C4E1522" w14:textId="3E7CB7E8" w:rsidR="00047D8C" w:rsidRPr="00732562" w:rsidRDefault="00047D8C" w:rsidP="00406847">
      <w:pPr>
        <w:bidi/>
        <w:spacing w:after="0" w:line="360" w:lineRule="auto"/>
        <w:jc w:val="center"/>
        <w:rPr>
          <w:b/>
          <w:bCs/>
          <w:sz w:val="24"/>
          <w:szCs w:val="24"/>
          <w:rtl/>
        </w:rPr>
      </w:pPr>
      <w:r w:rsidRPr="00732562">
        <w:rPr>
          <w:rFonts w:hint="cs"/>
          <w:b/>
          <w:bCs/>
          <w:sz w:val="24"/>
          <w:szCs w:val="24"/>
          <w:rtl/>
        </w:rPr>
        <w:t xml:space="preserve">פירוק החומר הרפואי </w:t>
      </w:r>
      <w:r w:rsidR="00B00442">
        <w:rPr>
          <w:b/>
          <w:bCs/>
          <w:sz w:val="24"/>
          <w:szCs w:val="24"/>
        </w:rPr>
        <w:t>Lamotrigine</w:t>
      </w:r>
      <w:r w:rsidRPr="00732562">
        <w:rPr>
          <w:b/>
          <w:bCs/>
          <w:sz w:val="24"/>
          <w:szCs w:val="24"/>
        </w:rPr>
        <w:t xml:space="preserve"> </w:t>
      </w:r>
      <w:r w:rsidRPr="00732562">
        <w:rPr>
          <w:rFonts w:hint="cs"/>
          <w:b/>
          <w:bCs/>
          <w:sz w:val="24"/>
          <w:szCs w:val="24"/>
          <w:rtl/>
        </w:rPr>
        <w:t xml:space="preserve"> על ידי פטריית הריקבון הלבן </w:t>
      </w:r>
      <w:r w:rsidRPr="00732562">
        <w:rPr>
          <w:rFonts w:hint="cs"/>
          <w:b/>
          <w:bCs/>
          <w:i/>
          <w:iCs/>
          <w:sz w:val="24"/>
          <w:szCs w:val="24"/>
        </w:rPr>
        <w:t>P</w:t>
      </w:r>
      <w:r w:rsidRPr="00732562">
        <w:rPr>
          <w:b/>
          <w:bCs/>
          <w:i/>
          <w:iCs/>
          <w:sz w:val="24"/>
          <w:szCs w:val="24"/>
        </w:rPr>
        <w:t>leurotus ostreatus</w:t>
      </w:r>
    </w:p>
    <w:p w14:paraId="0A8DA181" w14:textId="77777777" w:rsidR="009345E4" w:rsidRPr="00732562" w:rsidRDefault="009345E4" w:rsidP="00406847">
      <w:pPr>
        <w:spacing w:after="0" w:line="360" w:lineRule="auto"/>
        <w:jc w:val="center"/>
        <w:rPr>
          <w:b/>
          <w:bCs/>
          <w:sz w:val="24"/>
          <w:szCs w:val="24"/>
        </w:rPr>
      </w:pPr>
    </w:p>
    <w:p w14:paraId="767997EB" w14:textId="379C5A29" w:rsidR="00047D8C" w:rsidRPr="00732562" w:rsidRDefault="00047D8C" w:rsidP="00406847">
      <w:pPr>
        <w:spacing w:after="0" w:line="360" w:lineRule="auto"/>
        <w:jc w:val="center"/>
        <w:rPr>
          <w:b/>
          <w:bCs/>
          <w:sz w:val="24"/>
          <w:szCs w:val="24"/>
        </w:rPr>
      </w:pPr>
      <w:r w:rsidRPr="00732562">
        <w:rPr>
          <w:b/>
          <w:bCs/>
          <w:sz w:val="24"/>
          <w:szCs w:val="24"/>
        </w:rPr>
        <w:t xml:space="preserve">Degradation of the pharmaceutical </w:t>
      </w:r>
      <w:r w:rsidR="00B00442">
        <w:rPr>
          <w:b/>
          <w:bCs/>
          <w:sz w:val="24"/>
          <w:szCs w:val="24"/>
        </w:rPr>
        <w:t>Lamotrigine</w:t>
      </w:r>
      <w:r w:rsidRPr="00732562">
        <w:rPr>
          <w:b/>
          <w:bCs/>
          <w:sz w:val="24"/>
          <w:szCs w:val="24"/>
        </w:rPr>
        <w:t xml:space="preserve"> by the white rot fungus</w:t>
      </w:r>
      <w:r w:rsidRPr="00732562">
        <w:rPr>
          <w:rFonts w:hint="cs"/>
          <w:b/>
          <w:bCs/>
          <w:i/>
          <w:iCs/>
          <w:sz w:val="24"/>
          <w:szCs w:val="24"/>
        </w:rPr>
        <w:t xml:space="preserve"> P</w:t>
      </w:r>
      <w:r w:rsidRPr="00732562">
        <w:rPr>
          <w:b/>
          <w:bCs/>
          <w:i/>
          <w:iCs/>
          <w:sz w:val="24"/>
          <w:szCs w:val="24"/>
        </w:rPr>
        <w:t>leurotus ostreatus</w:t>
      </w:r>
    </w:p>
    <w:p w14:paraId="31C60C35" w14:textId="77777777" w:rsidR="00A54CC2" w:rsidRPr="00732562" w:rsidRDefault="00A54CC2" w:rsidP="00406847">
      <w:pPr>
        <w:spacing w:after="0" w:line="360" w:lineRule="auto"/>
        <w:jc w:val="both"/>
        <w:rPr>
          <w:b/>
          <w:bCs/>
          <w:sz w:val="24"/>
          <w:szCs w:val="24"/>
        </w:rPr>
      </w:pPr>
    </w:p>
    <w:p w14:paraId="15CF0E38" w14:textId="77777777" w:rsidR="00A54CC2" w:rsidRPr="00732562" w:rsidRDefault="00A54CC2" w:rsidP="00406847">
      <w:pPr>
        <w:spacing w:after="0" w:line="360" w:lineRule="auto"/>
        <w:jc w:val="both"/>
        <w:rPr>
          <w:b/>
          <w:bCs/>
          <w:sz w:val="24"/>
          <w:szCs w:val="24"/>
        </w:rPr>
      </w:pPr>
    </w:p>
    <w:p w14:paraId="43614054" w14:textId="77777777" w:rsidR="00A54CC2" w:rsidRPr="00732562" w:rsidRDefault="00A54CC2" w:rsidP="00406847">
      <w:pPr>
        <w:spacing w:after="0" w:line="360" w:lineRule="auto"/>
        <w:jc w:val="both"/>
        <w:rPr>
          <w:b/>
          <w:bCs/>
          <w:sz w:val="24"/>
          <w:szCs w:val="24"/>
          <w:rtl/>
        </w:rPr>
      </w:pPr>
    </w:p>
    <w:p w14:paraId="04EDA305" w14:textId="77777777" w:rsidR="00047D8C" w:rsidRPr="00732562" w:rsidRDefault="00047D8C" w:rsidP="00406847">
      <w:pPr>
        <w:bidi/>
        <w:spacing w:after="0" w:line="360" w:lineRule="auto"/>
        <w:jc w:val="both"/>
        <w:rPr>
          <w:sz w:val="24"/>
          <w:szCs w:val="24"/>
          <w:rtl/>
        </w:rPr>
      </w:pPr>
    </w:p>
    <w:p w14:paraId="2B93BBC1" w14:textId="77777777" w:rsidR="00047D8C" w:rsidRPr="00732562" w:rsidRDefault="00047D8C" w:rsidP="00406847">
      <w:pPr>
        <w:bidi/>
        <w:spacing w:after="0" w:line="360" w:lineRule="auto"/>
        <w:jc w:val="both"/>
        <w:rPr>
          <w:b/>
          <w:bCs/>
          <w:sz w:val="24"/>
          <w:szCs w:val="24"/>
          <w:u w:val="single"/>
          <w:rtl/>
        </w:rPr>
      </w:pPr>
      <w:r w:rsidRPr="00732562">
        <w:rPr>
          <w:b/>
          <w:bCs/>
          <w:sz w:val="24"/>
          <w:szCs w:val="24"/>
          <w:u w:val="single"/>
          <w:rtl/>
        </w:rPr>
        <w:t>אישור התוכנית:</w:t>
      </w:r>
    </w:p>
    <w:p w14:paraId="5D9692C9" w14:textId="77777777" w:rsidR="00047D8C" w:rsidRPr="00732562" w:rsidRDefault="00047D8C" w:rsidP="00406847">
      <w:pPr>
        <w:bidi/>
        <w:spacing w:after="0" w:line="360" w:lineRule="auto"/>
        <w:jc w:val="both"/>
        <w:rPr>
          <w:b/>
          <w:bCs/>
          <w:sz w:val="24"/>
          <w:szCs w:val="24"/>
          <w:u w:val="single"/>
          <w:rtl/>
        </w:rPr>
      </w:pPr>
    </w:p>
    <w:p w14:paraId="748A0148" w14:textId="77777777" w:rsidR="00047D8C" w:rsidRPr="00732562" w:rsidRDefault="00047D8C" w:rsidP="00406847">
      <w:pPr>
        <w:bidi/>
        <w:spacing w:after="0" w:line="360" w:lineRule="auto"/>
        <w:jc w:val="both"/>
        <w:rPr>
          <w:sz w:val="24"/>
          <w:szCs w:val="24"/>
          <w:rtl/>
        </w:rPr>
      </w:pPr>
      <w:r w:rsidRPr="00732562">
        <w:rPr>
          <w:b/>
          <w:bCs/>
          <w:sz w:val="24"/>
          <w:szCs w:val="24"/>
          <w:rtl/>
        </w:rPr>
        <w:t xml:space="preserve">תאריך:    </w:t>
      </w:r>
      <w:r w:rsidRPr="00732562">
        <w:rPr>
          <w:rFonts w:hint="cs"/>
          <w:b/>
          <w:bCs/>
          <w:sz w:val="24"/>
          <w:szCs w:val="24"/>
          <w:rtl/>
        </w:rPr>
        <w:tab/>
      </w:r>
      <w:r w:rsidRPr="00732562">
        <w:rPr>
          <w:rFonts w:hint="cs"/>
          <w:b/>
          <w:bCs/>
          <w:sz w:val="24"/>
          <w:szCs w:val="24"/>
          <w:rtl/>
        </w:rPr>
        <w:tab/>
      </w:r>
      <w:r w:rsidRPr="00732562">
        <w:rPr>
          <w:sz w:val="24"/>
          <w:szCs w:val="24"/>
          <w:rtl/>
        </w:rPr>
        <w:t>_______________</w:t>
      </w:r>
    </w:p>
    <w:p w14:paraId="6D60264F" w14:textId="77777777" w:rsidR="00047D8C" w:rsidRPr="00732562" w:rsidRDefault="00047D8C" w:rsidP="00406847">
      <w:pPr>
        <w:bidi/>
        <w:spacing w:after="0" w:line="360" w:lineRule="auto"/>
        <w:jc w:val="both"/>
        <w:rPr>
          <w:b/>
          <w:bCs/>
          <w:sz w:val="24"/>
          <w:szCs w:val="24"/>
          <w:rtl/>
        </w:rPr>
      </w:pPr>
    </w:p>
    <w:p w14:paraId="1CAA87FB" w14:textId="77777777" w:rsidR="00047D8C" w:rsidRPr="00732562" w:rsidRDefault="00047D8C" w:rsidP="00406847">
      <w:pPr>
        <w:bidi/>
        <w:spacing w:after="0" w:line="360" w:lineRule="auto"/>
        <w:jc w:val="both"/>
        <w:rPr>
          <w:sz w:val="24"/>
          <w:szCs w:val="24"/>
          <w:rtl/>
        </w:rPr>
      </w:pPr>
      <w:r w:rsidRPr="00732562">
        <w:rPr>
          <w:b/>
          <w:bCs/>
          <w:sz w:val="24"/>
          <w:szCs w:val="24"/>
          <w:rtl/>
        </w:rPr>
        <w:t xml:space="preserve">חתימת הסטודנט:  </w:t>
      </w:r>
      <w:r w:rsidRPr="00732562">
        <w:rPr>
          <w:rFonts w:hint="cs"/>
          <w:b/>
          <w:bCs/>
          <w:sz w:val="24"/>
          <w:szCs w:val="24"/>
          <w:rtl/>
        </w:rPr>
        <w:t xml:space="preserve"> </w:t>
      </w:r>
      <w:r w:rsidRPr="00732562">
        <w:rPr>
          <w:rFonts w:hint="cs"/>
          <w:b/>
          <w:bCs/>
          <w:sz w:val="24"/>
          <w:szCs w:val="24"/>
          <w:rtl/>
        </w:rPr>
        <w:tab/>
      </w:r>
      <w:r w:rsidRPr="00732562">
        <w:rPr>
          <w:sz w:val="24"/>
          <w:szCs w:val="24"/>
          <w:rtl/>
        </w:rPr>
        <w:t>_______________</w:t>
      </w:r>
    </w:p>
    <w:p w14:paraId="552F7595" w14:textId="77777777" w:rsidR="00047D8C" w:rsidRPr="00732562" w:rsidRDefault="00047D8C" w:rsidP="00406847">
      <w:pPr>
        <w:bidi/>
        <w:spacing w:after="0" w:line="360" w:lineRule="auto"/>
        <w:jc w:val="both"/>
        <w:rPr>
          <w:b/>
          <w:bCs/>
          <w:sz w:val="24"/>
          <w:szCs w:val="24"/>
          <w:rtl/>
        </w:rPr>
      </w:pPr>
    </w:p>
    <w:p w14:paraId="18BEC753" w14:textId="77777777" w:rsidR="00047D8C" w:rsidRPr="00732562" w:rsidRDefault="00047D8C" w:rsidP="00406847">
      <w:pPr>
        <w:bidi/>
        <w:spacing w:after="0" w:line="360" w:lineRule="auto"/>
        <w:jc w:val="both"/>
        <w:rPr>
          <w:b/>
          <w:bCs/>
          <w:sz w:val="24"/>
          <w:szCs w:val="24"/>
          <w:u w:val="single"/>
          <w:rtl/>
        </w:rPr>
      </w:pPr>
      <w:r w:rsidRPr="00732562">
        <w:rPr>
          <w:b/>
          <w:bCs/>
          <w:sz w:val="24"/>
          <w:szCs w:val="24"/>
          <w:rtl/>
        </w:rPr>
        <w:t>חתימ</w:t>
      </w:r>
      <w:r w:rsidRPr="00732562">
        <w:rPr>
          <w:rFonts w:hint="cs"/>
          <w:b/>
          <w:bCs/>
          <w:sz w:val="24"/>
          <w:szCs w:val="24"/>
          <w:rtl/>
        </w:rPr>
        <w:t>ת</w:t>
      </w:r>
      <w:r w:rsidRPr="00732562">
        <w:rPr>
          <w:b/>
          <w:bCs/>
          <w:sz w:val="24"/>
          <w:szCs w:val="24"/>
          <w:rtl/>
        </w:rPr>
        <w:t xml:space="preserve"> המנח</w:t>
      </w:r>
      <w:r w:rsidRPr="00732562">
        <w:rPr>
          <w:rFonts w:hint="cs"/>
          <w:b/>
          <w:bCs/>
          <w:sz w:val="24"/>
          <w:szCs w:val="24"/>
          <w:rtl/>
        </w:rPr>
        <w:t>ה</w:t>
      </w:r>
      <w:r w:rsidRPr="00732562">
        <w:rPr>
          <w:b/>
          <w:bCs/>
          <w:sz w:val="24"/>
          <w:szCs w:val="24"/>
          <w:rtl/>
        </w:rPr>
        <w:t>:</w:t>
      </w:r>
      <w:r w:rsidRPr="00732562">
        <w:rPr>
          <w:rFonts w:hint="cs"/>
          <w:b/>
          <w:bCs/>
          <w:sz w:val="24"/>
          <w:szCs w:val="24"/>
          <w:rtl/>
        </w:rPr>
        <w:t xml:space="preserve">   </w:t>
      </w:r>
      <w:r w:rsidRPr="00732562">
        <w:rPr>
          <w:b/>
          <w:bCs/>
          <w:sz w:val="24"/>
          <w:szCs w:val="24"/>
          <w:rtl/>
        </w:rPr>
        <w:t xml:space="preserve"> </w:t>
      </w:r>
      <w:r w:rsidRPr="00732562">
        <w:rPr>
          <w:rFonts w:hint="cs"/>
          <w:b/>
          <w:bCs/>
          <w:sz w:val="24"/>
          <w:szCs w:val="24"/>
          <w:rtl/>
        </w:rPr>
        <w:t xml:space="preserve">   </w:t>
      </w:r>
      <w:r w:rsidRPr="00732562">
        <w:rPr>
          <w:rFonts w:hint="cs"/>
          <w:b/>
          <w:bCs/>
          <w:sz w:val="24"/>
          <w:szCs w:val="24"/>
          <w:rtl/>
        </w:rPr>
        <w:tab/>
      </w:r>
      <w:r w:rsidRPr="00732562">
        <w:rPr>
          <w:sz w:val="24"/>
          <w:szCs w:val="24"/>
          <w:rtl/>
        </w:rPr>
        <w:t>_______________</w:t>
      </w:r>
    </w:p>
    <w:p w14:paraId="69F167BC" w14:textId="77777777" w:rsidR="00047D8C" w:rsidRPr="00732562" w:rsidRDefault="00047D8C" w:rsidP="00406847">
      <w:pPr>
        <w:bidi/>
        <w:spacing w:after="0" w:line="360" w:lineRule="auto"/>
        <w:jc w:val="both"/>
        <w:rPr>
          <w:b/>
          <w:bCs/>
          <w:sz w:val="24"/>
          <w:szCs w:val="24"/>
          <w:rtl/>
        </w:rPr>
      </w:pPr>
      <w:r w:rsidRPr="00732562">
        <w:rPr>
          <w:rFonts w:hint="cs"/>
          <w:b/>
          <w:bCs/>
          <w:sz w:val="24"/>
          <w:szCs w:val="24"/>
          <w:rtl/>
        </w:rPr>
        <w:t xml:space="preserve"> </w:t>
      </w:r>
    </w:p>
    <w:p w14:paraId="6D25740E" w14:textId="77777777" w:rsidR="00047D8C" w:rsidRPr="00732562" w:rsidRDefault="00047D8C" w:rsidP="00406847">
      <w:pPr>
        <w:bidi/>
        <w:spacing w:after="0" w:line="360" w:lineRule="auto"/>
        <w:jc w:val="both"/>
        <w:rPr>
          <w:sz w:val="24"/>
          <w:szCs w:val="24"/>
          <w:rtl/>
        </w:rPr>
      </w:pPr>
      <w:r w:rsidRPr="00732562">
        <w:rPr>
          <w:b/>
          <w:bCs/>
          <w:sz w:val="24"/>
          <w:szCs w:val="24"/>
          <w:rtl/>
        </w:rPr>
        <w:t xml:space="preserve">חתימת ראש החוג: </w:t>
      </w:r>
      <w:r w:rsidRPr="00732562">
        <w:rPr>
          <w:sz w:val="24"/>
          <w:szCs w:val="24"/>
          <w:rtl/>
        </w:rPr>
        <w:t xml:space="preserve"> </w:t>
      </w:r>
      <w:r w:rsidRPr="00732562">
        <w:rPr>
          <w:rFonts w:hint="cs"/>
          <w:sz w:val="24"/>
          <w:szCs w:val="24"/>
          <w:rtl/>
        </w:rPr>
        <w:tab/>
      </w:r>
      <w:r w:rsidRPr="00732562">
        <w:rPr>
          <w:sz w:val="24"/>
          <w:szCs w:val="24"/>
          <w:rtl/>
        </w:rPr>
        <w:t>_______________</w:t>
      </w:r>
    </w:p>
    <w:p w14:paraId="50E23858" w14:textId="77777777" w:rsidR="006D3BB7" w:rsidRPr="00732562" w:rsidRDefault="009345E4" w:rsidP="00406847">
      <w:pPr>
        <w:bidi/>
        <w:spacing w:after="0" w:line="360" w:lineRule="auto"/>
        <w:jc w:val="both"/>
        <w:rPr>
          <w:rFonts w:eastAsia="Times New Roman"/>
          <w:sz w:val="24"/>
          <w:szCs w:val="24"/>
          <w:rtl/>
        </w:rPr>
      </w:pPr>
      <w:r w:rsidRPr="00732562">
        <w:rPr>
          <w:rFonts w:eastAsia="Times New Roman"/>
          <w:sz w:val="24"/>
          <w:szCs w:val="24"/>
          <w:rtl/>
        </w:rPr>
        <w:br w:type="page"/>
      </w:r>
      <w:r w:rsidR="007F0D5F" w:rsidRPr="00732562">
        <w:rPr>
          <w:rFonts w:eastAsia="Times New Roman" w:hint="cs"/>
          <w:b/>
          <w:bCs/>
          <w:sz w:val="24"/>
          <w:szCs w:val="24"/>
          <w:u w:val="single"/>
          <w:rtl/>
        </w:rPr>
        <w:lastRenderedPageBreak/>
        <w:t>הצגת הבעיה</w:t>
      </w:r>
    </w:p>
    <w:p w14:paraId="11985A2B" w14:textId="446D20BE" w:rsidR="00243850" w:rsidRPr="00732562" w:rsidRDefault="007F0D5F" w:rsidP="00F32898">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בשנים האחרונות גברה המודע</w:t>
      </w:r>
      <w:r w:rsidR="001E201D" w:rsidRPr="00732562">
        <w:rPr>
          <w:rFonts w:eastAsia="Times New Roman" w:hint="cs"/>
          <w:sz w:val="24"/>
          <w:szCs w:val="24"/>
          <w:rtl/>
        </w:rPr>
        <w:t xml:space="preserve">ות הסביבתית להגעתם ותנועתם של חומרים רפואיים בסביבה. </w:t>
      </w:r>
      <w:r w:rsidR="009345E4" w:rsidRPr="00732562">
        <w:rPr>
          <w:rFonts w:eastAsia="Times New Roman" w:hint="cs"/>
          <w:sz w:val="24"/>
          <w:szCs w:val="24"/>
          <w:rtl/>
        </w:rPr>
        <w:t>לאחר הצריכה</w:t>
      </w:r>
      <w:r w:rsidR="001E201D" w:rsidRPr="00732562">
        <w:rPr>
          <w:rFonts w:eastAsia="Times New Roman" w:hint="cs"/>
          <w:sz w:val="24"/>
          <w:szCs w:val="24"/>
          <w:rtl/>
        </w:rPr>
        <w:t xml:space="preserve">, חומרים </w:t>
      </w:r>
      <w:r w:rsidR="00887D2F">
        <w:rPr>
          <w:rFonts w:eastAsia="Times New Roman" w:hint="cs"/>
          <w:sz w:val="24"/>
          <w:szCs w:val="24"/>
          <w:rtl/>
        </w:rPr>
        <w:t xml:space="preserve">רפואיים </w:t>
      </w:r>
      <w:r w:rsidR="001E201D" w:rsidRPr="00732562">
        <w:rPr>
          <w:rFonts w:eastAsia="Times New Roman" w:hint="cs"/>
          <w:sz w:val="24"/>
          <w:szCs w:val="24"/>
          <w:rtl/>
        </w:rPr>
        <w:t xml:space="preserve">מופרשים מהגוף </w:t>
      </w:r>
      <w:r w:rsidR="00C269F5" w:rsidRPr="00732562">
        <w:rPr>
          <w:rFonts w:eastAsia="Times New Roman" w:hint="cs"/>
          <w:sz w:val="24"/>
          <w:szCs w:val="24"/>
          <w:rtl/>
        </w:rPr>
        <w:t xml:space="preserve">ללא שינו, </w:t>
      </w:r>
      <w:r w:rsidR="001E201D" w:rsidRPr="00732562">
        <w:rPr>
          <w:rFonts w:eastAsia="Times New Roman" w:hint="cs"/>
          <w:sz w:val="24"/>
          <w:szCs w:val="24"/>
          <w:rtl/>
        </w:rPr>
        <w:t xml:space="preserve">כמטבוליטים או </w:t>
      </w:r>
      <w:r w:rsidR="00735691" w:rsidRPr="00732562">
        <w:rPr>
          <w:rFonts w:eastAsia="Times New Roman" w:hint="cs"/>
          <w:sz w:val="24"/>
          <w:szCs w:val="24"/>
          <w:rtl/>
        </w:rPr>
        <w:t>כקוניוגטים</w:t>
      </w:r>
      <w:r w:rsidR="00C269F5" w:rsidRPr="00732562">
        <w:rPr>
          <w:rFonts w:eastAsia="Times New Roman" w:hint="cs"/>
          <w:sz w:val="24"/>
          <w:szCs w:val="24"/>
          <w:rtl/>
        </w:rPr>
        <w:t>.</w:t>
      </w:r>
      <w:r w:rsidR="00B5659D" w:rsidRPr="00732562">
        <w:rPr>
          <w:rFonts w:eastAsia="Times New Roman" w:hint="cs"/>
          <w:sz w:val="24"/>
          <w:szCs w:val="24"/>
          <w:rtl/>
        </w:rPr>
        <w:t xml:space="preserve"> </w:t>
      </w:r>
      <w:r w:rsidR="00243850" w:rsidRPr="00732562">
        <w:rPr>
          <w:rFonts w:eastAsia="Times New Roman" w:hint="cs"/>
          <w:sz w:val="24"/>
          <w:szCs w:val="24"/>
          <w:rtl/>
        </w:rPr>
        <w:t>לאחר הפרשתם מהגוף מגיעים החומרים אל מי השפכים</w:t>
      </w:r>
      <w:r w:rsidR="009345E4" w:rsidRPr="00732562">
        <w:rPr>
          <w:rFonts w:eastAsia="Times New Roman" w:hint="cs"/>
          <w:sz w:val="24"/>
          <w:szCs w:val="24"/>
          <w:rtl/>
        </w:rPr>
        <w:t>.</w:t>
      </w:r>
      <w:r w:rsidR="00243850" w:rsidRPr="00732562">
        <w:rPr>
          <w:rFonts w:eastAsia="Times New Roman" w:hint="cs"/>
          <w:sz w:val="24"/>
          <w:szCs w:val="24"/>
          <w:rtl/>
        </w:rPr>
        <w:t xml:space="preserve"> מי השפכים עוברים תהליך טי</w:t>
      </w:r>
      <w:r w:rsidR="00735691" w:rsidRPr="00732562">
        <w:rPr>
          <w:rFonts w:eastAsia="Times New Roman" w:hint="cs"/>
          <w:sz w:val="24"/>
          <w:szCs w:val="24"/>
          <w:rtl/>
        </w:rPr>
        <w:t>פול</w:t>
      </w:r>
      <w:r w:rsidR="00023AD8" w:rsidRPr="00732562">
        <w:rPr>
          <w:rFonts w:eastAsia="Times New Roman" w:hint="cs"/>
          <w:sz w:val="24"/>
          <w:szCs w:val="24"/>
          <w:rtl/>
        </w:rPr>
        <w:t xml:space="preserve"> במפעלי טיהור שפכים, </w:t>
      </w:r>
      <w:r w:rsidR="009345E4" w:rsidRPr="00732562">
        <w:rPr>
          <w:rFonts w:eastAsia="Times New Roman" w:hint="cs"/>
          <w:sz w:val="24"/>
          <w:szCs w:val="24"/>
          <w:rtl/>
        </w:rPr>
        <w:t>מכיוון ש</w:t>
      </w:r>
      <w:r w:rsidR="00243850" w:rsidRPr="00732562">
        <w:rPr>
          <w:rFonts w:eastAsia="Times New Roman" w:hint="cs"/>
          <w:sz w:val="24"/>
          <w:szCs w:val="24"/>
          <w:rtl/>
        </w:rPr>
        <w:t>חלק גדול מהחומרים הרפואיי</w:t>
      </w:r>
      <w:r w:rsidR="00243850" w:rsidRPr="00732562">
        <w:rPr>
          <w:rFonts w:eastAsia="Times New Roman" w:hint="eastAsia"/>
          <w:sz w:val="24"/>
          <w:szCs w:val="24"/>
          <w:rtl/>
        </w:rPr>
        <w:t>ם</w:t>
      </w:r>
      <w:r w:rsidR="00243850" w:rsidRPr="00732562">
        <w:rPr>
          <w:rFonts w:eastAsia="Times New Roman" w:hint="cs"/>
          <w:sz w:val="24"/>
          <w:szCs w:val="24"/>
          <w:rtl/>
        </w:rPr>
        <w:t xml:space="preserve"> אינם מסולקים כראוי בתהליך </w:t>
      </w:r>
      <w:r w:rsidR="00735691" w:rsidRPr="00732562">
        <w:rPr>
          <w:rFonts w:eastAsia="Times New Roman" w:hint="cs"/>
          <w:sz w:val="24"/>
          <w:szCs w:val="24"/>
          <w:rtl/>
        </w:rPr>
        <w:t xml:space="preserve">טיפול </w:t>
      </w:r>
      <w:r w:rsidR="00243850" w:rsidRPr="00732562">
        <w:rPr>
          <w:rFonts w:eastAsia="Times New Roman" w:hint="cs"/>
          <w:sz w:val="24"/>
          <w:szCs w:val="24"/>
          <w:rtl/>
        </w:rPr>
        <w:t>השפכים</w:t>
      </w:r>
      <w:r w:rsidR="009345E4" w:rsidRPr="00732562">
        <w:rPr>
          <w:rFonts w:eastAsia="Times New Roman" w:hint="cs"/>
          <w:sz w:val="24"/>
          <w:szCs w:val="24"/>
          <w:rtl/>
        </w:rPr>
        <w:t>,</w:t>
      </w:r>
      <w:r w:rsidR="00243850" w:rsidRPr="00732562">
        <w:rPr>
          <w:rFonts w:eastAsia="Times New Roman" w:hint="cs"/>
          <w:sz w:val="24"/>
          <w:szCs w:val="24"/>
          <w:rtl/>
        </w:rPr>
        <w:t xml:space="preserve"> שאריות שלהם </w:t>
      </w:r>
      <w:r w:rsidR="00C269F5" w:rsidRPr="00732562">
        <w:rPr>
          <w:rFonts w:eastAsia="Times New Roman" w:hint="cs"/>
          <w:sz w:val="24"/>
          <w:szCs w:val="24"/>
          <w:rtl/>
        </w:rPr>
        <w:t xml:space="preserve">נמצאו </w:t>
      </w:r>
      <w:r w:rsidR="00243850" w:rsidRPr="00732562">
        <w:rPr>
          <w:rFonts w:eastAsia="Times New Roman" w:hint="cs"/>
          <w:sz w:val="24"/>
          <w:szCs w:val="24"/>
          <w:rtl/>
        </w:rPr>
        <w:t>בקולחי</w:t>
      </w:r>
      <w:r w:rsidR="00735691" w:rsidRPr="00732562">
        <w:rPr>
          <w:rFonts w:eastAsia="Times New Roman" w:hint="cs"/>
          <w:sz w:val="24"/>
          <w:szCs w:val="24"/>
          <w:rtl/>
        </w:rPr>
        <w:t>ם ומשם קצרה הדרך לסביבה</w:t>
      </w:r>
      <w:r w:rsidR="00575C6E" w:rsidRPr="00732562">
        <w:rPr>
          <w:rFonts w:eastAsia="Times New Roman" w:hint="cs"/>
          <w:sz w:val="24"/>
          <w:szCs w:val="24"/>
          <w:rtl/>
        </w:rPr>
        <w:t xml:space="preserve"> </w:t>
      </w:r>
      <w:r w:rsidR="00243850" w:rsidRPr="00732562">
        <w:rPr>
          <w:rFonts w:eastAsia="Times New Roman" w:cstheme="majorBidi"/>
          <w:sz w:val="24"/>
          <w:szCs w:val="24"/>
          <w:rtl/>
        </w:rPr>
        <w:fldChar w:fldCharType="begin" w:fldLock="1"/>
      </w:r>
      <w:r w:rsidR="00A223D6" w:rsidRPr="00732562">
        <w:rPr>
          <w:rFonts w:eastAsia="Times New Roman" w:cstheme="majorBidi"/>
          <w:sz w:val="24"/>
          <w:szCs w:val="24"/>
        </w:rPr>
        <w:instrText>ADDIN CSL_CITATION { "citationItems" : [ { "id" : "ITEM-1", "itemData" : { "DOI" : "10.1016/j.scitotenv.2015.06.067", "ISBN" : "0048-9697", "PMID" : "26124013", "abstract" : "The present study determines removal rates (RR) of 56 pharmaceuticals and metabolites, respectively, in an urban sewage treatment plant using mass flow analysis by comparing influent and effluent loads over a consecutive ten-day monitoring period. Besides well investigated compounds like carbamazepine and metoprolol, less researched targets, such as topiramate, pregabalin, telmisartan, and human metabolites of pharmaceuticals were included. Another aim was to determine the ratio of pharmaceuticals and corresponding metabolites in raw wastewater.Valsartan and gabapentin were detected at the highest average concentrations in influent (c&lt;inf&gt;val&lt;/inf&gt;=29.7 (??8.1) ??g/L, c&lt;inf&gt;gab&lt;/inf&gt;=13.2 (??3.3) ??g/L) and effluent (c&lt;inf&gt;val&lt;/inf&gt;=22.1 (??5.1) ??g/L, c&lt;inf&gt;gab&lt;/inf&gt;=12.1 (??2.6) ??g/L) samples. The comparison of mass loads in influent and effluent showed a significant removal (p&lt;0.1) for 20 compounds but only enalapril, eprosartan, losartan, pregabalin, and quetiapine were removed from the aqueous phase by more than 50%. Another 20 compounds were determined without significant difference and for five compounds (clindamycin, lamotrigine, oxcarbazepine, O-desmethyl venlafaxine, triamterene), a significant higher mass load in the effluent than in the influent was observed.It has to be noticed that metabolites like 10,11-dihydro-10-hydroxy carbamazepine (MHD) are found in higher mass loads than the corresponding parent compound in the sewage samples. Furthermore, metabolites and parent compound behave differently in the sewage treatment process. While MHD (RR = 15.1%) was detected with lower mass load in the effluent than in the influent, oxcarbazepine (RR =. 73.2%) showed the contrary pattern.When comparing expected and measured ratios of parent compound and metabolite in raw sewage, citalopram/N-desmethyl citalopram for example, showed good results. However, a major problem exists due to insufficient data regarding metabolism and excretion of many pharmaceuticals. This complicates the prediction of relevant metabolites and further efforts are needed to overcome this problem.", "author" : [ { "dropping-particle" : "", "family" : "Gurke", "given" : "Robert", "non-dropping-particle" : "", "parse-names" : false, "suffix" : "" }, { "dropping-particle" : "", "family" : "R\u00f6\u00dfler", "given" : "Martin", "non-dropping-particle" : "", "parse-names" : false, "suffix" : "" }, { "dropping-particle" : "", "family" : "Marx", "given" : "Conrad", "non-dropping-particle" : "", "parse-names" : false, "suffix" : "" }, { "dropping-particle" : "", "family" : "Diamond", "given" : "Sam", "non-dropping-particle" : "", "parse-names" : false, "suffix" : "" }, { "dropping-particle" : "", "family" : "Schubert", "given" : "Sara", "non-dropping-particle" : "", "parse-names" : false, "suffix" : "" }, { "dropping-particle" : "", "family" : "Oertel", "given" : "Reinhard", "non-dropping-particle" : "", "parse-names" : false, "suffix" : "" }, { "dropping-particle" : "", "family" : "Fauler", "given" : "Joachim", "non-dropping-particle" : "", "parse-names" : false, "suffix" : "" } ], "container-title" : "Science of the Total Environment", "id" : "ITEM-1", "issued" : { "date-parts" : [ [ "2015" ] ] }, "page" : "762-770", "title" : "Occurrence and removal of frequently prescribed pharmaceuticals and corresponding metabolites in wastewater of a sewage treatment plant", "type" : "article-journal", "volume" : "532" }, "uris" : [ "http://www.mendeley.com/documents/?uuid=d218e270-c800-3d4c-b6f1-bcbdac9041df", "http://www.mendeley.com/documents/?uuid=a33021c5-194e-4a8b-ba46-06dc5648eafc" ] } ], "mendeley" : { "formattedCitation" : "(Gurke et al. 2015)", "plainTextFormattedCitation" : "(Gurke et al. 2015)", "previouslyFormattedCitation" : "(Gurke et al. 2015)" }, "properties" : { "noteIndex" : 0 }, "schema" : "https://github.com/citation-style-language/schema/raw/master/csl-citation.json" }</w:instrText>
      </w:r>
      <w:r w:rsidR="00243850" w:rsidRPr="00732562">
        <w:rPr>
          <w:rFonts w:eastAsia="Times New Roman" w:cstheme="majorBidi"/>
          <w:sz w:val="24"/>
          <w:szCs w:val="24"/>
          <w:rtl/>
        </w:rPr>
        <w:fldChar w:fldCharType="separate"/>
      </w:r>
      <w:r w:rsidR="00644CEA" w:rsidRPr="00732562">
        <w:rPr>
          <w:rFonts w:eastAsia="Times New Roman" w:cstheme="majorBidi"/>
          <w:noProof/>
          <w:sz w:val="24"/>
          <w:szCs w:val="24"/>
        </w:rPr>
        <w:t>(Gurke et al. 2015)</w:t>
      </w:r>
      <w:r w:rsidR="00243850" w:rsidRPr="00732562">
        <w:rPr>
          <w:rFonts w:eastAsia="Times New Roman" w:cstheme="majorBidi"/>
          <w:sz w:val="24"/>
          <w:szCs w:val="24"/>
          <w:rtl/>
        </w:rPr>
        <w:fldChar w:fldCharType="end"/>
      </w:r>
      <w:r w:rsidR="00575C6E" w:rsidRPr="00732562">
        <w:rPr>
          <w:rFonts w:eastAsia="Times New Roman" w:hint="cs"/>
          <w:sz w:val="24"/>
          <w:szCs w:val="24"/>
          <w:rtl/>
        </w:rPr>
        <w:t>.</w:t>
      </w:r>
      <w:r w:rsidR="006353C4" w:rsidRPr="00732562">
        <w:rPr>
          <w:rFonts w:eastAsia="Times New Roman" w:hint="cs"/>
          <w:sz w:val="24"/>
          <w:szCs w:val="24"/>
          <w:rtl/>
        </w:rPr>
        <w:t xml:space="preserve"> </w:t>
      </w:r>
    </w:p>
    <w:p w14:paraId="01889C83" w14:textId="7232E90A" w:rsidR="001F3932" w:rsidRDefault="009345E4" w:rsidP="002209C1">
      <w:pPr>
        <w:shd w:val="clear" w:color="auto" w:fill="FFFFFF"/>
        <w:bidi/>
        <w:spacing w:after="0" w:line="360" w:lineRule="auto"/>
        <w:jc w:val="both"/>
        <w:outlineLvl w:val="3"/>
        <w:rPr>
          <w:rFonts w:eastAsia="Times New Roman" w:cstheme="majorBidi"/>
          <w:sz w:val="24"/>
          <w:szCs w:val="24"/>
        </w:rPr>
      </w:pPr>
      <w:r w:rsidRPr="00732562">
        <w:rPr>
          <w:rFonts w:eastAsia="Times New Roman" w:hint="cs"/>
          <w:sz w:val="24"/>
          <w:szCs w:val="24"/>
          <w:rtl/>
        </w:rPr>
        <w:t>ה</w:t>
      </w:r>
      <w:r w:rsidR="00575C6E" w:rsidRPr="00732562">
        <w:rPr>
          <w:rFonts w:eastAsia="Times New Roman" w:hint="cs"/>
          <w:sz w:val="24"/>
          <w:szCs w:val="24"/>
          <w:rtl/>
        </w:rPr>
        <w:t xml:space="preserve">חומר הרפואי בו אתמקד במחקר  </w:t>
      </w:r>
      <w:r w:rsidR="00BC28FD" w:rsidRPr="00732562">
        <w:rPr>
          <w:rFonts w:eastAsia="Times New Roman" w:hint="cs"/>
          <w:sz w:val="24"/>
          <w:szCs w:val="24"/>
          <w:rtl/>
        </w:rPr>
        <w:t xml:space="preserve">הוא </w:t>
      </w:r>
      <w:r w:rsidR="00B00442">
        <w:rPr>
          <w:rFonts w:eastAsia="Times New Roman" w:cstheme="majorBidi"/>
          <w:sz w:val="24"/>
          <w:szCs w:val="24"/>
        </w:rPr>
        <w:t>Lamotrigine</w:t>
      </w:r>
      <w:r w:rsidR="00BC28FD" w:rsidRPr="00732562">
        <w:rPr>
          <w:rFonts w:eastAsia="Times New Roman" w:cstheme="majorBidi"/>
          <w:sz w:val="24"/>
          <w:szCs w:val="24"/>
        </w:rPr>
        <w:t xml:space="preserve"> </w:t>
      </w:r>
      <w:r w:rsidR="00BC28FD" w:rsidRPr="00732562">
        <w:rPr>
          <w:rFonts w:eastAsia="Times New Roman" w:hint="cs"/>
          <w:sz w:val="24"/>
          <w:szCs w:val="24"/>
          <w:rtl/>
        </w:rPr>
        <w:t xml:space="preserve">, </w:t>
      </w:r>
      <w:r w:rsidR="00575C6E" w:rsidRPr="00732562">
        <w:rPr>
          <w:rFonts w:eastAsia="Times New Roman" w:hint="cs"/>
          <w:sz w:val="24"/>
          <w:szCs w:val="24"/>
          <w:rtl/>
        </w:rPr>
        <w:t>תרופה</w:t>
      </w:r>
      <w:r w:rsidRPr="00732562">
        <w:rPr>
          <w:rFonts w:eastAsia="Times New Roman" w:hint="cs"/>
          <w:sz w:val="24"/>
          <w:szCs w:val="24"/>
          <w:rtl/>
        </w:rPr>
        <w:t xml:space="preserve"> זו</w:t>
      </w:r>
      <w:r w:rsidR="00575C6E" w:rsidRPr="00732562">
        <w:rPr>
          <w:rFonts w:eastAsia="Times New Roman" w:hint="cs"/>
          <w:sz w:val="24"/>
          <w:szCs w:val="24"/>
          <w:rtl/>
        </w:rPr>
        <w:t xml:space="preserve"> נוגדת פרכוסים </w:t>
      </w:r>
      <w:r w:rsidRPr="00732562">
        <w:rPr>
          <w:rFonts w:eastAsia="Times New Roman" w:hint="cs"/>
          <w:sz w:val="24"/>
          <w:szCs w:val="24"/>
          <w:rtl/>
        </w:rPr>
        <w:t>ו</w:t>
      </w:r>
      <w:r w:rsidR="00575C6E" w:rsidRPr="00732562">
        <w:rPr>
          <w:rFonts w:eastAsia="Times New Roman" w:hint="cs"/>
          <w:sz w:val="24"/>
          <w:szCs w:val="24"/>
          <w:rtl/>
        </w:rPr>
        <w:t>משמשת</w:t>
      </w:r>
      <w:r w:rsidR="00B84627" w:rsidRPr="00732562">
        <w:rPr>
          <w:rFonts w:eastAsia="Times New Roman" w:hint="cs"/>
          <w:sz w:val="24"/>
          <w:szCs w:val="24"/>
          <w:rtl/>
        </w:rPr>
        <w:t xml:space="preserve"> לטיפול באפילפסיה ו</w:t>
      </w:r>
      <w:r w:rsidR="00BC28FD" w:rsidRPr="00732562">
        <w:rPr>
          <w:rFonts w:eastAsia="Times New Roman" w:hint="cs"/>
          <w:sz w:val="24"/>
          <w:szCs w:val="24"/>
          <w:rtl/>
        </w:rPr>
        <w:t xml:space="preserve">כמייצבת מצב רוח </w:t>
      </w:r>
      <w:r w:rsidR="00BC28FD" w:rsidRPr="00732562">
        <w:rPr>
          <w:rFonts w:eastAsia="Times New Roman" w:cstheme="majorBidi"/>
          <w:sz w:val="24"/>
          <w:szCs w:val="24"/>
          <w:rtl/>
        </w:rPr>
        <w:fldChar w:fldCharType="begin" w:fldLock="1"/>
      </w:r>
      <w:r w:rsidR="00A223D6" w:rsidRPr="00732562">
        <w:rPr>
          <w:rFonts w:eastAsia="Times New Roman" w:cstheme="majorBidi"/>
          <w:sz w:val="24"/>
          <w:szCs w:val="24"/>
        </w:rPr>
        <w:instrText>ADDIN CSL_CITATION { "citationItems" : [ { "id" : "ITEM-1", "itemData" : { "DOI" : "10.1016/j.jocn.2012.05.024", "ISBN" : "0967-5868", "ISSN" : "09675868", "PMID" : "23036173", "abstract" : "Lamotrigine has been demonstrated to be effective as both an antiepileptic drug and a mood stabiliser. For epilepsy it is less efficacious than valproate in primary generalised epilepsy, but it is comparable to some traditional drugs in partial epilepsy. In psychiatry it has significant advantages over other mood stabilisers for the treatment and prevention of depressive phases of bipolar illness, but not for the treatment of mania. It has a more benign adverse effect profile than older antiepileptic agents and is not a proven teratogen. Risk of adverse reactions is reduced by commencing treatment at a markedly reduced dose that is gradually increased. \u00a9 2012 Elsevier Ltd. All rights reserved.", "author" : [ { "dropping-particle" : "", "family" : "Vajda", "given" : "Frank J E", "non-dropping-particle" : "", "parse-names" : false, "suffix" : "" }, { "dropping-particle" : "", "family" : "Dodd", "given" : "Seetal", "non-dropping-particle" : "", "parse-names" : false, "suffix" : "" }, { "dropping-particle" : "", "family" : "Horgan", "given" : "David", "non-dropping-particle" : "", "parse-names" : false, "suffix" : "" } ], "container-title" : "Journal of Clinical Neuroscience", "id" : "ITEM-1", "issue" : "1", "issued" : { "date-parts" : [ [ "2013" ] ] }, "page" : "13-16", "publisher" : "Elsevier Ltd", "title" : "Lamotrigine in epilepsy, pregnancy and psychiatry-a drug for all seasons?", "type" : "article-journal", "volume" : "20" }, "uris" : [ "http://www.mendeley.com/documents/?uuid=2e5eae76-f757-4759-82a6-f41acd49b4d9", "http://www.mendeley.com/documents/?uuid=c075d8b5-1c6c-45ed-bd25-394ed96e5085" ] } ], "mendeley" : { "formattedCitation" : "(Vajda et al. 2013)", "plainTextFormattedCitation" : "(Vajda et al. 2013)", "previouslyFormattedCitation" : "(Vajda et al. 2013)" }, "properties" : { "noteIndex" : 0 }, "schema" : "https://github.com/citation-style-language/schema/raw/master/csl-citation.json" }</w:instrText>
      </w:r>
      <w:r w:rsidR="00BC28FD" w:rsidRPr="00732562">
        <w:rPr>
          <w:rFonts w:eastAsia="Times New Roman" w:cstheme="majorBidi"/>
          <w:sz w:val="24"/>
          <w:szCs w:val="24"/>
          <w:rtl/>
        </w:rPr>
        <w:fldChar w:fldCharType="separate"/>
      </w:r>
      <w:r w:rsidR="00644CEA" w:rsidRPr="00732562">
        <w:rPr>
          <w:rFonts w:eastAsia="Times New Roman" w:cstheme="majorBidi"/>
          <w:noProof/>
          <w:sz w:val="24"/>
          <w:szCs w:val="24"/>
        </w:rPr>
        <w:t>(Vajda et al. 2013)</w:t>
      </w:r>
      <w:r w:rsidR="00BC28FD" w:rsidRPr="00732562">
        <w:rPr>
          <w:rFonts w:eastAsia="Times New Roman" w:cstheme="majorBidi"/>
          <w:sz w:val="24"/>
          <w:szCs w:val="24"/>
          <w:rtl/>
        </w:rPr>
        <w:fldChar w:fldCharType="end"/>
      </w:r>
      <w:r w:rsidR="00544DDD" w:rsidRPr="00732562">
        <w:rPr>
          <w:rFonts w:eastAsia="Times New Roman" w:hint="cs"/>
          <w:sz w:val="24"/>
          <w:szCs w:val="24"/>
          <w:rtl/>
        </w:rPr>
        <w:t>.</w:t>
      </w:r>
      <w:r w:rsidR="00B5659D" w:rsidRPr="00732562">
        <w:rPr>
          <w:rFonts w:eastAsia="Times New Roman" w:hint="cs"/>
          <w:sz w:val="24"/>
          <w:szCs w:val="24"/>
          <w:rtl/>
        </w:rPr>
        <w:t xml:space="preserve"> </w:t>
      </w:r>
      <w:r w:rsidR="00205520" w:rsidRPr="00732562">
        <w:rPr>
          <w:rFonts w:eastAsia="Times New Roman" w:hint="cs"/>
          <w:sz w:val="24"/>
          <w:szCs w:val="24"/>
          <w:rtl/>
        </w:rPr>
        <w:t xml:space="preserve">נוכחות של </w:t>
      </w:r>
      <w:r w:rsidR="00B00442">
        <w:rPr>
          <w:rFonts w:eastAsia="Times New Roman" w:cstheme="majorBidi"/>
          <w:sz w:val="24"/>
          <w:szCs w:val="24"/>
        </w:rPr>
        <w:t>Lamotrigine</w:t>
      </w:r>
      <w:r w:rsidR="00205520" w:rsidRPr="00732562">
        <w:rPr>
          <w:rFonts w:eastAsia="Times New Roman" w:hint="cs"/>
          <w:sz w:val="24"/>
          <w:szCs w:val="24"/>
          <w:rtl/>
        </w:rPr>
        <w:t xml:space="preserve"> בסביבות מימיות דווח לראשונה ב</w:t>
      </w:r>
      <w:r w:rsidR="00735691" w:rsidRPr="00732562">
        <w:rPr>
          <w:rFonts w:eastAsia="Times New Roman" w:hint="cs"/>
          <w:sz w:val="24"/>
          <w:szCs w:val="24"/>
          <w:rtl/>
        </w:rPr>
        <w:t xml:space="preserve">- </w:t>
      </w:r>
      <w:r w:rsidR="00205520" w:rsidRPr="00732562">
        <w:rPr>
          <w:rFonts w:eastAsia="Times New Roman" w:hint="cs"/>
          <w:sz w:val="24"/>
          <w:szCs w:val="24"/>
          <w:rtl/>
        </w:rPr>
        <w:t xml:space="preserve">2010 במחקר </w:t>
      </w:r>
      <w:r w:rsidRPr="00732562">
        <w:rPr>
          <w:rFonts w:eastAsia="Times New Roman" w:hint="cs"/>
          <w:sz w:val="24"/>
          <w:szCs w:val="24"/>
          <w:rtl/>
        </w:rPr>
        <w:t xml:space="preserve">בו נדגמו </w:t>
      </w:r>
      <w:r w:rsidR="00205520" w:rsidRPr="00732562">
        <w:rPr>
          <w:rFonts w:eastAsia="Times New Roman" w:hint="cs"/>
          <w:sz w:val="24"/>
          <w:szCs w:val="24"/>
          <w:rtl/>
        </w:rPr>
        <w:t>מאגרי מים שונים ו</w:t>
      </w:r>
      <w:r w:rsidR="00735691" w:rsidRPr="00732562">
        <w:rPr>
          <w:rFonts w:eastAsia="Times New Roman" w:hint="cs"/>
          <w:sz w:val="24"/>
          <w:szCs w:val="24"/>
          <w:rtl/>
        </w:rPr>
        <w:t xml:space="preserve">קולחים </w:t>
      </w:r>
      <w:r w:rsidR="00205520" w:rsidRPr="00732562">
        <w:rPr>
          <w:rFonts w:eastAsia="Times New Roman" w:hint="cs"/>
          <w:sz w:val="24"/>
          <w:szCs w:val="24"/>
          <w:rtl/>
        </w:rPr>
        <w:t xml:space="preserve"> </w:t>
      </w:r>
      <w:r w:rsidR="006353C4" w:rsidRPr="00732562">
        <w:rPr>
          <w:rFonts w:eastAsia="Times New Roman" w:hint="cs"/>
          <w:sz w:val="24"/>
          <w:szCs w:val="24"/>
          <w:rtl/>
        </w:rPr>
        <w:t>ברחבי ארצות הברית</w:t>
      </w:r>
      <w:r w:rsidR="00735691" w:rsidRPr="00732562">
        <w:rPr>
          <w:rFonts w:eastAsia="Times New Roman" w:hint="cs"/>
          <w:sz w:val="24"/>
          <w:szCs w:val="24"/>
          <w:rtl/>
        </w:rPr>
        <w:t xml:space="preserve"> (</w:t>
      </w:r>
      <w:r w:rsidR="00735691" w:rsidRPr="00732562">
        <w:rPr>
          <w:rFonts w:eastAsia="Times New Roman" w:cstheme="majorBidi"/>
          <w:sz w:val="24"/>
          <w:szCs w:val="24"/>
          <w:rtl/>
        </w:rPr>
        <w:fldChar w:fldCharType="begin" w:fldLock="1"/>
      </w:r>
      <w:r w:rsidR="00A223D6" w:rsidRPr="00732562">
        <w:rPr>
          <w:rFonts w:eastAsia="Times New Roman" w:cstheme="majorBidi"/>
          <w:sz w:val="24"/>
          <w:szCs w:val="24"/>
        </w:rPr>
        <w:instrText>ADDIN CSL_CITATION { "citationItems" : [ { "id" : "ITEM-1", "itemData" : { "DOI" : "10.1021/ac1014645", "ISBN" : "0003-2700", "ISSN" : "00032700", "PMID" : "20815341", "abstract" : "This paper reports the first detections of an antidepressant, lamotrigine, and its major metabolite (2-N-glucuronide), in environmental water samples using a new chlorine mass-filter technique with accurate mass and high resolution. A quantitative method is described using solid phase extraction (SPE) followed by liquid chromatography/quadrupole time-of-flight mass spectrometry (LC/Q-TOF-MS) for the simultaneous analysis of both compounds in aqueous samples, including drinking water, groundwater, surface water, and wastewater collected from sewage treatment plants. The recoveries of the analytes ranged from 75 to 99%, depending on the type of water extracted. The method detection limits were 1 and 5 ng/L for lamotrigine and its metabolite, respectively. The method was validated with more than a hundred aqueous samples analyzed and lamotrigine and its 2-N-glucuronide metabolite were mostly detected in both wastewater and surface water impacted sites at mean concentrations of 488 and 209 ng/L, respectively. Lamotrigine was detected in 94% of all the wastewater samples analyzed. Two detections for lamotrigine occurred in drinking water. To our knowledge, this is the first report of water samples containing lamotrigine, a relatively new drug used for the treatment of epilepsy and type I bipolar syndrome. It is also the first report of a glucuronide of an antidepressant surviving wastewater treatment plant operations and becoming a ground and surface water contaminant.", "author" : [ { "dropping-particle" : "", "family" : "Ferrer", "given" : "Imma", "non-dropping-particle" : "", "parse-names" : false, "suffix" : "" }, { "dropping-particle" : "", "family" : "Thurman", "given" : "E. Michael", "non-dropping-particle" : "", "parse-names" : false, "suffix" : "" } ], "container-title" : "Analytical Chemistry", "id" : "ITEM-1", "issue" : "19", "issued" : { "date-parts" : [ [ "2010" ] ] }, "page" : "8161-8168", "title" : "Identification of a new antidepressant and its glucuronide metabolite in water samples using liquid chromatography/quadrupole time-of-flight mass spectrometry", "type" : "article-journal", "volume" : "82" }, "uris" : [ "http://www.mendeley.com/documents/?uuid=e2dc8522-d894-4186-8778-88c9466a929c", "http://www.mendeley.com/documents/?uuid=bef0762e-9469-4234-8129-bce578028fd1" ] } ], "mendeley" : { "formattedCitation" : "(Ferrer &amp; Thurman 2010)", "manualFormatting" : "Ferrer &amp; Thurman 2010", "plainTextFormattedCitation" : "(Ferrer &amp; Thurman 2010)", "previouslyFormattedCitation" : "(Ferrer &amp; Thurman 2010)" }, "properties" : { "noteIndex" : 0 }, "schema" : "https://github.com/citation-style-language/schema/raw/master/csl-citation.json" }</w:instrText>
      </w:r>
      <w:r w:rsidR="00735691" w:rsidRPr="00732562">
        <w:rPr>
          <w:rFonts w:eastAsia="Times New Roman" w:cstheme="majorBidi"/>
          <w:sz w:val="24"/>
          <w:szCs w:val="24"/>
          <w:rtl/>
        </w:rPr>
        <w:fldChar w:fldCharType="separate"/>
      </w:r>
      <w:r w:rsidR="00735691" w:rsidRPr="00732562">
        <w:rPr>
          <w:rFonts w:eastAsia="Times New Roman" w:cstheme="majorBidi"/>
          <w:noProof/>
          <w:sz w:val="24"/>
          <w:szCs w:val="24"/>
        </w:rPr>
        <w:t>Ferrer &amp; Thurman</w:t>
      </w:r>
      <w:r w:rsidR="00684567" w:rsidRPr="00732562">
        <w:rPr>
          <w:rFonts w:eastAsia="Times New Roman" w:cstheme="majorBidi"/>
          <w:noProof/>
          <w:sz w:val="24"/>
          <w:szCs w:val="24"/>
        </w:rPr>
        <w:t xml:space="preserve"> </w:t>
      </w:r>
      <w:r w:rsidR="00735691" w:rsidRPr="00732562">
        <w:rPr>
          <w:rFonts w:eastAsia="Times New Roman" w:cstheme="majorBidi"/>
          <w:noProof/>
          <w:sz w:val="24"/>
          <w:szCs w:val="24"/>
        </w:rPr>
        <w:t>2010</w:t>
      </w:r>
      <w:r w:rsidR="00735691" w:rsidRPr="00732562">
        <w:rPr>
          <w:rFonts w:eastAsia="Times New Roman" w:cstheme="majorBidi"/>
          <w:sz w:val="24"/>
          <w:szCs w:val="24"/>
          <w:rtl/>
        </w:rPr>
        <w:fldChar w:fldCharType="end"/>
      </w:r>
      <w:r w:rsidR="00735691" w:rsidRPr="00732562">
        <w:rPr>
          <w:rFonts w:eastAsia="Times New Roman" w:hint="cs"/>
          <w:sz w:val="24"/>
          <w:szCs w:val="24"/>
          <w:rtl/>
        </w:rPr>
        <w:t xml:space="preserve">). בעבודה זו נמצא </w:t>
      </w:r>
      <w:r w:rsidR="00426D4F" w:rsidRPr="00732562">
        <w:rPr>
          <w:rFonts w:eastAsia="Times New Roman"/>
          <w:sz w:val="24"/>
          <w:szCs w:val="24"/>
        </w:rPr>
        <w:t xml:space="preserve"> </w:t>
      </w:r>
      <w:r w:rsidR="00B00442">
        <w:rPr>
          <w:rFonts w:eastAsia="Times New Roman" w:cstheme="majorBidi"/>
          <w:sz w:val="24"/>
          <w:szCs w:val="24"/>
        </w:rPr>
        <w:t>Lamotrigine</w:t>
      </w:r>
      <w:r w:rsidR="00426D4F" w:rsidRPr="00732562">
        <w:rPr>
          <w:rFonts w:eastAsia="Times New Roman" w:hint="cs"/>
          <w:sz w:val="24"/>
          <w:szCs w:val="24"/>
          <w:rtl/>
        </w:rPr>
        <w:t>ברי</w:t>
      </w:r>
      <w:r w:rsidR="00F22115" w:rsidRPr="00732562">
        <w:rPr>
          <w:rFonts w:eastAsia="Times New Roman" w:hint="cs"/>
          <w:sz w:val="24"/>
          <w:szCs w:val="24"/>
          <w:rtl/>
        </w:rPr>
        <w:t>כוזים גבוהים יחסית</w:t>
      </w:r>
      <w:r w:rsidR="00E32403" w:rsidRPr="00732562">
        <w:rPr>
          <w:rFonts w:eastAsia="Times New Roman" w:hint="cs"/>
          <w:sz w:val="24"/>
          <w:szCs w:val="24"/>
          <w:rtl/>
        </w:rPr>
        <w:t>:</w:t>
      </w:r>
      <w:r w:rsidR="00F22115" w:rsidRPr="00732562">
        <w:rPr>
          <w:rFonts w:eastAsia="Times New Roman" w:hint="cs"/>
          <w:sz w:val="24"/>
          <w:szCs w:val="24"/>
          <w:rtl/>
        </w:rPr>
        <w:t xml:space="preserve"> </w:t>
      </w:r>
      <w:r w:rsidR="00426D4F" w:rsidRPr="00732562">
        <w:rPr>
          <w:rFonts w:eastAsia="Times New Roman" w:hint="cs"/>
          <w:sz w:val="24"/>
          <w:szCs w:val="24"/>
          <w:rtl/>
        </w:rPr>
        <w:t xml:space="preserve">טווח ריכוזים הנע בין </w:t>
      </w:r>
      <w:r w:rsidR="00426D4F" w:rsidRPr="00732562">
        <w:rPr>
          <w:rFonts w:eastAsia="Times New Roman"/>
          <w:sz w:val="24"/>
          <w:szCs w:val="24"/>
        </w:rPr>
        <w:t>ng/L</w:t>
      </w:r>
      <w:r w:rsidR="00426D4F" w:rsidRPr="00732562">
        <w:rPr>
          <w:rFonts w:eastAsia="Times New Roman" w:hint="cs"/>
          <w:sz w:val="24"/>
          <w:szCs w:val="24"/>
          <w:rtl/>
        </w:rPr>
        <w:t xml:space="preserve">  17-488</w:t>
      </w:r>
      <w:r w:rsidR="00426D4F" w:rsidRPr="00732562">
        <w:rPr>
          <w:rFonts w:eastAsia="Times New Roman"/>
          <w:sz w:val="24"/>
          <w:szCs w:val="24"/>
        </w:rPr>
        <w:t xml:space="preserve"> </w:t>
      </w:r>
      <w:r w:rsidR="00426D4F" w:rsidRPr="00732562">
        <w:rPr>
          <w:rFonts w:eastAsia="Times New Roman" w:hint="cs"/>
          <w:sz w:val="24"/>
          <w:szCs w:val="24"/>
          <w:rtl/>
        </w:rPr>
        <w:t xml:space="preserve"> עבור </w:t>
      </w:r>
      <w:r w:rsidR="00B00442">
        <w:rPr>
          <w:rFonts w:eastAsia="Times New Roman" w:hint="cs"/>
          <w:sz w:val="24"/>
          <w:szCs w:val="24"/>
        </w:rPr>
        <w:t>Lamotrigine</w:t>
      </w:r>
      <w:r w:rsidR="00426D4F" w:rsidRPr="00732562">
        <w:rPr>
          <w:rFonts w:eastAsia="Times New Roman" w:hint="cs"/>
          <w:sz w:val="24"/>
          <w:szCs w:val="24"/>
          <w:rtl/>
        </w:rPr>
        <w:t xml:space="preserve"> וריכוזים של מתחת לגבול ה</w:t>
      </w:r>
      <w:r w:rsidR="002511BC" w:rsidRPr="00732562">
        <w:rPr>
          <w:rFonts w:eastAsia="Times New Roman" w:hint="cs"/>
          <w:sz w:val="24"/>
          <w:szCs w:val="24"/>
          <w:rtl/>
        </w:rPr>
        <w:t>גילוי</w:t>
      </w:r>
      <w:r w:rsidR="00426D4F" w:rsidRPr="00732562">
        <w:rPr>
          <w:rFonts w:eastAsia="Times New Roman" w:hint="cs"/>
          <w:sz w:val="24"/>
          <w:szCs w:val="24"/>
          <w:rtl/>
        </w:rPr>
        <w:t xml:space="preserve"> עד ל-</w:t>
      </w:r>
      <w:r w:rsidR="00426D4F" w:rsidRPr="00732562">
        <w:rPr>
          <w:rFonts w:eastAsia="Times New Roman"/>
          <w:sz w:val="24"/>
          <w:szCs w:val="24"/>
        </w:rPr>
        <w:t>ng/L</w:t>
      </w:r>
      <w:r w:rsidR="00426D4F" w:rsidRPr="00732562">
        <w:rPr>
          <w:rFonts w:eastAsia="Times New Roman" w:hint="cs"/>
          <w:sz w:val="24"/>
          <w:szCs w:val="24"/>
          <w:rtl/>
        </w:rPr>
        <w:t xml:space="preserve"> 209 </w:t>
      </w:r>
      <w:r w:rsidR="00DC081C" w:rsidRPr="00732562">
        <w:rPr>
          <w:rFonts w:eastAsia="Times New Roman" w:hint="cs"/>
          <w:sz w:val="24"/>
          <w:szCs w:val="24"/>
          <w:rtl/>
        </w:rPr>
        <w:t xml:space="preserve">עבור </w:t>
      </w:r>
      <w:r w:rsidR="009E1830" w:rsidRPr="00732562">
        <w:rPr>
          <w:rFonts w:eastAsia="Times New Roman" w:hint="cs"/>
          <w:sz w:val="24"/>
          <w:szCs w:val="24"/>
          <w:rtl/>
        </w:rPr>
        <w:t>המטבוליט העיקר</w:t>
      </w:r>
      <w:r w:rsidR="002A0CCD" w:rsidRPr="00732562">
        <w:rPr>
          <w:rFonts w:eastAsia="Times New Roman" w:hint="cs"/>
          <w:sz w:val="24"/>
          <w:szCs w:val="24"/>
          <w:rtl/>
        </w:rPr>
        <w:t>י</w:t>
      </w:r>
      <w:r w:rsidR="009E1830" w:rsidRPr="00732562">
        <w:rPr>
          <w:rFonts w:eastAsia="Times New Roman" w:hint="cs"/>
          <w:sz w:val="24"/>
          <w:szCs w:val="24"/>
          <w:rtl/>
        </w:rPr>
        <w:t xml:space="preserve"> של</w:t>
      </w:r>
      <w:r w:rsidR="00C269F5" w:rsidRPr="00732562">
        <w:rPr>
          <w:rFonts w:eastAsia="Times New Roman" w:hint="cs"/>
          <w:sz w:val="24"/>
          <w:szCs w:val="24"/>
          <w:rtl/>
        </w:rPr>
        <w:t>ו</w:t>
      </w:r>
      <w:r w:rsidR="009E1830" w:rsidRPr="00732562">
        <w:rPr>
          <w:rFonts w:eastAsia="Times New Roman" w:hint="cs"/>
          <w:sz w:val="24"/>
          <w:szCs w:val="24"/>
          <w:rtl/>
        </w:rPr>
        <w:t xml:space="preserve"> </w:t>
      </w:r>
      <w:r w:rsidR="00F22115" w:rsidRPr="00732562">
        <w:rPr>
          <w:rFonts w:eastAsia="Times New Roman" w:hint="cs"/>
          <w:sz w:val="24"/>
          <w:szCs w:val="24"/>
          <w:rtl/>
        </w:rPr>
        <w:t xml:space="preserve"> </w:t>
      </w:r>
      <w:r w:rsidR="00B00442">
        <w:rPr>
          <w:rFonts w:cs="Times New Roman"/>
          <w:sz w:val="24"/>
          <w:szCs w:val="24"/>
        </w:rPr>
        <w:t>Lamotrigine</w:t>
      </w:r>
      <w:r w:rsidR="009E1830" w:rsidRPr="00732562">
        <w:rPr>
          <w:rFonts w:cs="Times New Roman"/>
          <w:sz w:val="24"/>
          <w:szCs w:val="24"/>
        </w:rPr>
        <w:t>-2-N glucuronide</w:t>
      </w:r>
      <w:r w:rsidR="009E1830" w:rsidRPr="00732562">
        <w:rPr>
          <w:rFonts w:cs="Times New Roman" w:hint="cs"/>
          <w:sz w:val="24"/>
          <w:szCs w:val="24"/>
          <w:rtl/>
        </w:rPr>
        <w:t xml:space="preserve"> </w:t>
      </w:r>
      <w:r w:rsidR="00F22115" w:rsidRPr="00732562">
        <w:rPr>
          <w:rFonts w:cs="Times New Roman"/>
          <w:sz w:val="24"/>
          <w:szCs w:val="24"/>
        </w:rPr>
        <w:t>(</w:t>
      </w:r>
      <w:r w:rsidR="00B00442">
        <w:rPr>
          <w:rFonts w:cs="Times New Roman"/>
          <w:sz w:val="24"/>
          <w:szCs w:val="24"/>
        </w:rPr>
        <w:t>Lamotrigine</w:t>
      </w:r>
      <w:r w:rsidR="00F22115" w:rsidRPr="00732562">
        <w:rPr>
          <w:rFonts w:cs="Times New Roman"/>
          <w:sz w:val="24"/>
          <w:szCs w:val="24"/>
        </w:rPr>
        <w:t>-2N-</w:t>
      </w:r>
      <w:r w:rsidR="00F22115" w:rsidRPr="00732562">
        <w:rPr>
          <w:rFonts w:cs="Times New Roman" w:hint="cs"/>
          <w:sz w:val="24"/>
          <w:szCs w:val="24"/>
        </w:rPr>
        <w:t>G)</w:t>
      </w:r>
      <w:r w:rsidR="00F22115" w:rsidRPr="00732562">
        <w:rPr>
          <w:rFonts w:cs="Times New Roman" w:hint="cs"/>
          <w:sz w:val="24"/>
          <w:szCs w:val="24"/>
          <w:rtl/>
        </w:rPr>
        <w:t xml:space="preserve">. </w:t>
      </w:r>
      <w:r w:rsidR="005B0EDC" w:rsidRPr="00732562">
        <w:rPr>
          <w:rFonts w:eastAsia="Times New Roman" w:hint="cs"/>
          <w:sz w:val="24"/>
          <w:szCs w:val="24"/>
          <w:rtl/>
        </w:rPr>
        <w:t xml:space="preserve">במחקר </w:t>
      </w:r>
      <w:r w:rsidR="002A0CCD" w:rsidRPr="00732562">
        <w:rPr>
          <w:rFonts w:eastAsia="Times New Roman" w:hint="cs"/>
          <w:sz w:val="24"/>
          <w:szCs w:val="24"/>
          <w:rtl/>
        </w:rPr>
        <w:t>אחר,</w:t>
      </w:r>
      <w:r w:rsidR="005B0EDC" w:rsidRPr="00732562">
        <w:rPr>
          <w:rFonts w:eastAsia="Times New Roman" w:hint="cs"/>
          <w:sz w:val="24"/>
          <w:szCs w:val="24"/>
          <w:rtl/>
        </w:rPr>
        <w:t xml:space="preserve"> עקבו אחר ריכוזם של 14 חומרים רפוא</w:t>
      </w:r>
      <w:r w:rsidR="00735691" w:rsidRPr="00732562">
        <w:rPr>
          <w:rFonts w:eastAsia="Times New Roman" w:hint="cs"/>
          <w:sz w:val="24"/>
          <w:szCs w:val="24"/>
          <w:rtl/>
        </w:rPr>
        <w:t>י</w:t>
      </w:r>
      <w:r w:rsidR="005B0EDC" w:rsidRPr="00732562">
        <w:rPr>
          <w:rFonts w:eastAsia="Times New Roman" w:hint="cs"/>
          <w:sz w:val="24"/>
          <w:szCs w:val="24"/>
          <w:rtl/>
        </w:rPr>
        <w:t xml:space="preserve">ים פעילים בנקודת שחרור </w:t>
      </w:r>
      <w:r w:rsidR="00735691" w:rsidRPr="00732562">
        <w:rPr>
          <w:rFonts w:eastAsia="Times New Roman" w:hint="cs"/>
          <w:sz w:val="24"/>
          <w:szCs w:val="24"/>
          <w:rtl/>
        </w:rPr>
        <w:t xml:space="preserve">הקולחים </w:t>
      </w:r>
      <w:r w:rsidR="005B0EDC" w:rsidRPr="00732562">
        <w:rPr>
          <w:rFonts w:eastAsia="Times New Roman" w:hint="cs"/>
          <w:sz w:val="24"/>
          <w:szCs w:val="24"/>
          <w:rtl/>
        </w:rPr>
        <w:t xml:space="preserve">אל נחל בארה"ב ומצאו גם כן </w:t>
      </w:r>
      <w:r w:rsidR="00B00442">
        <w:rPr>
          <w:rFonts w:eastAsia="Times New Roman" w:cstheme="majorBidi"/>
          <w:sz w:val="24"/>
          <w:szCs w:val="24"/>
        </w:rPr>
        <w:t>Lamotrigine</w:t>
      </w:r>
      <w:r w:rsidR="00C36003" w:rsidRPr="00732562">
        <w:rPr>
          <w:rFonts w:eastAsia="Times New Roman" w:hint="cs"/>
          <w:sz w:val="24"/>
          <w:szCs w:val="24"/>
        </w:rPr>
        <w:t xml:space="preserve"> </w:t>
      </w:r>
      <w:r w:rsidR="00C36003" w:rsidRPr="00732562">
        <w:rPr>
          <w:rFonts w:eastAsia="Times New Roman" w:hint="cs"/>
          <w:sz w:val="24"/>
          <w:szCs w:val="24"/>
          <w:rtl/>
        </w:rPr>
        <w:t xml:space="preserve"> ב</w:t>
      </w:r>
      <w:r w:rsidR="005B0EDC" w:rsidRPr="00732562">
        <w:rPr>
          <w:rFonts w:eastAsia="Times New Roman" w:hint="cs"/>
          <w:sz w:val="24"/>
          <w:szCs w:val="24"/>
          <w:rtl/>
        </w:rPr>
        <w:t xml:space="preserve">ריכוזים </w:t>
      </w:r>
      <w:r w:rsidR="00D76921" w:rsidRPr="00732562">
        <w:rPr>
          <w:rFonts w:eastAsia="Times New Roman" w:hint="cs"/>
          <w:sz w:val="24"/>
          <w:szCs w:val="24"/>
          <w:rtl/>
        </w:rPr>
        <w:t xml:space="preserve">בטווח של </w:t>
      </w:r>
      <w:r w:rsidR="00AC1C87" w:rsidRPr="00732562">
        <w:rPr>
          <w:rFonts w:eastAsia="Times New Roman" w:cstheme="majorBidi"/>
          <w:sz w:val="24"/>
          <w:szCs w:val="24"/>
        </w:rPr>
        <w:t xml:space="preserve"> </w:t>
      </w:r>
      <w:r w:rsidR="00735691" w:rsidRPr="00732562">
        <w:rPr>
          <w:rFonts w:eastAsia="Times New Roman" w:cstheme="majorBidi"/>
          <w:sz w:val="24"/>
          <w:szCs w:val="24"/>
        </w:rPr>
        <w:t xml:space="preserve"> </w:t>
      </w:r>
      <w:r w:rsidR="00D76921" w:rsidRPr="00732562">
        <w:rPr>
          <w:rFonts w:eastAsia="Times New Roman" w:cstheme="majorBidi"/>
          <w:sz w:val="24"/>
          <w:szCs w:val="24"/>
        </w:rPr>
        <w:t>ng/L</w:t>
      </w:r>
      <w:r w:rsidR="00D76921" w:rsidRPr="00EB2B73">
        <w:rPr>
          <w:rFonts w:eastAsia="Times New Roman"/>
          <w:sz w:val="24"/>
          <w:szCs w:val="24"/>
          <w:rtl/>
        </w:rPr>
        <w:t>1</w:t>
      </w:r>
      <w:r w:rsidR="00A83230" w:rsidRPr="00EB2B73">
        <w:rPr>
          <w:rFonts w:eastAsia="Times New Roman" w:hint="cs"/>
          <w:sz w:val="24"/>
          <w:szCs w:val="24"/>
          <w:rtl/>
        </w:rPr>
        <w:t>,</w:t>
      </w:r>
      <w:r w:rsidR="00D76921" w:rsidRPr="00EB2B73">
        <w:rPr>
          <w:rFonts w:eastAsia="Times New Roman"/>
          <w:sz w:val="24"/>
          <w:szCs w:val="24"/>
          <w:rtl/>
        </w:rPr>
        <w:t>760-5</w:t>
      </w:r>
      <w:r w:rsidR="00A83230" w:rsidRPr="00EB2B73">
        <w:rPr>
          <w:rFonts w:eastAsia="Times New Roman" w:hint="cs"/>
          <w:sz w:val="24"/>
          <w:szCs w:val="24"/>
          <w:rtl/>
        </w:rPr>
        <w:t>,</w:t>
      </w:r>
      <w:r w:rsidR="00D76921" w:rsidRPr="00EB2B73">
        <w:rPr>
          <w:rFonts w:eastAsia="Times New Roman"/>
          <w:sz w:val="24"/>
          <w:szCs w:val="24"/>
          <w:rtl/>
        </w:rPr>
        <w:t>700</w:t>
      </w:r>
      <w:r w:rsidR="00735691" w:rsidRPr="00732562">
        <w:rPr>
          <w:rFonts w:eastAsia="Times New Roman" w:cstheme="majorBidi" w:hint="cs"/>
          <w:sz w:val="24"/>
          <w:szCs w:val="24"/>
          <w:rtl/>
        </w:rPr>
        <w:t xml:space="preserve"> </w:t>
      </w:r>
      <w:r w:rsidR="00C5494F" w:rsidRPr="00732562">
        <w:rPr>
          <w:rFonts w:eastAsia="Times New Roman" w:hint="cs"/>
          <w:sz w:val="24"/>
          <w:szCs w:val="24"/>
          <w:rtl/>
        </w:rPr>
        <w:t xml:space="preserve"> </w:t>
      </w:r>
      <w:r w:rsidR="00D76921" w:rsidRPr="00732562">
        <w:rPr>
          <w:rFonts w:eastAsia="Times New Roman"/>
          <w:sz w:val="24"/>
          <w:szCs w:val="24"/>
          <w:rtl/>
        </w:rPr>
        <w:t xml:space="preserve"> </w:t>
      </w:r>
      <w:r w:rsidR="00C36003" w:rsidRPr="00732562">
        <w:rPr>
          <w:rFonts w:eastAsia="Times New Roman" w:hint="cs"/>
          <w:sz w:val="24"/>
          <w:szCs w:val="24"/>
          <w:rtl/>
        </w:rPr>
        <w:t>ו-</w:t>
      </w:r>
      <w:r w:rsidR="00C36003" w:rsidRPr="00732562">
        <w:rPr>
          <w:rFonts w:eastAsia="Times New Roman" w:cstheme="majorBidi"/>
          <w:sz w:val="24"/>
          <w:szCs w:val="24"/>
        </w:rPr>
        <w:t xml:space="preserve"> </w:t>
      </w:r>
    </w:p>
    <w:p w14:paraId="5C09A65B" w14:textId="4B2EC4C0" w:rsidR="00D94532" w:rsidRPr="00732562" w:rsidRDefault="001F3932" w:rsidP="002209C1">
      <w:pPr>
        <w:shd w:val="clear" w:color="auto" w:fill="FFFFFF"/>
        <w:bidi/>
        <w:spacing w:after="0" w:line="360" w:lineRule="auto"/>
        <w:jc w:val="both"/>
        <w:outlineLvl w:val="3"/>
        <w:rPr>
          <w:rFonts w:cs="Times New Roman"/>
          <w:sz w:val="24"/>
          <w:szCs w:val="24"/>
          <w:rtl/>
        </w:rPr>
      </w:pPr>
      <w:r>
        <w:rPr>
          <w:rFonts w:eastAsia="Times New Roman"/>
          <w:sz w:val="24"/>
          <w:szCs w:val="24"/>
        </w:rPr>
        <w:t xml:space="preserve">ng/L </w:t>
      </w:r>
      <w:r w:rsidR="00C36003" w:rsidRPr="00732562">
        <w:rPr>
          <w:rFonts w:eastAsia="Times New Roman" w:cstheme="majorBidi" w:hint="cs"/>
          <w:sz w:val="24"/>
          <w:szCs w:val="24"/>
          <w:rtl/>
        </w:rPr>
        <w:t xml:space="preserve"> </w:t>
      </w:r>
      <w:r w:rsidRPr="00406847">
        <w:rPr>
          <w:rFonts w:eastAsia="Times New Roman"/>
          <w:sz w:val="24"/>
          <w:szCs w:val="24"/>
          <w:rtl/>
        </w:rPr>
        <w:t>200-35,00</w:t>
      </w:r>
      <w:r>
        <w:rPr>
          <w:rFonts w:eastAsia="Times New Roman" w:cstheme="majorBidi" w:hint="cs"/>
          <w:sz w:val="24"/>
          <w:szCs w:val="24"/>
          <w:rtl/>
        </w:rPr>
        <w:t xml:space="preserve"> </w:t>
      </w:r>
      <w:r w:rsidR="00C36003" w:rsidRPr="00732562">
        <w:rPr>
          <w:rFonts w:eastAsia="Times New Roman" w:hint="cs"/>
          <w:sz w:val="24"/>
          <w:szCs w:val="24"/>
          <w:rtl/>
        </w:rPr>
        <w:t>של המטבוליט</w:t>
      </w:r>
      <w:r w:rsidR="00C36003" w:rsidRPr="00732562">
        <w:rPr>
          <w:rFonts w:eastAsia="Times New Roman" w:cstheme="majorBidi" w:hint="cs"/>
          <w:sz w:val="24"/>
          <w:szCs w:val="24"/>
          <w:rtl/>
        </w:rPr>
        <w:t xml:space="preserve"> </w:t>
      </w:r>
      <w:r w:rsidR="00B00442">
        <w:rPr>
          <w:rFonts w:cs="Times New Roman"/>
          <w:sz w:val="24"/>
          <w:szCs w:val="24"/>
        </w:rPr>
        <w:t>Lamotrigine</w:t>
      </w:r>
      <w:r w:rsidR="00C36003" w:rsidRPr="00732562">
        <w:rPr>
          <w:rFonts w:cs="Times New Roman"/>
          <w:sz w:val="24"/>
          <w:szCs w:val="24"/>
        </w:rPr>
        <w:t>-2NG</w:t>
      </w:r>
      <w:r w:rsidR="00D76921" w:rsidRPr="00732562">
        <w:rPr>
          <w:rFonts w:eastAsia="Times New Roman" w:cstheme="majorBidi" w:hint="cs"/>
          <w:sz w:val="24"/>
          <w:szCs w:val="24"/>
          <w:rtl/>
        </w:rPr>
        <w:t xml:space="preserve"> </w:t>
      </w:r>
      <w:r w:rsidR="003868B9" w:rsidRPr="00732562">
        <w:rPr>
          <w:rFonts w:eastAsia="Times New Roman" w:cstheme="majorBidi"/>
          <w:sz w:val="24"/>
          <w:szCs w:val="24"/>
          <w:rtl/>
        </w:rPr>
        <w:fldChar w:fldCharType="begin" w:fldLock="1"/>
      </w:r>
      <w:r w:rsidR="00A223D6" w:rsidRPr="00732562">
        <w:rPr>
          <w:rFonts w:eastAsia="Times New Roman" w:cstheme="majorBidi"/>
          <w:sz w:val="24"/>
          <w:szCs w:val="24"/>
        </w:rPr>
        <w:instrText>ADDIN CSL_CITATION { "citationItems" : [ { "id" : "ITEM-1", "itemData" : { "author" : [ { "dropping-particle" : "", "family" : "Writer", "given" : "H", "non-dropping-particle" : "", "parse-names" : false, "suffix" : "" }, { "dropping-particle" : "", "family" : "Antweiler", "given" : "Ronald C", "non-dropping-particle" : "", "parse-names" : false, "suffix" : "" }, { "dropping-particle" : "", "family" : "Ferrer", "given" : "Imma", "non-dropping-particle" : "", "parse-names" : false, "suffix" : "" }, { "dropping-particle" : "", "family" : "Ryan", "given" : "Joseph N", "non-dropping-particle" : "", "parse-names" : false, "suffix" : "" }, { "dropping-particle" : "", "family" : "Thurman", "given" : "E Michael", "non-dropping-particle" : "", "parse-names" : false, "suffix" : "" } ], "container-title" : "Environmental Science and Technology", "id" : "ITEM-1", "issued" : { "date-parts" : [ [ "2013" ] ] }, "page" : "9781-9790", "title" : "In-Stream Attenuation of Neuro-Active Pharmaceuticals and Their Metabolites", "type" : "article-journal", "volume" : "47" }, "uris" : [ "http://www.mendeley.com/documents/?uuid=cd0473e8-32dd-457f-8790-5a841e453b14", "http://www.mendeley.com/documents/?uuid=375e9d25-c9d7-4676-9520-f687b3461cdc" ] } ], "mendeley" : { "formattedCitation" : "(Writer et al. 2013)", "plainTextFormattedCitation" : "(Writer et al. 2013)", "previouslyFormattedCitation" : "(Writer et al. 2013)" }, "properties" : { "noteIndex" : 0 }, "schema" : "https://github.com/citation-style-language/schema/raw/master/csl-citation.json" }</w:instrText>
      </w:r>
      <w:r w:rsidR="003868B9" w:rsidRPr="00732562">
        <w:rPr>
          <w:rFonts w:eastAsia="Times New Roman" w:cstheme="majorBidi"/>
          <w:sz w:val="24"/>
          <w:szCs w:val="24"/>
          <w:rtl/>
        </w:rPr>
        <w:fldChar w:fldCharType="separate"/>
      </w:r>
      <w:r w:rsidR="00644CEA" w:rsidRPr="00732562">
        <w:rPr>
          <w:rFonts w:eastAsia="Times New Roman" w:cstheme="majorBidi"/>
          <w:noProof/>
          <w:sz w:val="24"/>
          <w:szCs w:val="24"/>
        </w:rPr>
        <w:t>(Writer et al. 2013)</w:t>
      </w:r>
      <w:r w:rsidR="003868B9" w:rsidRPr="00732562">
        <w:rPr>
          <w:rFonts w:eastAsia="Times New Roman" w:cstheme="majorBidi"/>
          <w:sz w:val="24"/>
          <w:szCs w:val="24"/>
          <w:rtl/>
        </w:rPr>
        <w:fldChar w:fldCharType="end"/>
      </w:r>
      <w:r w:rsidR="004D0A46" w:rsidRPr="00732562">
        <w:rPr>
          <w:rFonts w:eastAsia="Times New Roman" w:cstheme="majorBidi" w:hint="cs"/>
          <w:sz w:val="24"/>
          <w:szCs w:val="24"/>
          <w:rtl/>
        </w:rPr>
        <w:t>.</w:t>
      </w:r>
    </w:p>
    <w:p w14:paraId="3B11FA8E" w14:textId="6B5B6411" w:rsidR="00D94532" w:rsidRPr="00732562" w:rsidRDefault="00D94532" w:rsidP="00851DAF">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סיבה נוספת לדאגה מנוכחות חומרים רפואיים במי הקולחים היא נוכ</w:t>
      </w:r>
      <w:r w:rsidR="007065FD" w:rsidRPr="00732562">
        <w:rPr>
          <w:rFonts w:eastAsia="Times New Roman" w:hint="cs"/>
          <w:sz w:val="24"/>
          <w:szCs w:val="24"/>
          <w:rtl/>
        </w:rPr>
        <w:t>ח</w:t>
      </w:r>
      <w:r w:rsidRPr="00732562">
        <w:rPr>
          <w:rFonts w:eastAsia="Times New Roman" w:hint="cs"/>
          <w:sz w:val="24"/>
          <w:szCs w:val="24"/>
          <w:rtl/>
        </w:rPr>
        <w:t xml:space="preserve">תם </w:t>
      </w:r>
      <w:r w:rsidR="00C269F5" w:rsidRPr="00732562">
        <w:rPr>
          <w:rFonts w:eastAsia="Times New Roman" w:hint="cs"/>
          <w:sz w:val="24"/>
          <w:szCs w:val="24"/>
          <w:rtl/>
        </w:rPr>
        <w:t xml:space="preserve">בקרקעות </w:t>
      </w:r>
      <w:r w:rsidRPr="00732562">
        <w:rPr>
          <w:rFonts w:eastAsia="Times New Roman" w:hint="cs"/>
          <w:sz w:val="24"/>
          <w:szCs w:val="24"/>
          <w:rtl/>
        </w:rPr>
        <w:t>חקלא</w:t>
      </w:r>
      <w:r w:rsidR="00887D2F">
        <w:rPr>
          <w:rFonts w:eastAsia="Times New Roman" w:hint="cs"/>
          <w:sz w:val="24"/>
          <w:szCs w:val="24"/>
          <w:rtl/>
        </w:rPr>
        <w:t>י</w:t>
      </w:r>
      <w:r w:rsidRPr="00732562">
        <w:rPr>
          <w:rFonts w:eastAsia="Times New Roman" w:hint="cs"/>
          <w:sz w:val="24"/>
          <w:szCs w:val="24"/>
          <w:rtl/>
        </w:rPr>
        <w:t xml:space="preserve">ות </w:t>
      </w:r>
      <w:r w:rsidR="0092467E" w:rsidRPr="00732562">
        <w:rPr>
          <w:rFonts w:eastAsia="Times New Roman" w:hint="cs"/>
          <w:sz w:val="24"/>
          <w:szCs w:val="24"/>
          <w:rtl/>
        </w:rPr>
        <w:t>לאחר ההשקיה בקולחים</w:t>
      </w:r>
      <w:r w:rsidR="00C269F5" w:rsidRPr="00732562">
        <w:rPr>
          <w:rFonts w:eastAsia="Times New Roman" w:hint="cs"/>
          <w:sz w:val="24"/>
          <w:szCs w:val="24"/>
          <w:rtl/>
        </w:rPr>
        <w:t>.</w:t>
      </w:r>
      <w:r w:rsidR="0092467E" w:rsidRPr="00732562">
        <w:rPr>
          <w:rFonts w:eastAsia="Times New Roman" w:hint="cs"/>
          <w:sz w:val="24"/>
          <w:szCs w:val="24"/>
          <w:rtl/>
        </w:rPr>
        <w:t xml:space="preserve"> </w:t>
      </w:r>
      <w:r w:rsidRPr="00732562">
        <w:rPr>
          <w:rFonts w:eastAsia="Times New Roman" w:hint="cs"/>
          <w:sz w:val="24"/>
          <w:szCs w:val="24"/>
          <w:rtl/>
        </w:rPr>
        <w:t>במחקר שבדק את</w:t>
      </w:r>
      <w:r w:rsidR="0092467E" w:rsidRPr="00732562">
        <w:rPr>
          <w:rFonts w:eastAsia="Times New Roman" w:hint="cs"/>
          <w:sz w:val="24"/>
          <w:szCs w:val="24"/>
          <w:rtl/>
        </w:rPr>
        <w:t xml:space="preserve"> המצאות </w:t>
      </w:r>
      <w:r w:rsidR="00E32403" w:rsidRPr="00732562">
        <w:rPr>
          <w:rFonts w:eastAsia="Times New Roman" w:hint="cs"/>
          <w:sz w:val="24"/>
          <w:szCs w:val="24"/>
          <w:rtl/>
        </w:rPr>
        <w:t xml:space="preserve">חומרים </w:t>
      </w:r>
      <w:r w:rsidR="0092467E" w:rsidRPr="00732562">
        <w:rPr>
          <w:rFonts w:eastAsia="Times New Roman" w:hint="cs"/>
          <w:sz w:val="24"/>
          <w:szCs w:val="24"/>
          <w:rtl/>
        </w:rPr>
        <w:t xml:space="preserve">רפואיים </w:t>
      </w:r>
      <w:r w:rsidR="00887D2F">
        <w:rPr>
          <w:rFonts w:eastAsia="Times New Roman" w:hint="cs"/>
          <w:sz w:val="24"/>
          <w:szCs w:val="24"/>
          <w:rtl/>
        </w:rPr>
        <w:t>בקרקע</w:t>
      </w:r>
      <w:r w:rsidR="00887D2F" w:rsidRPr="00732562">
        <w:rPr>
          <w:rFonts w:eastAsia="Times New Roman" w:hint="cs"/>
          <w:sz w:val="24"/>
          <w:szCs w:val="24"/>
          <w:rtl/>
        </w:rPr>
        <w:t xml:space="preserve"> </w:t>
      </w:r>
      <w:r w:rsidR="0092467E" w:rsidRPr="00732562">
        <w:rPr>
          <w:rFonts w:eastAsia="Times New Roman" w:hint="cs"/>
          <w:sz w:val="24"/>
          <w:szCs w:val="24"/>
          <w:rtl/>
        </w:rPr>
        <w:t>חקלאית</w:t>
      </w:r>
      <w:r w:rsidR="007065FD" w:rsidRPr="00732562">
        <w:rPr>
          <w:rFonts w:eastAsia="Times New Roman" w:hint="cs"/>
          <w:sz w:val="24"/>
          <w:szCs w:val="24"/>
          <w:rtl/>
        </w:rPr>
        <w:t xml:space="preserve"> </w:t>
      </w:r>
      <w:r w:rsidR="00887D2F">
        <w:rPr>
          <w:rFonts w:eastAsia="Times New Roman" w:hint="cs"/>
          <w:sz w:val="24"/>
          <w:szCs w:val="24"/>
          <w:rtl/>
        </w:rPr>
        <w:t>נמצא</w:t>
      </w:r>
      <w:r w:rsidR="00887D2F" w:rsidRPr="00732562">
        <w:rPr>
          <w:rFonts w:eastAsia="Times New Roman" w:hint="cs"/>
          <w:sz w:val="24"/>
          <w:szCs w:val="24"/>
          <w:rtl/>
        </w:rPr>
        <w:t xml:space="preserve"> </w:t>
      </w:r>
      <w:r w:rsidR="00D33E9C" w:rsidRPr="00732562">
        <w:rPr>
          <w:rFonts w:eastAsia="Times New Roman" w:hint="cs"/>
          <w:sz w:val="24"/>
          <w:szCs w:val="24"/>
          <w:rtl/>
        </w:rPr>
        <w:t>ריכוז</w:t>
      </w:r>
      <w:r w:rsidR="0092467E" w:rsidRPr="00732562">
        <w:rPr>
          <w:rFonts w:eastAsia="Times New Roman" w:hint="cs"/>
          <w:sz w:val="24"/>
          <w:szCs w:val="24"/>
          <w:rtl/>
        </w:rPr>
        <w:t xml:space="preserve"> של </w:t>
      </w:r>
      <w:r w:rsidR="0092467E" w:rsidRPr="00732562">
        <w:rPr>
          <w:rFonts w:eastAsia="Times New Roman"/>
          <w:sz w:val="24"/>
          <w:szCs w:val="24"/>
        </w:rPr>
        <w:t xml:space="preserve">g </w:t>
      </w:r>
      <w:r w:rsidR="0092467E" w:rsidRPr="00732562">
        <w:rPr>
          <w:rFonts w:eastAsia="Times New Roman" w:hint="cs"/>
          <w:sz w:val="24"/>
          <w:szCs w:val="24"/>
          <w:rtl/>
        </w:rPr>
        <w:t>/</w:t>
      </w:r>
      <w:r w:rsidR="0092467E" w:rsidRPr="00732562">
        <w:rPr>
          <w:rFonts w:eastAsia="Times New Roman"/>
          <w:sz w:val="24"/>
          <w:szCs w:val="24"/>
        </w:rPr>
        <w:t xml:space="preserve"> ng</w:t>
      </w:r>
      <w:r w:rsidR="0092467E" w:rsidRPr="00732562">
        <w:rPr>
          <w:rFonts w:eastAsia="Times New Roman" w:hint="cs"/>
          <w:sz w:val="24"/>
          <w:szCs w:val="24"/>
          <w:rtl/>
        </w:rPr>
        <w:t xml:space="preserve">1.2 </w:t>
      </w:r>
      <w:r w:rsidR="00D33E9C" w:rsidRPr="00732562">
        <w:rPr>
          <w:rFonts w:eastAsia="Times New Roman" w:hint="cs"/>
          <w:sz w:val="24"/>
          <w:szCs w:val="24"/>
          <w:rtl/>
        </w:rPr>
        <w:t xml:space="preserve"> </w:t>
      </w:r>
      <w:r w:rsidR="00B00442">
        <w:rPr>
          <w:rFonts w:eastAsia="Times New Roman"/>
          <w:sz w:val="24"/>
          <w:szCs w:val="24"/>
        </w:rPr>
        <w:t>Lamotrigine</w:t>
      </w:r>
      <w:r w:rsidR="00C269F5" w:rsidRPr="00732562">
        <w:rPr>
          <w:rFonts w:eastAsia="Times New Roman" w:hint="cs"/>
          <w:sz w:val="24"/>
          <w:szCs w:val="24"/>
          <w:rtl/>
        </w:rPr>
        <w:t xml:space="preserve">  </w:t>
      </w:r>
      <w:r w:rsidR="0092467E" w:rsidRPr="00732562">
        <w:rPr>
          <w:rFonts w:eastAsia="Times New Roman" w:hint="cs"/>
          <w:sz w:val="24"/>
          <w:szCs w:val="24"/>
          <w:rtl/>
        </w:rPr>
        <w:t>לפני תקופת הגידול ואף גבוה יותר בסוף תקופת הגידול</w:t>
      </w:r>
      <w:r w:rsidR="00E32403" w:rsidRPr="00732562">
        <w:rPr>
          <w:rFonts w:eastAsia="Times New Roman" w:hint="cs"/>
          <w:sz w:val="24"/>
          <w:szCs w:val="24"/>
          <w:rtl/>
        </w:rPr>
        <w:t>,</w:t>
      </w:r>
      <w:r w:rsidR="0092467E" w:rsidRPr="00732562">
        <w:rPr>
          <w:rFonts w:eastAsia="Times New Roman" w:hint="cs"/>
          <w:sz w:val="24"/>
          <w:szCs w:val="24"/>
          <w:rtl/>
        </w:rPr>
        <w:t xml:space="preserve"> מה שמעיד על הצטברות החומר בקרקע </w:t>
      </w:r>
      <w:r w:rsidR="00A223D6" w:rsidRPr="00732562">
        <w:rPr>
          <w:rFonts w:eastAsia="Times New Roman"/>
          <w:sz w:val="24"/>
          <w:szCs w:val="24"/>
          <w:rtl/>
        </w:rPr>
        <w:fldChar w:fldCharType="begin" w:fldLock="1"/>
      </w:r>
      <w:r w:rsidR="00C3410C">
        <w:rPr>
          <w:rFonts w:eastAsia="Times New Roman"/>
          <w:sz w:val="24"/>
          <w:szCs w:val="24"/>
        </w:rPr>
        <w:instrText>ADDIN CSL_CITATION { "citationItems" : [ { "id" : "ITEM-1", "itemData" : { "DOI" : "10.1016/j.envpol.2013.10.038", "ISBN" : "0269-7491", "ISSN" : "18736424", "PMID" : "24286691", "abstract" : "Pharmaceutical compounds (PCs) are introduced into agricultural soils via irrigation with treated wastewater (TWW). Our data show that carbamazepine, lamotrigine, caffeine, metoprolol, sulfamethoxazole and sildenafil are persistent in soils when introduced via TWW. However, other PCs, namely diclofenac, ibuprofen, bezafibrate, gemfibrozil and naproxen were not detected in soils when introduced via TWW. This is likely due to rapid degradation as confirmed in our microcosm studies where they exhibited half-lives (t 1/2) between 0.2-9.5 days when soils were spiked at 50 ng/g soil and between 3 and 68 days when soils were spiked at 5000 ng/g soil. The degradation rate and extent of PCs observed in microcosm studies were similar in soils that had been previously irrigated with TWW or fresh water. This suggests that pre-exposure of the soils to PCs via irrigation with TWW does not enhance their biodegradation. This suggests that PCs are probably degraded in soils via co-metabolism. \u00a9 2013 Elsevier Ltd. All rights reserved.", "author" : [ { "dropping-particle" : "", "family" : "Grossberger", "given" : "Amnon", "non-dropping-particle" : "", "parse-names" : false, "suffix" : "" }, { "dropping-particle" : "", "family" : "Hadar", "given" : "Yitzhak", "non-dropping-particle" : "", "parse-names" : false, "suffix" : "" }, { "dropping-particle" : "", "family" : "Borch", "given" : "Thomas", "non-dropping-particle" : "", "parse-names" : false, "suffix" : "" }, { "dropping-particle" : "", "family" : "Chefetz", "given" : "Benny", "non-dropping-particle" : "", "parse-names" : false, "suffix" : "" } ], "container-title" : "Environmental Pollution", "id" : "ITEM-1", "issued" : { "date-parts" : [ [ "2014" ] ] }, "page" : "168-177", "publisher" : "Elsevier Ltd", "title" : "Biodegradability of pharmaceutical compounds in agricultural soils irrigated with treated wastewater", "type" : "article-journal", "volume" : "185" }, "uris" : [ "http://www.mendeley.com/documents/?uuid=56d96fe6-dcd9-4fe9-94ca-9f1c9ffc21a6" ] } ], "mendeley" : { "formattedCitation" : "(Grossberger et al. 2014)", "manualFormatting" : "(Grossberger et al., 2014)", "plainTextFormattedCitation" : "(Grossberger et al. 2014)", "previouslyFormattedCitation" : "(Grossberger et al. 2014)" }, "properties" : { "noteIndex" : 0 }, "schema" : "https://github.com/citation-style-language/schema/raw/master/csl-citation.json" }</w:instrText>
      </w:r>
      <w:r w:rsidR="00A223D6" w:rsidRPr="00732562">
        <w:rPr>
          <w:rFonts w:eastAsia="Times New Roman"/>
          <w:sz w:val="24"/>
          <w:szCs w:val="24"/>
          <w:rtl/>
        </w:rPr>
        <w:fldChar w:fldCharType="separate"/>
      </w:r>
      <w:r w:rsidR="00A223D6" w:rsidRPr="00732562">
        <w:rPr>
          <w:rFonts w:eastAsia="Times New Roman"/>
          <w:noProof/>
          <w:sz w:val="24"/>
          <w:szCs w:val="24"/>
          <w:rtl/>
        </w:rPr>
        <w:t>(</w:t>
      </w:r>
      <w:r w:rsidR="00A223D6" w:rsidRPr="00732562">
        <w:rPr>
          <w:rFonts w:eastAsia="Times New Roman"/>
          <w:noProof/>
          <w:sz w:val="24"/>
          <w:szCs w:val="24"/>
        </w:rPr>
        <w:t>Grossberger et al.</w:t>
      </w:r>
      <w:r w:rsidR="00C269F5" w:rsidRPr="00732562">
        <w:rPr>
          <w:rFonts w:eastAsia="Times New Roman"/>
          <w:noProof/>
          <w:sz w:val="24"/>
          <w:szCs w:val="24"/>
        </w:rPr>
        <w:t>,</w:t>
      </w:r>
      <w:r w:rsidR="00A223D6" w:rsidRPr="00732562">
        <w:rPr>
          <w:rFonts w:eastAsia="Times New Roman"/>
          <w:noProof/>
          <w:sz w:val="24"/>
          <w:szCs w:val="24"/>
        </w:rPr>
        <w:t xml:space="preserve"> 2014</w:t>
      </w:r>
      <w:r w:rsidR="00A223D6" w:rsidRPr="00732562">
        <w:rPr>
          <w:rFonts w:eastAsia="Times New Roman"/>
          <w:noProof/>
          <w:sz w:val="24"/>
          <w:szCs w:val="24"/>
          <w:rtl/>
        </w:rPr>
        <w:t>)</w:t>
      </w:r>
      <w:r w:rsidR="00A223D6" w:rsidRPr="00732562">
        <w:rPr>
          <w:rFonts w:eastAsia="Times New Roman"/>
          <w:sz w:val="24"/>
          <w:szCs w:val="24"/>
          <w:rtl/>
        </w:rPr>
        <w:fldChar w:fldCharType="end"/>
      </w:r>
      <w:r w:rsidR="00A223D6" w:rsidRPr="00732562">
        <w:rPr>
          <w:rFonts w:eastAsia="Times New Roman" w:hint="cs"/>
          <w:sz w:val="24"/>
          <w:szCs w:val="24"/>
          <w:rtl/>
        </w:rPr>
        <w:t>.</w:t>
      </w:r>
      <w:r w:rsidR="00B16606" w:rsidRPr="00732562">
        <w:rPr>
          <w:rFonts w:eastAsia="Times New Roman" w:hint="cs"/>
          <w:sz w:val="24"/>
          <w:szCs w:val="24"/>
          <w:rtl/>
        </w:rPr>
        <w:t xml:space="preserve"> מחקר אחר </w:t>
      </w:r>
      <w:r w:rsidR="00887D2F">
        <w:rPr>
          <w:rFonts w:eastAsia="Times New Roman" w:hint="cs"/>
          <w:sz w:val="24"/>
          <w:szCs w:val="24"/>
          <w:rtl/>
        </w:rPr>
        <w:t>שעסק</w:t>
      </w:r>
      <w:r w:rsidR="00887D2F" w:rsidRPr="00732562">
        <w:rPr>
          <w:rFonts w:eastAsia="Times New Roman" w:hint="cs"/>
          <w:sz w:val="24"/>
          <w:szCs w:val="24"/>
          <w:rtl/>
        </w:rPr>
        <w:t xml:space="preserve"> </w:t>
      </w:r>
      <w:r w:rsidR="00B16606" w:rsidRPr="00732562">
        <w:rPr>
          <w:rFonts w:eastAsia="Times New Roman" w:hint="cs"/>
          <w:sz w:val="24"/>
          <w:szCs w:val="24"/>
          <w:rtl/>
        </w:rPr>
        <w:t xml:space="preserve">ב </w:t>
      </w:r>
      <w:r w:rsidR="00B00442">
        <w:rPr>
          <w:rFonts w:eastAsia="Times New Roman" w:hint="cs"/>
          <w:sz w:val="24"/>
          <w:szCs w:val="24"/>
        </w:rPr>
        <w:t>Lamotrigine</w:t>
      </w:r>
      <w:r w:rsidR="00B16606" w:rsidRPr="00732562">
        <w:rPr>
          <w:rFonts w:eastAsia="Times New Roman" w:hint="cs"/>
          <w:sz w:val="24"/>
          <w:szCs w:val="24"/>
          <w:rtl/>
        </w:rPr>
        <w:t xml:space="preserve">, </w:t>
      </w:r>
      <w:r w:rsidR="00887D2F">
        <w:rPr>
          <w:rFonts w:eastAsia="Times New Roman" w:hint="cs"/>
          <w:sz w:val="24"/>
          <w:szCs w:val="24"/>
          <w:rtl/>
        </w:rPr>
        <w:t>וב</w:t>
      </w:r>
      <w:r w:rsidR="00E32403" w:rsidRPr="00732562">
        <w:rPr>
          <w:rFonts w:eastAsia="Times New Roman" w:hint="cs"/>
          <w:sz w:val="24"/>
          <w:szCs w:val="24"/>
          <w:rtl/>
        </w:rPr>
        <w:t>תרופה נוגדת פרכוסים נוספת</w:t>
      </w:r>
      <w:r w:rsidR="00B16606" w:rsidRPr="00732562">
        <w:rPr>
          <w:rFonts w:eastAsia="Times New Roman" w:hint="cs"/>
          <w:sz w:val="24"/>
          <w:szCs w:val="24"/>
          <w:rtl/>
        </w:rPr>
        <w:t xml:space="preserve"> </w:t>
      </w:r>
      <w:r w:rsidR="001757CE">
        <w:rPr>
          <w:rFonts w:cs="Times New Roman" w:hint="cs"/>
          <w:sz w:val="24"/>
          <w:szCs w:val="24"/>
        </w:rPr>
        <w:t>C</w:t>
      </w:r>
      <w:r w:rsidR="00B16606" w:rsidRPr="00732562">
        <w:rPr>
          <w:rFonts w:cs="Times New Roman"/>
          <w:sz w:val="24"/>
          <w:szCs w:val="24"/>
        </w:rPr>
        <w:t>arbamazepine</w:t>
      </w:r>
      <w:r w:rsidR="00B16606" w:rsidRPr="00732562">
        <w:rPr>
          <w:rFonts w:eastAsia="Times New Roman" w:hint="cs"/>
          <w:sz w:val="24"/>
          <w:szCs w:val="24"/>
          <w:rtl/>
        </w:rPr>
        <w:t xml:space="preserve"> והמטבולטים שלה מצא שהספיחה של </w:t>
      </w:r>
      <w:r w:rsidR="00B00442">
        <w:rPr>
          <w:rFonts w:eastAsia="Times New Roman" w:hint="cs"/>
          <w:sz w:val="24"/>
          <w:szCs w:val="24"/>
        </w:rPr>
        <w:t>Lamotrigine</w:t>
      </w:r>
      <w:r w:rsidR="00B16606" w:rsidRPr="00732562">
        <w:rPr>
          <w:rFonts w:eastAsia="Times New Roman" w:hint="cs"/>
          <w:sz w:val="24"/>
          <w:szCs w:val="24"/>
          <w:rtl/>
        </w:rPr>
        <w:t xml:space="preserve"> לקרקעות שונות היא הגדולה ביותר </w:t>
      </w:r>
      <w:r w:rsidR="00B16606" w:rsidRPr="00732562">
        <w:rPr>
          <w:rFonts w:eastAsia="Times New Roman"/>
          <w:sz w:val="24"/>
          <w:szCs w:val="24"/>
          <w:rtl/>
        </w:rPr>
        <w:fldChar w:fldCharType="begin" w:fldLock="1"/>
      </w:r>
      <w:r w:rsidR="00C3410C">
        <w:rPr>
          <w:rFonts w:eastAsia="Times New Roman"/>
          <w:sz w:val="24"/>
          <w:szCs w:val="24"/>
        </w:rPr>
        <w:instrText>ADDIN CSL_CITATION { "citationItems" : [ { "id" : "ITEM-1", "itemData" : { "DOI" : "10.1016/j.chemosphere.2016.06.048", "ISSN" : "18791298", "abstract" : "Irrigation with reclaimed wastewater may result in the ubiquitous presence of pharmaceutical compounds (PCs) and their metabolites in the agroecosystem. In this study, we focused on two highly persistent anticonvulsant drugs, lamotrigine and carbamazepine and two of its metabolites (EP-CBZ and DiOH-CBZ), aiming to elucidate their behavior in agricultural ecosystem using batch and lysimeter experiments. Sorption of the studied compounds by soils was found to be governed mainly by the soil organic matter level. Sorption affinity of compounds to soils followed the order lamotrigine\u00a0&gt;\u00a0carbamazepine\u00a0&gt;\u00a0EP-CBZ\u00a0&gt;\u00a0DiOH-CBZ. Sorption was reversible, and no competition between sorbates in bi-solute systems was observed. The results of the lysimeter studies were in accordance with batch experiment findings, demonstrating accumulation of lamotrigine and carbamazepine in top soil layers enriched with organic matter. Detection of carbamazepine and one of its metabolites in rain-fed wheat previously irrigated with reclaimed wastewater, indicates reversibility of their sorption, resulting in their potential leaching and their availability for plant uptake. This study demonstrates the long-term implication of introduction of PCs to the agroecosystem.", "author" : [ { "dropping-particle" : "", "family" : "Paz", "given" : "Anat", "non-dropping-particle" : "", "parse-names" : false, "suffix" : "" }, { "dropping-particle" : "", "family" : "Tadmor", "given" : "Galit", "non-dropping-particle" : "", "parse-names" : false, "suffix" : "" }, { "dropping-particle" : "", "family" : "Malchi", "given" : "Tomer", "non-dropping-particle" : "", "parse-names" : false, "suffix" : "" }, { "dropping-particle" : "", "family" : "Blotevogel", "given" : "Jens", "non-dropping-particle" : "", "parse-names" : false, "suffix" : "" }, { "dropping-particle" : "", "family" : "Borch", "given" : "Thomas", "non-dropping-particle" : "", "parse-names" : false, "suffix" : "" }, { "dropping-particle" : "", "family" : "Polubesova", "given" : "Tamara", "non-dropping-particle" : "", "parse-names" : false, "suffix" : "" }, { "dropping-particle" : "", "family" : "Chefetz", "given" : "Benny", "non-dropping-particle" : "", "parse-names" : false, "suffix" : "" } ], "container-title" : "Chemosphere", "id" : "ITEM-1", "issued" : { "date-parts" : [ [ "2016" ] ] }, "page" : "22-29", "publisher" : "Elsevier Ltd", "title" : "Fate of carbamazepine, its metabolites, and lamotrigine in soils irrigated with reclaimed wastewater: Sorption, leaching and plant uptake", "type" : "article-journal", "volume" : "160" }, "uris" : [ "http://www.mendeley.com/documents/?uuid=18f73472-b88e-4cfd-9ee8-2a2b0980fd4b" ] } ], "mendeley" : { "formattedCitation" : "(Paz et al. 2016)", "manualFormatting" : "(Paz et al., 2016)", "plainTextFormattedCitation" : "(Paz et al. 2016)", "previouslyFormattedCitation" : "(Paz et al. 2016)" }, "properties" : { "noteIndex" : 0 }, "schema" : "https://github.com/citation-style-language/schema/raw/master/csl-citation.json" }</w:instrText>
      </w:r>
      <w:r w:rsidR="00B16606" w:rsidRPr="00732562">
        <w:rPr>
          <w:rFonts w:eastAsia="Times New Roman"/>
          <w:sz w:val="24"/>
          <w:szCs w:val="24"/>
          <w:rtl/>
        </w:rPr>
        <w:fldChar w:fldCharType="separate"/>
      </w:r>
      <w:r w:rsidR="00B16606" w:rsidRPr="00732562">
        <w:rPr>
          <w:rFonts w:eastAsia="Times New Roman"/>
          <w:noProof/>
          <w:sz w:val="24"/>
          <w:szCs w:val="24"/>
          <w:rtl/>
        </w:rPr>
        <w:t>(</w:t>
      </w:r>
      <w:r w:rsidR="00B16606" w:rsidRPr="00732562">
        <w:rPr>
          <w:rFonts w:eastAsia="Times New Roman"/>
          <w:noProof/>
          <w:sz w:val="24"/>
          <w:szCs w:val="24"/>
        </w:rPr>
        <w:t>Paz et al.</w:t>
      </w:r>
      <w:r w:rsidR="00C269F5" w:rsidRPr="00732562">
        <w:rPr>
          <w:rFonts w:eastAsia="Times New Roman"/>
          <w:noProof/>
          <w:sz w:val="24"/>
          <w:szCs w:val="24"/>
        </w:rPr>
        <w:t>,</w:t>
      </w:r>
      <w:r w:rsidR="00B16606" w:rsidRPr="00732562">
        <w:rPr>
          <w:rFonts w:eastAsia="Times New Roman"/>
          <w:noProof/>
          <w:sz w:val="24"/>
          <w:szCs w:val="24"/>
        </w:rPr>
        <w:t xml:space="preserve"> 2016</w:t>
      </w:r>
      <w:r w:rsidR="00B16606" w:rsidRPr="00732562">
        <w:rPr>
          <w:rFonts w:eastAsia="Times New Roman"/>
          <w:noProof/>
          <w:sz w:val="24"/>
          <w:szCs w:val="24"/>
          <w:rtl/>
        </w:rPr>
        <w:t>)</w:t>
      </w:r>
      <w:r w:rsidR="00B16606" w:rsidRPr="00732562">
        <w:rPr>
          <w:rFonts w:eastAsia="Times New Roman"/>
          <w:sz w:val="24"/>
          <w:szCs w:val="24"/>
          <w:rtl/>
        </w:rPr>
        <w:fldChar w:fldCharType="end"/>
      </w:r>
      <w:r w:rsidR="00B16606" w:rsidRPr="00732562">
        <w:rPr>
          <w:rFonts w:eastAsia="Times New Roman" w:hint="cs"/>
          <w:sz w:val="24"/>
          <w:szCs w:val="24"/>
          <w:rtl/>
        </w:rPr>
        <w:t xml:space="preserve">. </w:t>
      </w:r>
      <w:r w:rsidR="00A223D6" w:rsidRPr="00732562">
        <w:rPr>
          <w:rFonts w:eastAsia="Times New Roman" w:hint="cs"/>
          <w:sz w:val="24"/>
          <w:szCs w:val="24"/>
          <w:rtl/>
        </w:rPr>
        <w:t>בנוסף לנוכחותם בקרקע</w:t>
      </w:r>
      <w:r w:rsidR="00E32403" w:rsidRPr="00732562">
        <w:rPr>
          <w:rFonts w:eastAsia="Times New Roman" w:hint="cs"/>
          <w:sz w:val="24"/>
          <w:szCs w:val="24"/>
          <w:rtl/>
        </w:rPr>
        <w:t>,</w:t>
      </w:r>
      <w:r w:rsidR="00A223D6" w:rsidRPr="00732562">
        <w:rPr>
          <w:rFonts w:eastAsia="Times New Roman" w:hint="cs"/>
          <w:sz w:val="24"/>
          <w:szCs w:val="24"/>
          <w:rtl/>
        </w:rPr>
        <w:t xml:space="preserve"> החומרים יכול</w:t>
      </w:r>
      <w:r w:rsidR="0082037A" w:rsidRPr="00732562">
        <w:rPr>
          <w:rFonts w:eastAsia="Times New Roman" w:hint="cs"/>
          <w:sz w:val="24"/>
          <w:szCs w:val="24"/>
          <w:rtl/>
        </w:rPr>
        <w:t>ים</w:t>
      </w:r>
      <w:r w:rsidR="00A223D6" w:rsidRPr="00732562">
        <w:rPr>
          <w:rFonts w:eastAsia="Times New Roman" w:hint="cs"/>
          <w:sz w:val="24"/>
          <w:szCs w:val="24"/>
          <w:rtl/>
        </w:rPr>
        <w:t xml:space="preserve"> </w:t>
      </w:r>
      <w:r w:rsidR="00380800" w:rsidRPr="00732562">
        <w:rPr>
          <w:rFonts w:eastAsia="Times New Roman" w:hint="cs"/>
          <w:sz w:val="24"/>
          <w:szCs w:val="24"/>
          <w:rtl/>
        </w:rPr>
        <w:t>להיקל</w:t>
      </w:r>
      <w:r w:rsidR="00380800" w:rsidRPr="00732562">
        <w:rPr>
          <w:rFonts w:eastAsia="Times New Roman" w:hint="eastAsia"/>
          <w:sz w:val="24"/>
          <w:szCs w:val="24"/>
          <w:rtl/>
        </w:rPr>
        <w:t>ט</w:t>
      </w:r>
      <w:r w:rsidRPr="00732562">
        <w:rPr>
          <w:rFonts w:eastAsia="Times New Roman" w:hint="cs"/>
          <w:sz w:val="24"/>
          <w:szCs w:val="24"/>
          <w:rtl/>
        </w:rPr>
        <w:t xml:space="preserve"> על ידי צמחים. מחקר שבדק את הצטברותם של חומרים רפואיי</w:t>
      </w:r>
      <w:r w:rsidRPr="00732562">
        <w:rPr>
          <w:rFonts w:eastAsia="Times New Roman" w:hint="eastAsia"/>
          <w:sz w:val="24"/>
          <w:szCs w:val="24"/>
          <w:rtl/>
        </w:rPr>
        <w:t>ם</w:t>
      </w:r>
      <w:r w:rsidRPr="00732562">
        <w:rPr>
          <w:rFonts w:eastAsia="Times New Roman" w:hint="cs"/>
          <w:sz w:val="24"/>
          <w:szCs w:val="24"/>
          <w:rtl/>
        </w:rPr>
        <w:t xml:space="preserve"> בירקות שורש, בעת השקיה בקולחים במערך ליזימטרים, מצא שחומרים רפואיי</w:t>
      </w:r>
      <w:r w:rsidRPr="00732562">
        <w:rPr>
          <w:rFonts w:eastAsia="Times New Roman" w:hint="eastAsia"/>
          <w:sz w:val="24"/>
          <w:szCs w:val="24"/>
          <w:rtl/>
        </w:rPr>
        <w:t>ם</w:t>
      </w:r>
      <w:r w:rsidRPr="00732562">
        <w:rPr>
          <w:rFonts w:eastAsia="Times New Roman" w:hint="cs"/>
          <w:sz w:val="24"/>
          <w:szCs w:val="24"/>
          <w:rtl/>
        </w:rPr>
        <w:t xml:space="preserve"> הצטברו בשורשים ובעלים. </w:t>
      </w:r>
      <w:r w:rsidR="00B00442">
        <w:rPr>
          <w:rFonts w:eastAsia="Times New Roman" w:cstheme="majorBidi"/>
          <w:sz w:val="24"/>
          <w:szCs w:val="24"/>
        </w:rPr>
        <w:t>Lamotrigine</w:t>
      </w:r>
      <w:r w:rsidRPr="00732562">
        <w:rPr>
          <w:rFonts w:eastAsia="Times New Roman" w:hint="cs"/>
          <w:sz w:val="24"/>
          <w:szCs w:val="24"/>
          <w:rtl/>
        </w:rPr>
        <w:t xml:space="preserve"> נמצא בריכוז של</w:t>
      </w:r>
      <w:r w:rsidRPr="00732562">
        <w:rPr>
          <w:rFonts w:eastAsia="Times New Roman" w:cstheme="majorBidi"/>
          <w:sz w:val="24"/>
          <w:szCs w:val="24"/>
        </w:rPr>
        <w:t xml:space="preserve">ng/g </w:t>
      </w:r>
      <w:r w:rsidRPr="00732562">
        <w:rPr>
          <w:rFonts w:eastAsia="Times New Roman" w:cstheme="majorBidi"/>
          <w:sz w:val="24"/>
          <w:szCs w:val="24"/>
          <w:rtl/>
        </w:rPr>
        <w:t xml:space="preserve"> </w:t>
      </w:r>
      <w:r w:rsidRPr="00732562">
        <w:rPr>
          <w:rFonts w:eastAsia="Times New Roman" w:hint="cs"/>
          <w:sz w:val="24"/>
          <w:szCs w:val="24"/>
          <w:rtl/>
        </w:rPr>
        <w:t>0.416 בשורש גזר ו-</w:t>
      </w:r>
      <w:r w:rsidRPr="00732562">
        <w:rPr>
          <w:rFonts w:eastAsia="Times New Roman"/>
          <w:sz w:val="24"/>
          <w:szCs w:val="24"/>
        </w:rPr>
        <w:t xml:space="preserve"> </w:t>
      </w:r>
      <w:r w:rsidRPr="00732562">
        <w:rPr>
          <w:rFonts w:eastAsia="Times New Roman" w:cstheme="majorBidi"/>
          <w:sz w:val="24"/>
          <w:szCs w:val="24"/>
        </w:rPr>
        <w:t>ng/g</w:t>
      </w:r>
      <w:r w:rsidRPr="00732562">
        <w:rPr>
          <w:rFonts w:eastAsia="Times New Roman"/>
          <w:sz w:val="24"/>
          <w:szCs w:val="24"/>
        </w:rPr>
        <w:t xml:space="preserve"> </w:t>
      </w:r>
      <w:r w:rsidRPr="00732562">
        <w:rPr>
          <w:rFonts w:eastAsia="Times New Roman" w:hint="cs"/>
          <w:sz w:val="24"/>
          <w:szCs w:val="24"/>
          <w:rtl/>
        </w:rPr>
        <w:t xml:space="preserve">0.983 בעלים של גזר </w:t>
      </w:r>
      <w:r w:rsidRPr="00732562">
        <w:rPr>
          <w:rFonts w:eastAsia="Times New Roman" w:cstheme="majorBidi"/>
          <w:sz w:val="24"/>
          <w:szCs w:val="24"/>
          <w:rtl/>
        </w:rPr>
        <w:fldChar w:fldCharType="begin" w:fldLock="1"/>
      </w:r>
      <w:r w:rsidR="00C3410C">
        <w:rPr>
          <w:rFonts w:eastAsia="Times New Roman" w:cstheme="majorBidi"/>
          <w:sz w:val="24"/>
          <w:szCs w:val="24"/>
        </w:rPr>
        <w:instrText>ADDIN CSL_CITATION { "citationItems" : [ { "id" : "ITEM-1", "itemData" : { "DOI" : "10.1021/es5017894", "ISBN" : "9728947518",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and Technology", "id" : "ITEM-1", "issued" : { "date-parts" : [ [ "2014" ] ] }, "page" : "9325-9333", "title" : "Irrigation of root vegetables with treated wastewater: Evaluating uptake of pharmaceuticals and the associated human health risks", "type" : "article-journal", "volume" : "48" }, "uris" : [ "http://www.mendeley.com/documents/?uuid=d5b71c31-2c7b-3f6d-9b2d-f69f00592a1d", "http://www.mendeley.com/documents/?uuid=94efbcdd-0a70-4ef9-9078-5811729f6d2b" ] } ], "mendeley" : { "formattedCitation" : "(Malchi et al. 2014)", "manualFormatting" : "(Malchi et al., 2014)", "plainTextFormattedCitation" : "(Malchi et al. 2014)", "previouslyFormattedCitation" : "(Malchi et al. 2014)" }, "properties" : { "noteIndex" : 0 }, "schema" : "https://github.com/citation-style-language/schema/raw/master/csl-citation.json" }</w:instrText>
      </w:r>
      <w:r w:rsidRPr="00732562">
        <w:rPr>
          <w:rFonts w:eastAsia="Times New Roman" w:cstheme="majorBidi"/>
          <w:sz w:val="24"/>
          <w:szCs w:val="24"/>
          <w:rtl/>
        </w:rPr>
        <w:fldChar w:fldCharType="separate"/>
      </w:r>
      <w:r w:rsidRPr="00732562">
        <w:rPr>
          <w:rFonts w:eastAsia="Times New Roman" w:cstheme="majorBidi"/>
          <w:noProof/>
          <w:sz w:val="24"/>
          <w:szCs w:val="24"/>
        </w:rPr>
        <w:t>(Malchi et al.</w:t>
      </w:r>
      <w:r w:rsidR="00C269F5" w:rsidRPr="00732562">
        <w:rPr>
          <w:rFonts w:eastAsia="Times New Roman" w:cstheme="majorBidi"/>
          <w:noProof/>
          <w:sz w:val="24"/>
          <w:szCs w:val="24"/>
        </w:rPr>
        <w:t>,</w:t>
      </w:r>
      <w:r w:rsidRPr="00732562">
        <w:rPr>
          <w:rFonts w:eastAsia="Times New Roman" w:cstheme="majorBidi"/>
          <w:noProof/>
          <w:sz w:val="24"/>
          <w:szCs w:val="24"/>
        </w:rPr>
        <w:t xml:space="preserve"> 2014)</w:t>
      </w:r>
      <w:r w:rsidRPr="00732562">
        <w:rPr>
          <w:rFonts w:eastAsia="Times New Roman" w:cstheme="majorBidi"/>
          <w:sz w:val="24"/>
          <w:szCs w:val="24"/>
          <w:rtl/>
        </w:rPr>
        <w:fldChar w:fldCharType="end"/>
      </w:r>
      <w:r w:rsidR="004C7482" w:rsidRPr="00732562">
        <w:rPr>
          <w:rFonts w:eastAsia="Times New Roman" w:hint="cs"/>
          <w:sz w:val="24"/>
          <w:szCs w:val="24"/>
          <w:rtl/>
        </w:rPr>
        <w:t xml:space="preserve">, מחקר נוסף שבדק בין היתר נוכחות של </w:t>
      </w:r>
      <w:r w:rsidR="00B00442">
        <w:rPr>
          <w:rFonts w:eastAsia="Times New Roman" w:hint="cs"/>
          <w:sz w:val="24"/>
          <w:szCs w:val="24"/>
        </w:rPr>
        <w:t>Lamotrigine</w:t>
      </w:r>
      <w:r w:rsidR="004C7482" w:rsidRPr="00732562">
        <w:rPr>
          <w:rFonts w:eastAsia="Times New Roman" w:hint="cs"/>
          <w:sz w:val="24"/>
          <w:szCs w:val="24"/>
          <w:rtl/>
        </w:rPr>
        <w:t xml:space="preserve"> בעגבניי</w:t>
      </w:r>
      <w:r w:rsidR="004C7482" w:rsidRPr="00732562">
        <w:rPr>
          <w:rFonts w:eastAsia="Times New Roman" w:hint="eastAsia"/>
          <w:sz w:val="24"/>
          <w:szCs w:val="24"/>
          <w:rtl/>
        </w:rPr>
        <w:t>ה</w:t>
      </w:r>
      <w:r w:rsidR="004C7482" w:rsidRPr="00732562">
        <w:rPr>
          <w:rFonts w:eastAsia="Times New Roman" w:hint="cs"/>
          <w:sz w:val="24"/>
          <w:szCs w:val="24"/>
          <w:rtl/>
        </w:rPr>
        <w:t xml:space="preserve"> ומלפפון מצא גם כן נוכחת של החומר בעלים ובפרי עצמו במקרה של מלפפון</w:t>
      </w:r>
      <w:r w:rsidR="0082037A" w:rsidRPr="00732562">
        <w:rPr>
          <w:rFonts w:eastAsia="Times New Roman" w:hint="cs"/>
          <w:sz w:val="24"/>
          <w:szCs w:val="24"/>
          <w:rtl/>
        </w:rPr>
        <w:t>,</w:t>
      </w:r>
      <w:r w:rsidR="004C7482" w:rsidRPr="00732562">
        <w:rPr>
          <w:rFonts w:eastAsia="Times New Roman" w:hint="cs"/>
          <w:sz w:val="24"/>
          <w:szCs w:val="24"/>
          <w:rtl/>
        </w:rPr>
        <w:t xml:space="preserve"> ואילו בעלים בלבד במקרה של עגבנייה </w:t>
      </w:r>
      <w:r w:rsidR="004C7482" w:rsidRPr="00732562">
        <w:rPr>
          <w:rFonts w:eastAsia="Times New Roman"/>
          <w:sz w:val="24"/>
          <w:szCs w:val="24"/>
          <w:rtl/>
        </w:rPr>
        <w:fldChar w:fldCharType="begin" w:fldLock="1"/>
      </w:r>
      <w:r w:rsidR="00C3410C">
        <w:rPr>
          <w:rFonts w:eastAsia="Times New Roman"/>
          <w:sz w:val="24"/>
          <w:szCs w:val="24"/>
        </w:rPr>
        <w:instrText>ADDIN CSL_CITATION { "citationItems" : [ { "id" : "ITEM-1", "itemData" : { "DOI" : "10.1021/es5008615", "ISBN" : "9728947518", "ISSN" : "15205851", "PMID" : "24749778", "abstract" : "An increasing number of reports on plant uptake of pharmaceutical compounds (PCs) have been recently published, raising concerns of human exposure through dietary intake. In this study, PC uptake and translocation were evaluated in cucumber and tomato plants to elucidate the effects of PC physicochemical properties, soil type, and irrigation-water quality. Nonionic PCs were taken up and accumulated at higher levels in plants grown in soils of lower organic matter and clay content. While the concentration of most PCs in cucumber and tomato leaves were of similar order, their concentrations in the tomato fruit were much lower than in the cucumber fruit. This is related to differences in fruit physiology. Our data suggest that irrigation with treated wastewater reduces the bioavailability of acidic PCs for uptake by cucumber plants as compared to fresh water irrigation. This study sheds light on factors affecting the uptake of PCs by crops irrigated with treated wastewater, the governing role of PCs' physicochemical properties along with the physiological nature of the plant, soil properties and water quality that together determine uptake, translocation, and accumulation within plant organs. Occurrence of metabolites in plant suggests that PC metabolism has to be evaluated to reveal the total uptake.", "author" : [ { "dropping-particle" : "", "family" : "Goldstein", "given" : "Myah",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and Technology", "id" : "ITEM-1", "issue" : "10", "issued" : { "date-parts" : [ [ "2014" ] ] }, "page" : "5593-5600", "title" : "Insights into the uptake processes of wastewater-borne pharmaceuticals by vegetables", "type" : "article-journal", "volume" : "48" }, "uris" : [ "http://www.mendeley.com/documents/?uuid=4899948e-81f8-4f47-9f17-8ae984264bf9" ] } ], "mendeley" : { "formattedCitation" : "(Goldstein et al. 2014)", "manualFormatting" : "(Goldstein et al., 2014)", "plainTextFormattedCitation" : "(Goldstein et al. 2014)", "previouslyFormattedCitation" : "(Goldstein et al. 2014)" }, "properties" : { "noteIndex" : 0 }, "schema" : "https://github.com/citation-style-language/schema/raw/master/csl-citation.json" }</w:instrText>
      </w:r>
      <w:r w:rsidR="004C7482" w:rsidRPr="00732562">
        <w:rPr>
          <w:rFonts w:eastAsia="Times New Roman"/>
          <w:sz w:val="24"/>
          <w:szCs w:val="24"/>
          <w:rtl/>
        </w:rPr>
        <w:fldChar w:fldCharType="separate"/>
      </w:r>
      <w:r w:rsidR="004C7482" w:rsidRPr="00732562">
        <w:rPr>
          <w:rFonts w:eastAsia="Times New Roman"/>
          <w:noProof/>
          <w:sz w:val="24"/>
          <w:szCs w:val="24"/>
          <w:rtl/>
        </w:rPr>
        <w:t>(</w:t>
      </w:r>
      <w:r w:rsidR="004C7482" w:rsidRPr="00732562">
        <w:rPr>
          <w:rFonts w:eastAsia="Times New Roman"/>
          <w:noProof/>
          <w:sz w:val="24"/>
          <w:szCs w:val="24"/>
        </w:rPr>
        <w:t>Goldstein et al.</w:t>
      </w:r>
      <w:r w:rsidR="00C269F5" w:rsidRPr="00732562">
        <w:rPr>
          <w:rFonts w:eastAsia="Times New Roman"/>
          <w:noProof/>
          <w:sz w:val="24"/>
          <w:szCs w:val="24"/>
        </w:rPr>
        <w:t>,</w:t>
      </w:r>
      <w:r w:rsidR="004C7482" w:rsidRPr="00732562">
        <w:rPr>
          <w:rFonts w:eastAsia="Times New Roman"/>
          <w:noProof/>
          <w:sz w:val="24"/>
          <w:szCs w:val="24"/>
        </w:rPr>
        <w:t xml:space="preserve"> 2014</w:t>
      </w:r>
      <w:r w:rsidR="004C7482" w:rsidRPr="00732562">
        <w:rPr>
          <w:rFonts w:eastAsia="Times New Roman"/>
          <w:noProof/>
          <w:sz w:val="24"/>
          <w:szCs w:val="24"/>
          <w:rtl/>
        </w:rPr>
        <w:t>)</w:t>
      </w:r>
      <w:r w:rsidR="004C7482" w:rsidRPr="00732562">
        <w:rPr>
          <w:rFonts w:eastAsia="Times New Roman"/>
          <w:sz w:val="24"/>
          <w:szCs w:val="24"/>
          <w:rtl/>
        </w:rPr>
        <w:fldChar w:fldCharType="end"/>
      </w:r>
      <w:r w:rsidR="004C7482" w:rsidRPr="00732562">
        <w:rPr>
          <w:rFonts w:eastAsia="Times New Roman" w:hint="cs"/>
          <w:sz w:val="24"/>
          <w:szCs w:val="24"/>
          <w:rtl/>
        </w:rPr>
        <w:t>.</w:t>
      </w:r>
    </w:p>
    <w:p w14:paraId="3BC5E7F6" w14:textId="1C6D5FB9" w:rsidR="006D3BB7" w:rsidRPr="00732562" w:rsidRDefault="009A0F43" w:rsidP="00F32898">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 xml:space="preserve">שימוש </w:t>
      </w:r>
      <w:r w:rsidR="00C269F5" w:rsidRPr="00732562">
        <w:rPr>
          <w:rFonts w:eastAsia="Times New Roman" w:hint="cs"/>
          <w:sz w:val="24"/>
          <w:szCs w:val="24"/>
          <w:rtl/>
        </w:rPr>
        <w:t>ב</w:t>
      </w:r>
      <w:r w:rsidR="00B65D0B" w:rsidRPr="00732562">
        <w:rPr>
          <w:rFonts w:eastAsia="Times New Roman" w:hint="cs"/>
          <w:sz w:val="24"/>
          <w:szCs w:val="24"/>
          <w:rtl/>
        </w:rPr>
        <w:t>קולחים</w:t>
      </w:r>
      <w:r w:rsidRPr="00732562">
        <w:rPr>
          <w:rFonts w:eastAsia="Times New Roman" w:hint="cs"/>
          <w:sz w:val="24"/>
          <w:szCs w:val="24"/>
          <w:rtl/>
        </w:rPr>
        <w:t xml:space="preserve"> לחקלאות הולך וגובר בשנים האחרונות והצפי הוא שהשימוש ימשיך לעלות</w:t>
      </w:r>
      <w:r w:rsidR="00735691" w:rsidRPr="00732562">
        <w:rPr>
          <w:rFonts w:eastAsia="Times New Roman" w:hint="cs"/>
          <w:sz w:val="24"/>
          <w:szCs w:val="24"/>
          <w:rtl/>
        </w:rPr>
        <w:t xml:space="preserve"> </w:t>
      </w:r>
      <w:r w:rsidR="001C1CB8" w:rsidRPr="00732562">
        <w:rPr>
          <w:rFonts w:eastAsia="Times New Roman" w:hint="cs"/>
          <w:sz w:val="24"/>
          <w:szCs w:val="24"/>
          <w:rtl/>
        </w:rPr>
        <w:t>(</w:t>
      </w:r>
      <w:r w:rsidR="001C1CB8" w:rsidRPr="00732562">
        <w:rPr>
          <w:noProof/>
          <w:sz w:val="24"/>
          <w:szCs w:val="24"/>
          <w:rtl/>
        </w:rPr>
        <w:t>אגף איכות מים, רשות המים</w:t>
      </w:r>
      <w:r w:rsidR="00C269F5" w:rsidRPr="00732562">
        <w:rPr>
          <w:rFonts w:hint="cs"/>
          <w:noProof/>
          <w:sz w:val="24"/>
          <w:szCs w:val="24"/>
          <w:rtl/>
        </w:rPr>
        <w:t>,</w:t>
      </w:r>
      <w:r w:rsidR="001C1CB8" w:rsidRPr="00732562">
        <w:rPr>
          <w:rFonts w:hint="cs"/>
          <w:noProof/>
          <w:sz w:val="24"/>
          <w:szCs w:val="24"/>
          <w:rtl/>
        </w:rPr>
        <w:t xml:space="preserve"> </w:t>
      </w:r>
      <w:r w:rsidR="002F39A7" w:rsidRPr="00732562">
        <w:rPr>
          <w:rFonts w:hint="cs"/>
          <w:noProof/>
          <w:sz w:val="24"/>
          <w:szCs w:val="24"/>
          <w:rtl/>
        </w:rPr>
        <w:t xml:space="preserve">  </w:t>
      </w:r>
      <w:r w:rsidR="001C1CB8" w:rsidRPr="00732562">
        <w:rPr>
          <w:rFonts w:hint="cs"/>
          <w:noProof/>
          <w:sz w:val="24"/>
          <w:szCs w:val="24"/>
          <w:rtl/>
        </w:rPr>
        <w:t>2014</w:t>
      </w:r>
      <w:r w:rsidR="00C269F5" w:rsidRPr="00732562">
        <w:rPr>
          <w:rFonts w:hint="cs"/>
          <w:noProof/>
          <w:sz w:val="24"/>
          <w:szCs w:val="24"/>
          <w:rtl/>
        </w:rPr>
        <w:t xml:space="preserve">; </w:t>
      </w:r>
      <w:r w:rsidR="002F39A7" w:rsidRPr="00732562">
        <w:rPr>
          <w:rFonts w:hint="cs"/>
          <w:noProof/>
          <w:sz w:val="24"/>
          <w:szCs w:val="24"/>
          <w:rtl/>
        </w:rPr>
        <w:t>משרד הבריאות</w:t>
      </w:r>
      <w:r w:rsidR="00C269F5" w:rsidRPr="00732562">
        <w:rPr>
          <w:rFonts w:hint="cs"/>
          <w:noProof/>
          <w:sz w:val="24"/>
          <w:szCs w:val="24"/>
          <w:rtl/>
        </w:rPr>
        <w:t>,</w:t>
      </w:r>
      <w:r w:rsidR="002F39A7" w:rsidRPr="00732562">
        <w:rPr>
          <w:rFonts w:hint="cs"/>
          <w:noProof/>
          <w:sz w:val="24"/>
          <w:szCs w:val="24"/>
          <w:rtl/>
        </w:rPr>
        <w:t xml:space="preserve"> 2015). </w:t>
      </w:r>
      <w:r w:rsidR="00A025E9" w:rsidRPr="00732562">
        <w:rPr>
          <w:rFonts w:eastAsia="Times New Roman" w:hint="cs"/>
          <w:sz w:val="24"/>
          <w:szCs w:val="24"/>
          <w:rtl/>
        </w:rPr>
        <w:t xml:space="preserve">המצאות חומרים אלה </w:t>
      </w:r>
      <w:r w:rsidR="00C269F5" w:rsidRPr="00732562">
        <w:rPr>
          <w:rFonts w:eastAsia="Times New Roman" w:hint="cs"/>
          <w:sz w:val="24"/>
          <w:szCs w:val="24"/>
          <w:rtl/>
        </w:rPr>
        <w:t>ב</w:t>
      </w:r>
      <w:r w:rsidR="00B65D0B" w:rsidRPr="00732562">
        <w:rPr>
          <w:rFonts w:eastAsia="Times New Roman" w:hint="cs"/>
          <w:sz w:val="24"/>
          <w:szCs w:val="24"/>
          <w:rtl/>
        </w:rPr>
        <w:t>קולחים</w:t>
      </w:r>
      <w:r w:rsidR="00A025E9" w:rsidRPr="00732562">
        <w:rPr>
          <w:rFonts w:eastAsia="Times New Roman" w:hint="cs"/>
          <w:sz w:val="24"/>
          <w:szCs w:val="24"/>
          <w:rtl/>
        </w:rPr>
        <w:t xml:space="preserve"> מעידה על העמידות </w:t>
      </w:r>
      <w:r w:rsidR="00C269F5" w:rsidRPr="00732562">
        <w:rPr>
          <w:rFonts w:eastAsia="Times New Roman" w:hint="cs"/>
          <w:sz w:val="24"/>
          <w:szCs w:val="24"/>
          <w:rtl/>
        </w:rPr>
        <w:t xml:space="preserve">היחסית </w:t>
      </w:r>
      <w:r w:rsidR="00A025E9" w:rsidRPr="00732562">
        <w:rPr>
          <w:rFonts w:eastAsia="Times New Roman" w:hint="cs"/>
          <w:sz w:val="24"/>
          <w:szCs w:val="24"/>
          <w:rtl/>
        </w:rPr>
        <w:t xml:space="preserve">שלהם בסביבה. </w:t>
      </w:r>
      <w:r w:rsidR="00B70F99" w:rsidRPr="00732562">
        <w:rPr>
          <w:rFonts w:eastAsia="Times New Roman" w:hint="cs"/>
          <w:sz w:val="24"/>
          <w:szCs w:val="24"/>
          <w:rtl/>
        </w:rPr>
        <w:t xml:space="preserve">כאשר אנו אוכלים גידולים שהושקו </w:t>
      </w:r>
      <w:r w:rsidR="00C269F5" w:rsidRPr="00732562">
        <w:rPr>
          <w:rFonts w:eastAsia="Times New Roman" w:hint="cs"/>
          <w:sz w:val="24"/>
          <w:szCs w:val="24"/>
          <w:rtl/>
        </w:rPr>
        <w:t>ב</w:t>
      </w:r>
      <w:r w:rsidR="00B65D0B" w:rsidRPr="00732562">
        <w:rPr>
          <w:rFonts w:eastAsia="Times New Roman" w:hint="cs"/>
          <w:sz w:val="24"/>
          <w:szCs w:val="24"/>
          <w:rtl/>
        </w:rPr>
        <w:t>קולחים</w:t>
      </w:r>
      <w:r w:rsidR="00B70F99" w:rsidRPr="00732562">
        <w:rPr>
          <w:rFonts w:eastAsia="Times New Roman" w:hint="cs"/>
          <w:sz w:val="24"/>
          <w:szCs w:val="24"/>
          <w:rtl/>
        </w:rPr>
        <w:t xml:space="preserve"> המכילים חומרים רפואיים, א</w:t>
      </w:r>
      <w:r w:rsidR="00A025E9" w:rsidRPr="00732562">
        <w:rPr>
          <w:rFonts w:eastAsia="Times New Roman" w:hint="cs"/>
          <w:sz w:val="24"/>
          <w:szCs w:val="24"/>
          <w:rtl/>
        </w:rPr>
        <w:t>נו נחשפים לחומרים אלו שלא צורך</w:t>
      </w:r>
      <w:r w:rsidR="00735691" w:rsidRPr="00732562">
        <w:rPr>
          <w:rFonts w:eastAsia="Times New Roman" w:hint="cs"/>
          <w:sz w:val="24"/>
          <w:szCs w:val="24"/>
          <w:rtl/>
        </w:rPr>
        <w:t xml:space="preserve"> </w:t>
      </w:r>
      <w:r w:rsidR="00C3410C">
        <w:rPr>
          <w:rFonts w:eastAsia="Times New Roman"/>
          <w:sz w:val="24"/>
          <w:szCs w:val="24"/>
          <w:rtl/>
        </w:rPr>
        <w:fldChar w:fldCharType="begin" w:fldLock="1"/>
      </w:r>
      <w:r w:rsidR="00C3410C">
        <w:rPr>
          <w:rFonts w:eastAsia="Times New Roman"/>
          <w:sz w:val="24"/>
          <w:szCs w:val="24"/>
        </w:rPr>
        <w:instrText>ADDIN CSL_CITATION { "citationItems" : [ { "id" : "ITEM-1", "itemData" : { "DOI" : "10.1021/acs.est.5b06256", "ISBN" : "1520-5851 (Electronic)\\r0013-936X (Linking)", "ISSN" : "15205851", "PMID" : "27021726", "abstract" : "Fresh water scarcity has led to increased use of reclaimed wastewater as an alternative and reliable source for crop irrigation. Beyond microbiological safety, concerns have been raised regarding contamination of reclaimed wastewater by xenobiotics including pharmaceuticals. This study focuses on carbamazepine, an anticonvulsant drug which is ubiquitously detected in reclaimed wastewater, highly persistent in soil, and taken up by crops. In a randomized controlled trial we demonstrate that healthy individuals consuming reclaimed wastewater-irrigated produce excreted carbamazepine and its metabolites in their urine, while subjects consuming fresh water-irrigated produce excreted undetectable or significantly lower levels of carbamazepine. We also report that the carbamazepine metabolite pattern at this low exposure level differed from that observed at therapeutic doses. This \" proof of concept \" study demonstrates that human exposure to xenobiotics occurs through ingestion of reclaimed wastewater-irrigated produce, providing real world data which could guide risk assessments and policy designed to ensure the safe use of wastewater for crop irrigation. \u25a0 INTRODUCTION As a result of population pressure, urbanization, climate change, and rising demand for food, fresh water for agricultural purposes has become an increasingly scarce resource. Thus, arid and semiarid regions across the globe have become progressively dependent on reclaimed wastewater for crop irrigation. 1\u22123 For example, reclaimed wastewater makes up 50% of the total irrigation-water used in Israel, 17% in Spain and only 6% in California. Recently, California has announced aims to increase reclaimed wastewater use for crop irrigation due to a prolonged drought. 4 Beyond water conservation, irrigation with reclaimed wastewater provides organic matter and nutrients to the agro-environment. However, safety concerns regarding the use of reclaimed wastewater for crop irrigation have also been raised. 1,3 Historically the focus of safety guidelines has been on transmission of wastewater-derived pathogens. More recently the contamination of ecosystems and arable land with organic pollutants such as endocrine-disrupting compounds, active pharmaceutical compounds and other synthetic compounds, and their eventual penetration to the food chain, have become emerging environmental and human health concerns.", "author" : [ { "dropping-particle" : "", "family" : "Paltiel", "given" : "Ora", "non-dropping-particle" : "", "parse-names" : false, "suffix" : "" }, { "dropping-particle" : "", "family" : "Fedorova", "given" : "Ganna", "non-dropping-particle" : "", "parse-names" : false, "suffix" : "" }, { "dropping-particle" : "", "family" : "Tadmor", "given" : "Galit", "non-dropping-particle" : "", "parse-names" : false, "suffix" : "" }, { "dropping-particle" : "", "family" : "Kleinstern", "given" : "Geffen", "non-dropping-particle" : "", "parse-names" : false, "suffix" : "" }, { "dropping-particle" : "", "family" : "Maor", "given" : "Yehoshua", "non-dropping-particle" : "", "parse-names" : false, "suffix" : "" }, { "dropping-particle" : "", "family" : "Chefetz", "given" : "Benny", "non-dropping-particle" : "", "parse-names" : false, "suffix" : "" } ], "container-title" : "Environmental Science and Technology", "id" : "ITEM-1", "issue" : "8", "issued" : { "date-parts" : [ [ "2016" ] ] }, "page" : "4476-4482", "title" : "Human Exposure to Wastewater-Derived Pharmaceuticals in Fresh Produce: A Randomized Controlled Trial Focusing on Carbamazepine", "type" : "article-journal", "volume" : "50" }, "uris" : [ "http://www.mendeley.com/documents/?uuid=966587bd-0706-4040-a827-165e9c528ff1" ] } ], "mendeley" : { "formattedCitation" : "(Paltiel et al. 2016)", "manualFormatting" : "(Paltiel et al., 2016)", "plainTextFormattedCitation" : "(Paltiel et al. 2016)", "previouslyFormattedCitation" : "(Paltiel et al. 2016)" }, "properties" : { "noteIndex" : 0 }, "schema" : "https://github.com/citation-style-language/schema/raw/master/csl-citation.json" }</w:instrText>
      </w:r>
      <w:r w:rsidR="00C3410C">
        <w:rPr>
          <w:rFonts w:eastAsia="Times New Roman"/>
          <w:sz w:val="24"/>
          <w:szCs w:val="24"/>
          <w:rtl/>
        </w:rPr>
        <w:fldChar w:fldCharType="separate"/>
      </w:r>
      <w:r w:rsidR="00C3410C" w:rsidRPr="00C3410C">
        <w:rPr>
          <w:rFonts w:eastAsia="Times New Roman"/>
          <w:noProof/>
          <w:sz w:val="24"/>
          <w:szCs w:val="24"/>
          <w:rtl/>
        </w:rPr>
        <w:t>(</w:t>
      </w:r>
      <w:r w:rsidR="00C3410C" w:rsidRPr="00C3410C">
        <w:rPr>
          <w:rFonts w:eastAsia="Times New Roman"/>
          <w:noProof/>
          <w:sz w:val="24"/>
          <w:szCs w:val="24"/>
        </w:rPr>
        <w:t>Paltiel et al.</w:t>
      </w:r>
      <w:r w:rsidR="00C3410C">
        <w:rPr>
          <w:rFonts w:eastAsia="Times New Roman"/>
          <w:noProof/>
          <w:sz w:val="24"/>
          <w:szCs w:val="24"/>
        </w:rPr>
        <w:t>,</w:t>
      </w:r>
      <w:r w:rsidR="00C3410C" w:rsidRPr="00C3410C">
        <w:rPr>
          <w:rFonts w:eastAsia="Times New Roman"/>
          <w:noProof/>
          <w:sz w:val="24"/>
          <w:szCs w:val="24"/>
        </w:rPr>
        <w:t xml:space="preserve"> 2016</w:t>
      </w:r>
      <w:r w:rsidR="00C3410C" w:rsidRPr="00C3410C">
        <w:rPr>
          <w:rFonts w:eastAsia="Times New Roman"/>
          <w:noProof/>
          <w:sz w:val="24"/>
          <w:szCs w:val="24"/>
          <w:rtl/>
        </w:rPr>
        <w:t>)</w:t>
      </w:r>
      <w:r w:rsidR="00C3410C">
        <w:rPr>
          <w:rFonts w:eastAsia="Times New Roman"/>
          <w:sz w:val="24"/>
          <w:szCs w:val="24"/>
          <w:rtl/>
        </w:rPr>
        <w:fldChar w:fldCharType="end"/>
      </w:r>
      <w:r w:rsidR="005900B5">
        <w:rPr>
          <w:rFonts w:eastAsia="Times New Roman" w:hint="cs"/>
          <w:sz w:val="24"/>
          <w:szCs w:val="24"/>
          <w:rtl/>
        </w:rPr>
        <w:t xml:space="preserve">. </w:t>
      </w:r>
      <w:r w:rsidR="00B70F99" w:rsidRPr="00732562">
        <w:rPr>
          <w:rFonts w:eastAsia="Times New Roman" w:hint="cs"/>
          <w:sz w:val="24"/>
          <w:szCs w:val="24"/>
          <w:rtl/>
        </w:rPr>
        <w:t xml:space="preserve">לכן ישנו צורך גובר למצוא </w:t>
      </w:r>
      <w:r w:rsidR="00735691" w:rsidRPr="00732562">
        <w:rPr>
          <w:rFonts w:eastAsia="Times New Roman" w:hint="cs"/>
          <w:sz w:val="24"/>
          <w:szCs w:val="24"/>
          <w:rtl/>
        </w:rPr>
        <w:t>פ</w:t>
      </w:r>
      <w:r w:rsidR="00B70F99" w:rsidRPr="00732562">
        <w:rPr>
          <w:rFonts w:eastAsia="Times New Roman" w:hint="cs"/>
          <w:sz w:val="24"/>
          <w:szCs w:val="24"/>
          <w:rtl/>
        </w:rPr>
        <w:t xml:space="preserve">תרון </w:t>
      </w:r>
      <w:r w:rsidR="00735691" w:rsidRPr="00732562">
        <w:rPr>
          <w:rFonts w:eastAsia="Times New Roman" w:hint="cs"/>
          <w:sz w:val="24"/>
          <w:szCs w:val="24"/>
          <w:rtl/>
        </w:rPr>
        <w:t xml:space="preserve">טיפול </w:t>
      </w:r>
      <w:r w:rsidR="00B70F99" w:rsidRPr="00732562">
        <w:rPr>
          <w:rFonts w:eastAsia="Times New Roman" w:hint="cs"/>
          <w:sz w:val="24"/>
          <w:szCs w:val="24"/>
          <w:rtl/>
        </w:rPr>
        <w:t>שיעזור לסילוקם</w:t>
      </w:r>
      <w:r w:rsidR="00735691" w:rsidRPr="00732562">
        <w:rPr>
          <w:rFonts w:eastAsia="Times New Roman" w:hint="cs"/>
          <w:sz w:val="24"/>
          <w:szCs w:val="24"/>
          <w:rtl/>
        </w:rPr>
        <w:t xml:space="preserve"> מהקולחים לפני יישומם בשדה.</w:t>
      </w:r>
    </w:p>
    <w:p w14:paraId="3260A20F" w14:textId="77777777" w:rsidR="00A23C36" w:rsidRPr="00732562" w:rsidRDefault="00A23C36" w:rsidP="00406847">
      <w:pPr>
        <w:shd w:val="clear" w:color="auto" w:fill="FFFFFF"/>
        <w:bidi/>
        <w:spacing w:after="0" w:line="360" w:lineRule="auto"/>
        <w:jc w:val="both"/>
        <w:outlineLvl w:val="3"/>
        <w:rPr>
          <w:sz w:val="24"/>
          <w:szCs w:val="24"/>
          <w:rtl/>
        </w:rPr>
      </w:pPr>
      <w:r w:rsidRPr="00732562">
        <w:rPr>
          <w:rFonts w:eastAsia="Times New Roman" w:hint="cs"/>
          <w:sz w:val="24"/>
          <w:szCs w:val="24"/>
          <w:rtl/>
        </w:rPr>
        <w:t xml:space="preserve">מחקרים רבים </w:t>
      </w:r>
      <w:r w:rsidR="00735691" w:rsidRPr="00732562">
        <w:rPr>
          <w:rFonts w:eastAsia="Times New Roman" w:hint="cs"/>
          <w:sz w:val="24"/>
          <w:szCs w:val="24"/>
          <w:rtl/>
        </w:rPr>
        <w:t xml:space="preserve">מציגים את </w:t>
      </w:r>
      <w:r w:rsidR="00152981" w:rsidRPr="00732562">
        <w:rPr>
          <w:rFonts w:eastAsia="Times New Roman" w:hint="cs"/>
          <w:sz w:val="24"/>
          <w:szCs w:val="24"/>
          <w:rtl/>
        </w:rPr>
        <w:t xml:space="preserve">היכולת של פטריות ריקבון לפרק </w:t>
      </w:r>
      <w:r w:rsidRPr="00732562">
        <w:rPr>
          <w:rFonts w:eastAsia="Times New Roman" w:hint="cs"/>
          <w:sz w:val="24"/>
          <w:szCs w:val="24"/>
          <w:rtl/>
        </w:rPr>
        <w:t>מזהמים אורגנים קשי פירוק</w:t>
      </w:r>
      <w:r w:rsidR="00731823" w:rsidRPr="00732562">
        <w:rPr>
          <w:rFonts w:eastAsia="Times New Roman" w:hint="cs"/>
          <w:sz w:val="24"/>
          <w:szCs w:val="24"/>
          <w:rtl/>
        </w:rPr>
        <w:t>.</w:t>
      </w:r>
      <w:r w:rsidRPr="00732562">
        <w:rPr>
          <w:rFonts w:eastAsia="Times New Roman" w:hint="cs"/>
          <w:sz w:val="24"/>
          <w:szCs w:val="24"/>
          <w:rtl/>
        </w:rPr>
        <w:t xml:space="preserve"> פטריות ריקבון לבן הן בעלות יכולת </w:t>
      </w:r>
      <w:r w:rsidR="005C0764" w:rsidRPr="00732562">
        <w:rPr>
          <w:rFonts w:eastAsia="Times New Roman" w:hint="cs"/>
          <w:sz w:val="24"/>
          <w:szCs w:val="24"/>
          <w:rtl/>
        </w:rPr>
        <w:t>ייחודית</w:t>
      </w:r>
      <w:r w:rsidRPr="00732562">
        <w:rPr>
          <w:rFonts w:eastAsia="Times New Roman" w:hint="cs"/>
          <w:sz w:val="24"/>
          <w:szCs w:val="24"/>
          <w:rtl/>
        </w:rPr>
        <w:t xml:space="preserve"> לפרק ליגנין</w:t>
      </w:r>
      <w:r w:rsidR="00731823" w:rsidRPr="00732562">
        <w:rPr>
          <w:rFonts w:eastAsia="Times New Roman" w:hint="cs"/>
          <w:sz w:val="24"/>
          <w:szCs w:val="24"/>
          <w:rtl/>
        </w:rPr>
        <w:t>,</w:t>
      </w:r>
      <w:r w:rsidRPr="00732562">
        <w:rPr>
          <w:rFonts w:eastAsia="Times New Roman" w:hint="cs"/>
          <w:sz w:val="24"/>
          <w:szCs w:val="24"/>
          <w:rtl/>
        </w:rPr>
        <w:t xml:space="preserve">  פולימר אורגני מורכב </w:t>
      </w:r>
      <w:r w:rsidR="00731823" w:rsidRPr="00732562">
        <w:rPr>
          <w:rFonts w:eastAsia="Times New Roman" w:hint="cs"/>
          <w:sz w:val="24"/>
          <w:szCs w:val="24"/>
          <w:rtl/>
        </w:rPr>
        <w:t>ה</w:t>
      </w:r>
      <w:r w:rsidRPr="00732562">
        <w:rPr>
          <w:rFonts w:eastAsia="Times New Roman" w:hint="cs"/>
          <w:sz w:val="24"/>
          <w:szCs w:val="24"/>
          <w:rtl/>
        </w:rPr>
        <w:t xml:space="preserve">מצוי בדופן התא הצמחי </w:t>
      </w:r>
      <w:r w:rsidR="00735691" w:rsidRPr="00732562">
        <w:rPr>
          <w:rFonts w:eastAsia="Times New Roman" w:hint="cs"/>
          <w:sz w:val="24"/>
          <w:szCs w:val="24"/>
          <w:rtl/>
        </w:rPr>
        <w:t xml:space="preserve">ומצוי </w:t>
      </w:r>
      <w:r w:rsidRPr="00732562">
        <w:rPr>
          <w:rFonts w:eastAsia="Times New Roman" w:hint="cs"/>
          <w:sz w:val="24"/>
          <w:szCs w:val="24"/>
          <w:rtl/>
        </w:rPr>
        <w:t>בקומפלקס עם צלולוז והמיצלולוז ונמצא בריכוז גבוה ב</w:t>
      </w:r>
      <w:r w:rsidR="00731823" w:rsidRPr="00732562">
        <w:rPr>
          <w:rFonts w:eastAsia="Times New Roman" w:hint="cs"/>
          <w:sz w:val="24"/>
          <w:szCs w:val="24"/>
          <w:rtl/>
        </w:rPr>
        <w:t>צמחים מ</w:t>
      </w:r>
      <w:r w:rsidRPr="00732562">
        <w:rPr>
          <w:rFonts w:eastAsia="Times New Roman" w:hint="cs"/>
          <w:sz w:val="24"/>
          <w:szCs w:val="24"/>
          <w:rtl/>
        </w:rPr>
        <w:t>ע</w:t>
      </w:r>
      <w:r w:rsidR="00731823" w:rsidRPr="00732562">
        <w:rPr>
          <w:rFonts w:eastAsia="Times New Roman" w:hint="cs"/>
          <w:sz w:val="24"/>
          <w:szCs w:val="24"/>
          <w:rtl/>
        </w:rPr>
        <w:t>ו</w:t>
      </w:r>
      <w:r w:rsidRPr="00732562">
        <w:rPr>
          <w:rFonts w:eastAsia="Times New Roman" w:hint="cs"/>
          <w:sz w:val="24"/>
          <w:szCs w:val="24"/>
          <w:rtl/>
        </w:rPr>
        <w:t>צים</w:t>
      </w:r>
      <w:r w:rsidR="00731823" w:rsidRPr="00732562">
        <w:rPr>
          <w:rFonts w:eastAsia="Times New Roman" w:hint="cs"/>
          <w:sz w:val="24"/>
          <w:szCs w:val="24"/>
          <w:rtl/>
        </w:rPr>
        <w:t>.</w:t>
      </w:r>
      <w:r w:rsidR="00152981" w:rsidRPr="00732562">
        <w:rPr>
          <w:rFonts w:eastAsia="Times New Roman" w:hint="cs"/>
          <w:sz w:val="24"/>
          <w:szCs w:val="24"/>
          <w:rtl/>
        </w:rPr>
        <w:t xml:space="preserve"> </w:t>
      </w:r>
      <w:r w:rsidR="00731823" w:rsidRPr="00732562">
        <w:rPr>
          <w:rFonts w:eastAsia="Times New Roman" w:hint="cs"/>
          <w:sz w:val="24"/>
          <w:szCs w:val="24"/>
          <w:rtl/>
        </w:rPr>
        <w:t xml:space="preserve"> לשם כך פיתחו פטריות הריקבון הלבן</w:t>
      </w:r>
      <w:r w:rsidR="00152981" w:rsidRPr="00732562">
        <w:rPr>
          <w:rFonts w:eastAsia="Times New Roman" w:hint="cs"/>
          <w:sz w:val="24"/>
          <w:szCs w:val="24"/>
          <w:rtl/>
        </w:rPr>
        <w:t xml:space="preserve"> מערכ</w:t>
      </w:r>
      <w:r w:rsidR="009F5C7B" w:rsidRPr="00732562">
        <w:rPr>
          <w:rFonts w:eastAsia="Times New Roman" w:hint="cs"/>
          <w:sz w:val="24"/>
          <w:szCs w:val="24"/>
          <w:rtl/>
        </w:rPr>
        <w:t>ו</w:t>
      </w:r>
      <w:r w:rsidR="00152981" w:rsidRPr="00732562">
        <w:rPr>
          <w:rFonts w:eastAsia="Times New Roman" w:hint="cs"/>
          <w:sz w:val="24"/>
          <w:szCs w:val="24"/>
          <w:rtl/>
        </w:rPr>
        <w:t xml:space="preserve">ת </w:t>
      </w:r>
      <w:r w:rsidR="009F5C7B" w:rsidRPr="00732562">
        <w:rPr>
          <w:rFonts w:hint="cs"/>
          <w:sz w:val="24"/>
          <w:szCs w:val="24"/>
          <w:rtl/>
        </w:rPr>
        <w:lastRenderedPageBreak/>
        <w:t>אנזימתיות</w:t>
      </w:r>
      <w:r w:rsidR="00005156" w:rsidRPr="00732562">
        <w:rPr>
          <w:rFonts w:hint="cs"/>
          <w:sz w:val="24"/>
          <w:szCs w:val="24"/>
          <w:rtl/>
        </w:rPr>
        <w:t xml:space="preserve"> רבות </w:t>
      </w:r>
      <w:r w:rsidR="00E32403" w:rsidRPr="00732562">
        <w:rPr>
          <w:rFonts w:hint="cs"/>
          <w:sz w:val="24"/>
          <w:szCs w:val="24"/>
          <w:rtl/>
        </w:rPr>
        <w:t>ו</w:t>
      </w:r>
      <w:r w:rsidR="00005156" w:rsidRPr="00732562">
        <w:rPr>
          <w:rFonts w:hint="cs"/>
          <w:sz w:val="24"/>
          <w:szCs w:val="24"/>
          <w:rtl/>
        </w:rPr>
        <w:t>מ</w:t>
      </w:r>
      <w:r w:rsidR="00E32403" w:rsidRPr="00732562">
        <w:rPr>
          <w:rFonts w:hint="cs"/>
          <w:sz w:val="24"/>
          <w:szCs w:val="24"/>
          <w:rtl/>
        </w:rPr>
        <w:t>ו</w:t>
      </w:r>
      <w:r w:rsidR="00005156" w:rsidRPr="00732562">
        <w:rPr>
          <w:rFonts w:hint="cs"/>
          <w:sz w:val="24"/>
          <w:szCs w:val="24"/>
          <w:rtl/>
        </w:rPr>
        <w:t>רכבות כגון ליגנין פרוקסידאז</w:t>
      </w:r>
      <w:r w:rsidR="00120A75" w:rsidRPr="00732562">
        <w:rPr>
          <w:sz w:val="24"/>
          <w:szCs w:val="24"/>
        </w:rPr>
        <w:t xml:space="preserve"> </w:t>
      </w:r>
      <w:r w:rsidR="00120A75" w:rsidRPr="00732562">
        <w:rPr>
          <w:rFonts w:hint="cs"/>
          <w:sz w:val="24"/>
          <w:szCs w:val="24"/>
          <w:rtl/>
        </w:rPr>
        <w:t>(</w:t>
      </w:r>
      <w:r w:rsidR="00120A75" w:rsidRPr="00732562">
        <w:rPr>
          <w:sz w:val="24"/>
          <w:szCs w:val="24"/>
        </w:rPr>
        <w:t>(</w:t>
      </w:r>
      <w:r w:rsidR="00120A75" w:rsidRPr="00732562">
        <w:rPr>
          <w:rFonts w:hint="cs"/>
          <w:sz w:val="24"/>
          <w:szCs w:val="24"/>
        </w:rPr>
        <w:t>L</w:t>
      </w:r>
      <w:r w:rsidR="00120A75" w:rsidRPr="00732562">
        <w:rPr>
          <w:sz w:val="24"/>
          <w:szCs w:val="24"/>
        </w:rPr>
        <w:t>iP</w:t>
      </w:r>
      <w:r w:rsidR="00005156" w:rsidRPr="00732562">
        <w:rPr>
          <w:rFonts w:hint="cs"/>
          <w:sz w:val="24"/>
          <w:szCs w:val="24"/>
          <w:rtl/>
        </w:rPr>
        <w:t xml:space="preserve"> מנגן פרוקסידאז</w:t>
      </w:r>
      <w:r w:rsidR="00120A75" w:rsidRPr="00732562">
        <w:rPr>
          <w:rFonts w:hint="cs"/>
          <w:sz w:val="24"/>
          <w:szCs w:val="24"/>
          <w:rtl/>
        </w:rPr>
        <w:t xml:space="preserve"> (</w:t>
      </w:r>
      <w:r w:rsidR="00120A75" w:rsidRPr="00732562">
        <w:rPr>
          <w:sz w:val="24"/>
          <w:szCs w:val="24"/>
        </w:rPr>
        <w:t>(MnP</w:t>
      </w:r>
      <w:r w:rsidR="00120A75" w:rsidRPr="00732562">
        <w:rPr>
          <w:rFonts w:hint="cs"/>
          <w:sz w:val="24"/>
          <w:szCs w:val="24"/>
          <w:rtl/>
        </w:rPr>
        <w:t xml:space="preserve"> ולקאז (</w:t>
      </w:r>
      <w:r w:rsidR="00120A75" w:rsidRPr="00732562">
        <w:rPr>
          <w:sz w:val="24"/>
          <w:szCs w:val="24"/>
        </w:rPr>
        <w:t>(</w:t>
      </w:r>
      <w:r w:rsidR="00120A75" w:rsidRPr="00732562">
        <w:rPr>
          <w:rFonts w:hint="cs"/>
          <w:sz w:val="24"/>
          <w:szCs w:val="24"/>
        </w:rPr>
        <w:t>L</w:t>
      </w:r>
      <w:r w:rsidR="00120A75" w:rsidRPr="00732562">
        <w:rPr>
          <w:sz w:val="24"/>
          <w:szCs w:val="24"/>
        </w:rPr>
        <w:t>ac</w:t>
      </w:r>
      <w:r w:rsidR="00120A75" w:rsidRPr="00732562">
        <w:rPr>
          <w:rFonts w:hint="cs"/>
          <w:sz w:val="24"/>
          <w:szCs w:val="24"/>
          <w:rtl/>
        </w:rPr>
        <w:t xml:space="preserve">. </w:t>
      </w:r>
      <w:r w:rsidR="00005156" w:rsidRPr="00732562">
        <w:rPr>
          <w:rFonts w:hint="cs"/>
          <w:sz w:val="24"/>
          <w:szCs w:val="24"/>
          <w:rtl/>
        </w:rPr>
        <w:t xml:space="preserve">כאשר </w:t>
      </w:r>
      <w:r w:rsidR="000F5B53" w:rsidRPr="00732562">
        <w:rPr>
          <w:rFonts w:hint="cs"/>
          <w:sz w:val="24"/>
          <w:szCs w:val="24"/>
          <w:rtl/>
        </w:rPr>
        <w:t>החמצון</w:t>
      </w:r>
      <w:r w:rsidR="00005156" w:rsidRPr="00732562">
        <w:rPr>
          <w:rFonts w:hint="cs"/>
          <w:sz w:val="24"/>
          <w:szCs w:val="24"/>
          <w:rtl/>
        </w:rPr>
        <w:t xml:space="preserve"> של </w:t>
      </w:r>
      <w:r w:rsidR="000F5B53" w:rsidRPr="00732562">
        <w:rPr>
          <w:rFonts w:hint="cs"/>
          <w:sz w:val="24"/>
          <w:szCs w:val="24"/>
          <w:rtl/>
        </w:rPr>
        <w:t>אנזימים</w:t>
      </w:r>
      <w:r w:rsidR="00005156" w:rsidRPr="00732562">
        <w:rPr>
          <w:rFonts w:hint="cs"/>
          <w:sz w:val="24"/>
          <w:szCs w:val="24"/>
          <w:rtl/>
        </w:rPr>
        <w:t xml:space="preserve"> אלו מתבצע באופן עקיף על ידי</w:t>
      </w:r>
      <w:r w:rsidR="00E32403" w:rsidRPr="00732562">
        <w:rPr>
          <w:rFonts w:hint="cs"/>
          <w:sz w:val="24"/>
          <w:szCs w:val="24"/>
          <w:rtl/>
        </w:rPr>
        <w:t xml:space="preserve"> מולקולות</w:t>
      </w:r>
      <w:r w:rsidR="00005156" w:rsidRPr="00732562">
        <w:rPr>
          <w:rFonts w:hint="cs"/>
          <w:sz w:val="24"/>
          <w:szCs w:val="24"/>
          <w:rtl/>
        </w:rPr>
        <w:t xml:space="preserve"> </w:t>
      </w:r>
      <w:r w:rsidR="00C6218D" w:rsidRPr="00732562">
        <w:rPr>
          <w:rFonts w:hint="cs"/>
          <w:sz w:val="24"/>
          <w:szCs w:val="24"/>
          <w:rtl/>
        </w:rPr>
        <w:t>בעלות משקל מולקולרי נמוך</w:t>
      </w:r>
      <w:r w:rsidR="00005156" w:rsidRPr="00732562">
        <w:rPr>
          <w:rFonts w:hint="cs"/>
          <w:sz w:val="24"/>
          <w:szCs w:val="24"/>
          <w:rtl/>
        </w:rPr>
        <w:t xml:space="preserve"> </w:t>
      </w:r>
      <w:r w:rsidR="009F5C7B" w:rsidRPr="00732562">
        <w:rPr>
          <w:rFonts w:hint="cs"/>
          <w:sz w:val="24"/>
          <w:szCs w:val="24"/>
          <w:rtl/>
        </w:rPr>
        <w:t xml:space="preserve"> </w:t>
      </w:r>
      <w:r w:rsidR="00FA081F" w:rsidRPr="00732562">
        <w:rPr>
          <w:sz w:val="24"/>
          <w:szCs w:val="24"/>
          <w:rtl/>
        </w:rPr>
        <w:fldChar w:fldCharType="begin" w:fldLock="1"/>
      </w:r>
      <w:r w:rsidR="00A223D6" w:rsidRPr="00732562">
        <w:rPr>
          <w:sz w:val="24"/>
          <w:szCs w:val="24"/>
        </w:rPr>
        <w:instrText>ADDIN CSL_CITATION { "citationItems" : [ { "id" : "ITEM-1", "itemData" : { "author" : [ { "dropping-particle" : "", "family" : "Leonowicz", "given" : "Andrzej", "non-dropping-particle" : "", "parse-names" : false, "suffix" : "" }, { "dropping-particle" : "", "family" : "Matuszewska", "given" : "Anna", "non-dropping-particle" : "", "parse-names" : false, "suffix" : "" }, { "dropping-particle" : "", "family" : "Luterek", "given" : "Jolanta", "non-dropping-particle" : "", "parse-names" : false, "suffix" : "" }, { "dropping-particle" : "", "family" : "Ziegenhagen", "given" : "Dirk", "non-dropping-particle" : "", "parse-names" : false, "suffix" : "" }, { "dropping-particle" : "", "family" : "Wojta -Wasilewska", "given" : "Maria", "non-dropping-particle" : "", "parse-names" : false, "suffix" : "" }, { "dropping-particle" : "", "family" : "Cho", "given" : "Nam-Seok", "non-dropping-particle" : "", "parse-names" : false, "suffix" : "" }, { "dropping-particle" : "", "family" : "Hofrichter", "given" : "Martin", "non-dropping-particle" : "", "parse-names" : false, "suffix" : "" }, { "dropping-particle" : "", "family" : "Rogalski", "given" : "Jerzy", "non-dropping-particle" : "", "parse-names" : false, "suffix" : "" }, { "dropping-particle" : "", "family" : "-Wasilewska", "given" : "Wojta", "non-dropping-particle" : "", "parse-names" : false, "suffix" : "" } ], "container-title" : "Fungal Genetics and Biology", "id" : "ITEM-1", "issued" : { "date-parts" : [ [ "1999" ] ] }, "page" : "175-185", "title" : "REVIEW Biodegradation of Lignin by White Rot Fungi", "type" : "article-journal", "volume" : "27" }, "uris" : [ "http://www.mendeley.com/documents/?uuid=b060fa76-a6e1-355f-921f-660f0f8ecbfe", "http://www.mendeley.com/documents/?uuid=4929c060-737a-4bcf-8bc6-d640e3ec5226" ] } ], "mendeley" : { "formattedCitation" : "(Leonowicz et al. 1999)", "manualFormatting" : "(Leonowicz et al.1999)", "plainTextFormattedCitation" : "(Leonowicz et al. 1999)", "previouslyFormattedCitation" : "(Leonowicz et al. 1999)" }, "properties" : { "noteIndex" : 0 }, "schema" : "https://github.com/citation-style-language/schema/raw/master/csl-citation.json" }</w:instrText>
      </w:r>
      <w:r w:rsidR="00FA081F" w:rsidRPr="00732562">
        <w:rPr>
          <w:sz w:val="24"/>
          <w:szCs w:val="24"/>
          <w:rtl/>
        </w:rPr>
        <w:fldChar w:fldCharType="separate"/>
      </w:r>
      <w:r w:rsidR="00FA081F" w:rsidRPr="00732562">
        <w:rPr>
          <w:noProof/>
          <w:sz w:val="24"/>
          <w:szCs w:val="24"/>
          <w:rtl/>
        </w:rPr>
        <w:t>(</w:t>
      </w:r>
      <w:r w:rsidR="00FA081F" w:rsidRPr="00732562">
        <w:rPr>
          <w:noProof/>
          <w:sz w:val="24"/>
          <w:szCs w:val="24"/>
        </w:rPr>
        <w:t>Leonowicz et al.1999</w:t>
      </w:r>
      <w:r w:rsidR="00FA081F" w:rsidRPr="00732562">
        <w:rPr>
          <w:noProof/>
          <w:sz w:val="24"/>
          <w:szCs w:val="24"/>
          <w:rtl/>
        </w:rPr>
        <w:t>)</w:t>
      </w:r>
      <w:r w:rsidR="00FA081F" w:rsidRPr="00732562">
        <w:rPr>
          <w:sz w:val="24"/>
          <w:szCs w:val="24"/>
          <w:rtl/>
        </w:rPr>
        <w:fldChar w:fldCharType="end"/>
      </w:r>
      <w:r w:rsidR="006315B3" w:rsidRPr="00732562">
        <w:rPr>
          <w:rFonts w:hint="cs"/>
          <w:sz w:val="24"/>
          <w:szCs w:val="24"/>
          <w:rtl/>
        </w:rPr>
        <w:t>.</w:t>
      </w:r>
      <w:r w:rsidR="00735691" w:rsidRPr="00732562">
        <w:rPr>
          <w:rFonts w:hint="cs"/>
          <w:sz w:val="24"/>
          <w:szCs w:val="24"/>
          <w:rtl/>
        </w:rPr>
        <w:t xml:space="preserve"> </w:t>
      </w:r>
    </w:p>
    <w:p w14:paraId="4035DD2F" w14:textId="00B63471" w:rsidR="00934102" w:rsidRPr="00732562" w:rsidRDefault="00A025E9" w:rsidP="00406847">
      <w:pPr>
        <w:bidi/>
        <w:spacing w:after="0" w:line="360" w:lineRule="auto"/>
        <w:jc w:val="both"/>
        <w:rPr>
          <w:sz w:val="24"/>
          <w:szCs w:val="24"/>
          <w:rtl/>
        </w:rPr>
      </w:pPr>
      <w:r w:rsidRPr="00732562">
        <w:rPr>
          <w:rFonts w:hint="cs"/>
          <w:sz w:val="24"/>
          <w:szCs w:val="24"/>
          <w:rtl/>
        </w:rPr>
        <w:t>הספציפיות הנמוכה של מערכות פירוק הליגנין</w:t>
      </w:r>
      <w:r w:rsidR="00731823" w:rsidRPr="00732562">
        <w:rPr>
          <w:rFonts w:hint="cs"/>
          <w:sz w:val="24"/>
          <w:szCs w:val="24"/>
          <w:rtl/>
        </w:rPr>
        <w:t>,</w:t>
      </w:r>
      <w:r w:rsidRPr="00732562">
        <w:rPr>
          <w:rFonts w:hint="cs"/>
          <w:sz w:val="24"/>
          <w:szCs w:val="24"/>
          <w:rtl/>
        </w:rPr>
        <w:t xml:space="preserve"> ומערכות </w:t>
      </w:r>
      <w:r w:rsidR="005C0764" w:rsidRPr="00732562">
        <w:rPr>
          <w:rFonts w:hint="cs"/>
          <w:sz w:val="24"/>
          <w:szCs w:val="24"/>
          <w:rtl/>
        </w:rPr>
        <w:t>אנזימ</w:t>
      </w:r>
      <w:r w:rsidR="00E32403" w:rsidRPr="00732562">
        <w:rPr>
          <w:rFonts w:hint="cs"/>
          <w:sz w:val="24"/>
          <w:szCs w:val="24"/>
          <w:rtl/>
        </w:rPr>
        <w:t>ט</w:t>
      </w:r>
      <w:r w:rsidR="005C0764" w:rsidRPr="00732562">
        <w:rPr>
          <w:rFonts w:hint="cs"/>
          <w:sz w:val="24"/>
          <w:szCs w:val="24"/>
          <w:rtl/>
        </w:rPr>
        <w:t>יו</w:t>
      </w:r>
      <w:r w:rsidR="005C0764" w:rsidRPr="00732562">
        <w:rPr>
          <w:rFonts w:hint="eastAsia"/>
          <w:sz w:val="24"/>
          <w:szCs w:val="24"/>
          <w:rtl/>
        </w:rPr>
        <w:t>ת</w:t>
      </w:r>
      <w:r w:rsidRPr="00732562">
        <w:rPr>
          <w:rFonts w:hint="cs"/>
          <w:sz w:val="24"/>
          <w:szCs w:val="24"/>
          <w:rtl/>
        </w:rPr>
        <w:t xml:space="preserve"> נוספות</w:t>
      </w:r>
      <w:r w:rsidR="00D76E6E" w:rsidRPr="00732562">
        <w:rPr>
          <w:rFonts w:hint="cs"/>
          <w:sz w:val="24"/>
          <w:szCs w:val="24"/>
          <w:rtl/>
        </w:rPr>
        <w:t xml:space="preserve"> כגון אנזימים ממשפחת ציטוכרום </w:t>
      </w:r>
      <w:r w:rsidR="00B46E08" w:rsidRPr="00732562">
        <w:rPr>
          <w:rFonts w:hint="cs"/>
          <w:sz w:val="24"/>
          <w:szCs w:val="24"/>
          <w:rtl/>
        </w:rPr>
        <w:t>450</w:t>
      </w:r>
      <w:r w:rsidR="00B46E08" w:rsidRPr="00732562">
        <w:rPr>
          <w:sz w:val="24"/>
          <w:szCs w:val="24"/>
        </w:rPr>
        <w:t>P</w:t>
      </w:r>
      <w:r w:rsidR="00B46E08" w:rsidRPr="00732562">
        <w:rPr>
          <w:rFonts w:hint="cs"/>
          <w:sz w:val="24"/>
          <w:szCs w:val="24"/>
          <w:rtl/>
        </w:rPr>
        <w:t xml:space="preserve"> מונואוקסיגנאז</w:t>
      </w:r>
      <w:r w:rsidR="007D74DA" w:rsidRPr="00732562">
        <w:rPr>
          <w:rFonts w:hint="cs"/>
          <w:sz w:val="24"/>
          <w:szCs w:val="24"/>
          <w:rtl/>
        </w:rPr>
        <w:t xml:space="preserve"> אשר אחראיים</w:t>
      </w:r>
      <w:r w:rsidR="00B46E08" w:rsidRPr="00732562">
        <w:rPr>
          <w:rFonts w:hint="cs"/>
          <w:sz w:val="24"/>
          <w:szCs w:val="24"/>
          <w:rtl/>
        </w:rPr>
        <w:t xml:space="preserve"> לקוניוגציה</w:t>
      </w:r>
      <w:r w:rsidR="007D74DA" w:rsidRPr="00732562">
        <w:rPr>
          <w:rFonts w:hint="cs"/>
          <w:sz w:val="24"/>
          <w:szCs w:val="24"/>
          <w:rtl/>
        </w:rPr>
        <w:t>,</w:t>
      </w:r>
      <w:r w:rsidR="00B46E08" w:rsidRPr="00732562">
        <w:rPr>
          <w:rFonts w:hint="cs"/>
          <w:sz w:val="24"/>
          <w:szCs w:val="24"/>
          <w:rtl/>
        </w:rPr>
        <w:t xml:space="preserve"> ואפילו מינרליזציה</w:t>
      </w:r>
      <w:r w:rsidR="007D74DA" w:rsidRPr="00732562">
        <w:rPr>
          <w:rFonts w:hint="cs"/>
          <w:sz w:val="24"/>
          <w:szCs w:val="24"/>
          <w:rtl/>
        </w:rPr>
        <w:t>, של חומרים</w:t>
      </w:r>
      <w:r w:rsidR="00B46E08" w:rsidRPr="00732562">
        <w:rPr>
          <w:rFonts w:hint="cs"/>
          <w:sz w:val="24"/>
          <w:szCs w:val="24"/>
          <w:rtl/>
        </w:rPr>
        <w:t xml:space="preserve">. </w:t>
      </w:r>
      <w:r w:rsidR="007D74DA" w:rsidRPr="00732562">
        <w:rPr>
          <w:rFonts w:hint="cs"/>
          <w:sz w:val="24"/>
          <w:szCs w:val="24"/>
          <w:rtl/>
        </w:rPr>
        <w:t>עבודה רבה נעשתה בנושא פירוק מזהמים שונים על  ידי פטריות ריקבון לבן, פטריות אלו יכולת לפרק מגוון רחב של מזהמים אורגנים כגון חומרי הדברה, צבעים סינטטיים חומרי נפץ, חומרים רפואיי</w:t>
      </w:r>
      <w:r w:rsidR="007D74DA" w:rsidRPr="00732562">
        <w:rPr>
          <w:rFonts w:hint="eastAsia"/>
          <w:sz w:val="24"/>
          <w:szCs w:val="24"/>
          <w:rtl/>
        </w:rPr>
        <w:t>ם</w:t>
      </w:r>
      <w:r w:rsidR="007D74DA" w:rsidRPr="00732562">
        <w:rPr>
          <w:rFonts w:hint="cs"/>
          <w:sz w:val="24"/>
          <w:szCs w:val="24"/>
          <w:rtl/>
        </w:rPr>
        <w:t xml:space="preserve"> ועוד </w:t>
      </w:r>
      <w:r w:rsidR="007D74DA" w:rsidRPr="00732562">
        <w:rPr>
          <w:sz w:val="24"/>
          <w:szCs w:val="24"/>
          <w:rtl/>
        </w:rPr>
        <w:fldChar w:fldCharType="begin" w:fldLock="1"/>
      </w:r>
      <w:r w:rsidR="007D74DA" w:rsidRPr="00732562">
        <w:rPr>
          <w:sz w:val="24"/>
          <w:szCs w:val="24"/>
        </w:rPr>
        <w:instrText>ADDIN CSL_CITATION { "citationItems" : [ { "id" : "ITEM-1", "itemData" : { "DOI" : "10.1038/nrmicro2519", "author" : [ { "dropping-particle" : "", "family" : "Harms", "given" : "Hauke", "non-dropping-particle" : "", "parse-names" : false, "suffix" : "" }, { "dropping-particle" : "", "family" : "Schlosser", "given" : "Dietmar", "non-dropping-particle" : "", "parse-names" : false, "suffix" : "" }, { "dropping-particle" : "", "family" : "Wick", "given" : "Lukas Y", "non-dropping-particle" : "", "parse-names" : false, "suffix" : "" } ], "container-title" : "Nature Publishing Group", "id" : "ITEM-1", "issued" : { "date-parts" : [ [ "2011" ] ] }, "page" : "177-192", "title" : "Untapped potential: exploiting fungi in bioremediation of hazardous chemicals", "type" : "article-journal", "volume" : "9" }, "uris" : [ "http://www.mendeley.com/documents/?uuid=22d753f8-d188-3f05-b72f-53e6027ff04b", "http://www.mendeley.com/documents/?uuid=3a9ebb7f-9012-4f7f-a1be-8ecf55422417" ] } ], "mendeley" : { "formattedCitation" : "(Harms et al. 2011)", "plainTextFormattedCitation" : "(Harms et al. 2011)", "previouslyFormattedCitation" : "(Harms et al. 2011)" }, "properties" : { "noteIndex" : 0 }, "schema" : "https://github.com/citation-style-language/schema/raw/master/csl-citation.json" }</w:instrText>
      </w:r>
      <w:r w:rsidR="007D74DA" w:rsidRPr="00732562">
        <w:rPr>
          <w:sz w:val="24"/>
          <w:szCs w:val="24"/>
          <w:rtl/>
        </w:rPr>
        <w:fldChar w:fldCharType="separate"/>
      </w:r>
      <w:r w:rsidR="007D74DA" w:rsidRPr="00732562">
        <w:rPr>
          <w:noProof/>
          <w:sz w:val="24"/>
          <w:szCs w:val="24"/>
        </w:rPr>
        <w:t>(Harms et al. 2011)</w:t>
      </w:r>
      <w:r w:rsidR="007D74DA" w:rsidRPr="00732562">
        <w:rPr>
          <w:sz w:val="24"/>
          <w:szCs w:val="24"/>
          <w:rtl/>
        </w:rPr>
        <w:fldChar w:fldCharType="end"/>
      </w:r>
      <w:r w:rsidR="007D74DA" w:rsidRPr="00732562">
        <w:rPr>
          <w:rFonts w:hint="cs"/>
          <w:sz w:val="24"/>
          <w:szCs w:val="24"/>
          <w:rtl/>
        </w:rPr>
        <w:t xml:space="preserve">. על בסיס ידע זה, </w:t>
      </w:r>
      <w:r w:rsidR="00B46E08" w:rsidRPr="00732562">
        <w:rPr>
          <w:rFonts w:hint="cs"/>
          <w:sz w:val="24"/>
          <w:szCs w:val="24"/>
          <w:rtl/>
        </w:rPr>
        <w:t xml:space="preserve">ניתן </w:t>
      </w:r>
      <w:r w:rsidRPr="00732562">
        <w:rPr>
          <w:rFonts w:hint="cs"/>
          <w:sz w:val="24"/>
          <w:szCs w:val="24"/>
          <w:rtl/>
        </w:rPr>
        <w:t xml:space="preserve">להשתמש בפטריות ריקבון לבן כפתרון לפירוק מזהמים אורגניים קשי פירוק כמו החומר הרפואי </w:t>
      </w:r>
      <w:r w:rsidR="00B00442">
        <w:rPr>
          <w:rFonts w:hint="cs"/>
          <w:sz w:val="24"/>
          <w:szCs w:val="24"/>
        </w:rPr>
        <w:t>L</w:t>
      </w:r>
      <w:r w:rsidR="001757CE">
        <w:rPr>
          <w:sz w:val="24"/>
          <w:szCs w:val="24"/>
        </w:rPr>
        <w:t>amotrigine</w:t>
      </w:r>
      <w:r w:rsidRPr="00732562">
        <w:rPr>
          <w:rFonts w:hint="cs"/>
          <w:sz w:val="24"/>
          <w:szCs w:val="24"/>
          <w:rtl/>
        </w:rPr>
        <w:t xml:space="preserve">. </w:t>
      </w:r>
    </w:p>
    <w:p w14:paraId="6D7335B4" w14:textId="18777FF1" w:rsidR="00587C3C" w:rsidRPr="00732562" w:rsidRDefault="005C0764" w:rsidP="00406847">
      <w:pPr>
        <w:autoSpaceDE w:val="0"/>
        <w:autoSpaceDN w:val="0"/>
        <w:bidi/>
        <w:adjustRightInd w:val="0"/>
        <w:spacing w:after="0" w:line="360" w:lineRule="auto"/>
        <w:jc w:val="both"/>
        <w:rPr>
          <w:rFonts w:ascii="AdvOT2e364b11" w:hAnsi="AdvOT2e364b11"/>
          <w:sz w:val="24"/>
          <w:szCs w:val="24"/>
          <w:rtl/>
        </w:rPr>
      </w:pPr>
      <w:r w:rsidRPr="00732562">
        <w:rPr>
          <w:rFonts w:hint="cs"/>
          <w:sz w:val="24"/>
          <w:szCs w:val="24"/>
          <w:rtl/>
        </w:rPr>
        <w:t xml:space="preserve">פטריית </w:t>
      </w:r>
      <w:r w:rsidR="004A6BFB" w:rsidRPr="00732562">
        <w:rPr>
          <w:rFonts w:hint="cs"/>
          <w:sz w:val="24"/>
          <w:szCs w:val="24"/>
          <w:rtl/>
        </w:rPr>
        <w:t>ה</w:t>
      </w:r>
      <w:r w:rsidRPr="00732562">
        <w:rPr>
          <w:rFonts w:hint="cs"/>
          <w:sz w:val="24"/>
          <w:szCs w:val="24"/>
          <w:rtl/>
        </w:rPr>
        <w:t xml:space="preserve">ריקבון הלבן </w:t>
      </w:r>
      <w:r w:rsidR="004A6BFB" w:rsidRPr="00732562">
        <w:rPr>
          <w:rFonts w:hint="cs"/>
          <w:sz w:val="24"/>
          <w:szCs w:val="24"/>
          <w:rtl/>
        </w:rPr>
        <w:t>המשמשת</w:t>
      </w:r>
      <w:r w:rsidR="00C11A56" w:rsidRPr="00732562">
        <w:rPr>
          <w:rFonts w:hint="cs"/>
          <w:sz w:val="24"/>
          <w:szCs w:val="24"/>
          <w:rtl/>
        </w:rPr>
        <w:t xml:space="preserve"> במחקר </w:t>
      </w:r>
      <w:r w:rsidRPr="00732562">
        <w:rPr>
          <w:rFonts w:hint="cs"/>
          <w:sz w:val="24"/>
          <w:szCs w:val="24"/>
          <w:rtl/>
        </w:rPr>
        <w:t xml:space="preserve">היא ה- </w:t>
      </w:r>
      <w:r w:rsidR="00735691" w:rsidRPr="00732562">
        <w:rPr>
          <w:rFonts w:cstheme="majorBidi"/>
          <w:i/>
          <w:iCs/>
          <w:sz w:val="24"/>
          <w:szCs w:val="24"/>
        </w:rPr>
        <w:t>Pleurotus</w:t>
      </w:r>
      <w:r w:rsidRPr="00732562">
        <w:rPr>
          <w:rFonts w:cstheme="majorBidi"/>
          <w:i/>
          <w:iCs/>
          <w:sz w:val="24"/>
          <w:szCs w:val="24"/>
        </w:rPr>
        <w:t xml:space="preserve"> ostreatus</w:t>
      </w:r>
      <w:r w:rsidR="00410741" w:rsidRPr="00732562">
        <w:rPr>
          <w:rFonts w:cstheme="majorBidi" w:hint="cs"/>
          <w:i/>
          <w:iCs/>
          <w:sz w:val="24"/>
          <w:szCs w:val="24"/>
          <w:rtl/>
        </w:rPr>
        <w:t xml:space="preserve"> </w:t>
      </w:r>
      <w:r w:rsidR="004A6BFB" w:rsidRPr="00732562">
        <w:rPr>
          <w:rFonts w:hint="cs"/>
          <w:i/>
          <w:iCs/>
          <w:sz w:val="24"/>
          <w:szCs w:val="24"/>
          <w:rtl/>
        </w:rPr>
        <w:t>.</w:t>
      </w:r>
      <w:r w:rsidRPr="00732562">
        <w:rPr>
          <w:rFonts w:hint="cs"/>
          <w:i/>
          <w:iCs/>
          <w:sz w:val="24"/>
          <w:szCs w:val="24"/>
          <w:rtl/>
        </w:rPr>
        <w:t xml:space="preserve"> </w:t>
      </w:r>
      <w:r w:rsidRPr="00732562">
        <w:rPr>
          <w:rFonts w:hint="cs"/>
          <w:sz w:val="24"/>
          <w:szCs w:val="24"/>
          <w:rtl/>
        </w:rPr>
        <w:t>פטריה זו</w:t>
      </w:r>
      <w:r w:rsidR="004A6BFB" w:rsidRPr="00732562">
        <w:rPr>
          <w:rFonts w:hint="cs"/>
          <w:sz w:val="24"/>
          <w:szCs w:val="24"/>
          <w:rtl/>
        </w:rPr>
        <w:t>,</w:t>
      </w:r>
      <w:r w:rsidRPr="00732562">
        <w:rPr>
          <w:rFonts w:hint="cs"/>
          <w:sz w:val="24"/>
          <w:szCs w:val="24"/>
          <w:rtl/>
        </w:rPr>
        <w:t xml:space="preserve"> </w:t>
      </w:r>
      <w:r w:rsidR="004A6BFB" w:rsidRPr="00732562">
        <w:rPr>
          <w:rFonts w:hint="cs"/>
          <w:sz w:val="24"/>
          <w:szCs w:val="24"/>
          <w:rtl/>
        </w:rPr>
        <w:t>ממערכת פטריות</w:t>
      </w:r>
      <w:r w:rsidRPr="00732562">
        <w:rPr>
          <w:rFonts w:hint="cs"/>
          <w:sz w:val="24"/>
          <w:szCs w:val="24"/>
          <w:rtl/>
        </w:rPr>
        <w:t xml:space="preserve"> </w:t>
      </w:r>
      <w:r w:rsidR="004A6BFB" w:rsidRPr="00732562">
        <w:rPr>
          <w:rFonts w:hint="cs"/>
          <w:sz w:val="24"/>
          <w:szCs w:val="24"/>
          <w:rtl/>
        </w:rPr>
        <w:t>ה</w:t>
      </w:r>
      <w:r w:rsidRPr="00732562">
        <w:rPr>
          <w:rFonts w:hint="cs"/>
          <w:sz w:val="24"/>
          <w:szCs w:val="24"/>
          <w:rtl/>
        </w:rPr>
        <w:t>בסיסה (</w:t>
      </w:r>
      <w:r w:rsidRPr="00732562">
        <w:rPr>
          <w:rFonts w:cstheme="majorBidi"/>
          <w:color w:val="252525"/>
          <w:sz w:val="24"/>
          <w:szCs w:val="24"/>
          <w:shd w:val="clear" w:color="auto" w:fill="FFFFFF"/>
        </w:rPr>
        <w:t>Basidiomycota</w:t>
      </w:r>
      <w:r w:rsidRPr="00732562">
        <w:rPr>
          <w:rFonts w:hint="cs"/>
          <w:color w:val="252525"/>
          <w:sz w:val="24"/>
          <w:szCs w:val="24"/>
          <w:shd w:val="clear" w:color="auto" w:fill="FFFFFF"/>
          <w:rtl/>
        </w:rPr>
        <w:t xml:space="preserve">), משמשת כפטריית מאכל נפוצה מאוד, בעלת יכולת פירוק ליגנין ומזהמים אורגניים נוספים. במחקר שנעשה במעבדתנו נמצא ש </w:t>
      </w:r>
      <w:r w:rsidRPr="00732562">
        <w:rPr>
          <w:rFonts w:cs="Times New Roman"/>
          <w:i/>
          <w:iCs/>
          <w:sz w:val="24"/>
          <w:szCs w:val="24"/>
        </w:rPr>
        <w:t>P. ostreatus</w:t>
      </w:r>
      <w:r w:rsidRPr="00732562">
        <w:rPr>
          <w:rFonts w:cs="Times New Roman" w:hint="cs"/>
          <w:i/>
          <w:iCs/>
          <w:sz w:val="24"/>
          <w:szCs w:val="24"/>
          <w:rtl/>
        </w:rPr>
        <w:t xml:space="preserve"> </w:t>
      </w:r>
      <w:r w:rsidRPr="00732562">
        <w:rPr>
          <w:rFonts w:hint="cs"/>
          <w:sz w:val="24"/>
          <w:szCs w:val="24"/>
          <w:rtl/>
        </w:rPr>
        <w:t xml:space="preserve">יעילה בפירוק החומר הרפואי </w:t>
      </w:r>
      <w:r w:rsidR="00852471">
        <w:rPr>
          <w:rFonts w:cs="Times New Roman" w:hint="cs"/>
          <w:sz w:val="24"/>
          <w:szCs w:val="24"/>
        </w:rPr>
        <w:t>C</w:t>
      </w:r>
      <w:r w:rsidRPr="00732562">
        <w:rPr>
          <w:rFonts w:cs="Times New Roman"/>
          <w:sz w:val="24"/>
          <w:szCs w:val="24"/>
        </w:rPr>
        <w:t>arbamazepine</w:t>
      </w:r>
      <w:r w:rsidR="00542252" w:rsidRPr="00732562">
        <w:rPr>
          <w:rFonts w:cs="Times New Roman" w:hint="cs"/>
          <w:sz w:val="24"/>
          <w:szCs w:val="24"/>
          <w:rtl/>
        </w:rPr>
        <w:t xml:space="preserve"> </w:t>
      </w:r>
      <w:r w:rsidR="00542252" w:rsidRPr="00732562">
        <w:rPr>
          <w:rFonts w:hint="cs"/>
          <w:sz w:val="24"/>
          <w:szCs w:val="24"/>
          <w:rtl/>
        </w:rPr>
        <w:t>כאשר נבדקו 3 זנים שונים של הפטרייה נמצא פירוק משמעותי של התרופה כאשר בזן 9</w:t>
      </w:r>
      <w:r w:rsidR="00542252" w:rsidRPr="00732562">
        <w:rPr>
          <w:rFonts w:hint="cs"/>
          <w:sz w:val="24"/>
          <w:szCs w:val="24"/>
        </w:rPr>
        <w:t>PC</w:t>
      </w:r>
      <w:r w:rsidR="007D74DA" w:rsidRPr="00732562">
        <w:rPr>
          <w:rFonts w:hint="cs"/>
          <w:sz w:val="24"/>
          <w:szCs w:val="24"/>
          <w:rtl/>
        </w:rPr>
        <w:t>,</w:t>
      </w:r>
      <w:r w:rsidR="00542252" w:rsidRPr="00732562">
        <w:rPr>
          <w:rFonts w:hint="cs"/>
          <w:sz w:val="24"/>
          <w:szCs w:val="24"/>
          <w:rtl/>
        </w:rPr>
        <w:t xml:space="preserve"> בו אתמקד בעבודתי</w:t>
      </w:r>
      <w:r w:rsidR="007D74DA" w:rsidRPr="00732562">
        <w:rPr>
          <w:rFonts w:hint="cs"/>
          <w:sz w:val="24"/>
          <w:szCs w:val="24"/>
          <w:rtl/>
        </w:rPr>
        <w:t>,</w:t>
      </w:r>
      <w:r w:rsidR="00542252" w:rsidRPr="00732562">
        <w:rPr>
          <w:rFonts w:hint="cs"/>
          <w:sz w:val="24"/>
          <w:szCs w:val="24"/>
          <w:rtl/>
        </w:rPr>
        <w:t xml:space="preserve"> </w:t>
      </w:r>
      <w:r w:rsidR="004A6BFB" w:rsidRPr="00732562">
        <w:rPr>
          <w:rFonts w:hint="cs"/>
          <w:sz w:val="24"/>
          <w:szCs w:val="24"/>
          <w:rtl/>
        </w:rPr>
        <w:t>נמדדה</w:t>
      </w:r>
      <w:r w:rsidR="00542252" w:rsidRPr="00732562">
        <w:rPr>
          <w:rFonts w:hint="cs"/>
          <w:sz w:val="24"/>
          <w:szCs w:val="24"/>
          <w:rtl/>
        </w:rPr>
        <w:t xml:space="preserve"> העלמות של 99% מהחומר</w:t>
      </w:r>
      <w:r w:rsidR="004A6BFB" w:rsidRPr="00732562">
        <w:rPr>
          <w:rFonts w:hint="cs"/>
          <w:sz w:val="24"/>
          <w:szCs w:val="24"/>
          <w:rtl/>
        </w:rPr>
        <w:t xml:space="preserve"> </w:t>
      </w:r>
      <w:r w:rsidR="00B00442">
        <w:rPr>
          <w:sz w:val="24"/>
          <w:szCs w:val="24"/>
        </w:rPr>
        <w:t>C</w:t>
      </w:r>
      <w:r w:rsidR="00BE3568">
        <w:rPr>
          <w:sz w:val="24"/>
          <w:szCs w:val="24"/>
        </w:rPr>
        <w:t>arbamazepine</w:t>
      </w:r>
      <w:r w:rsidR="00542252" w:rsidRPr="00732562">
        <w:rPr>
          <w:rFonts w:hint="cs"/>
          <w:sz w:val="24"/>
          <w:szCs w:val="24"/>
          <w:rtl/>
        </w:rPr>
        <w:t xml:space="preserve"> תוך 10 ימי אינקובציה</w:t>
      </w:r>
      <w:r w:rsidR="007D74DA" w:rsidRPr="00732562">
        <w:rPr>
          <w:rFonts w:hint="cs"/>
          <w:sz w:val="24"/>
          <w:szCs w:val="24"/>
          <w:rtl/>
        </w:rPr>
        <w:t>.</w:t>
      </w:r>
      <w:r w:rsidR="006D2873" w:rsidRPr="00732562">
        <w:rPr>
          <w:rFonts w:hint="cs"/>
          <w:sz w:val="24"/>
          <w:szCs w:val="24"/>
          <w:rtl/>
        </w:rPr>
        <w:t xml:space="preserve"> בנוסף</w:t>
      </w:r>
      <w:r w:rsidR="00BF5BC3" w:rsidRPr="00732562">
        <w:rPr>
          <w:rFonts w:hint="cs"/>
          <w:sz w:val="24"/>
          <w:szCs w:val="24"/>
          <w:rtl/>
        </w:rPr>
        <w:t>,</w:t>
      </w:r>
      <w:r w:rsidR="006D2873" w:rsidRPr="00732562">
        <w:rPr>
          <w:rFonts w:hint="cs"/>
          <w:sz w:val="24"/>
          <w:szCs w:val="24"/>
          <w:rtl/>
        </w:rPr>
        <w:t xml:space="preserve"> הוצא שהאנזימים האחראים על פירוק</w:t>
      </w:r>
      <w:r w:rsidR="007D74DA" w:rsidRPr="00732562">
        <w:rPr>
          <w:rFonts w:hint="cs"/>
          <w:sz w:val="24"/>
          <w:szCs w:val="24"/>
          <w:rtl/>
        </w:rPr>
        <w:t xml:space="preserve"> זה, </w:t>
      </w:r>
      <w:r w:rsidR="006D2873" w:rsidRPr="00732562">
        <w:rPr>
          <w:rFonts w:hint="cs"/>
          <w:sz w:val="24"/>
          <w:szCs w:val="24"/>
          <w:rtl/>
        </w:rPr>
        <w:t xml:space="preserve"> מנגן פרוקסידאז וציטוכרום 450</w:t>
      </w:r>
      <w:r w:rsidR="006D2873" w:rsidRPr="00732562">
        <w:rPr>
          <w:sz w:val="24"/>
          <w:szCs w:val="24"/>
        </w:rPr>
        <w:t>P</w:t>
      </w:r>
      <w:r w:rsidR="007D74DA" w:rsidRPr="00732562">
        <w:rPr>
          <w:rFonts w:hint="cs"/>
          <w:sz w:val="24"/>
          <w:szCs w:val="24"/>
          <w:rtl/>
        </w:rPr>
        <w:t>,</w:t>
      </w:r>
      <w:r w:rsidR="006D2873" w:rsidRPr="00732562">
        <w:rPr>
          <w:rFonts w:hint="cs"/>
          <w:sz w:val="24"/>
          <w:szCs w:val="24"/>
          <w:rtl/>
        </w:rPr>
        <w:t xml:space="preserve"> </w:t>
      </w:r>
      <w:r w:rsidR="007F7433" w:rsidRPr="00732562">
        <w:rPr>
          <w:rFonts w:hint="cs"/>
          <w:sz w:val="24"/>
          <w:szCs w:val="24"/>
          <w:rtl/>
        </w:rPr>
        <w:t>לקבל</w:t>
      </w:r>
      <w:r w:rsidR="007D74DA" w:rsidRPr="00732562">
        <w:rPr>
          <w:rFonts w:hint="cs"/>
          <w:sz w:val="24"/>
          <w:szCs w:val="24"/>
          <w:rtl/>
        </w:rPr>
        <w:t>ת</w:t>
      </w:r>
      <w:r w:rsidR="005434C3" w:rsidRPr="00732562">
        <w:rPr>
          <w:rFonts w:hint="cs"/>
          <w:sz w:val="24"/>
          <w:szCs w:val="24"/>
          <w:rtl/>
        </w:rPr>
        <w:t xml:space="preserve"> </w:t>
      </w:r>
      <w:r w:rsidR="007D74DA" w:rsidRPr="00732562">
        <w:rPr>
          <w:rFonts w:hint="cs"/>
          <w:sz w:val="24"/>
          <w:szCs w:val="24"/>
          <w:rtl/>
        </w:rPr>
        <w:t>ה</w:t>
      </w:r>
      <w:r w:rsidR="005434C3" w:rsidRPr="00732562">
        <w:rPr>
          <w:rFonts w:hint="cs"/>
          <w:sz w:val="24"/>
          <w:szCs w:val="24"/>
          <w:rtl/>
        </w:rPr>
        <w:t>תוצרי</w:t>
      </w:r>
      <w:r w:rsidR="007D74DA" w:rsidRPr="00732562">
        <w:rPr>
          <w:rFonts w:hint="cs"/>
          <w:sz w:val="24"/>
          <w:szCs w:val="24"/>
          <w:rtl/>
        </w:rPr>
        <w:t>ם</w:t>
      </w:r>
      <w:r w:rsidR="005434C3" w:rsidRPr="00732562">
        <w:rPr>
          <w:rFonts w:hint="cs"/>
          <w:sz w:val="24"/>
          <w:szCs w:val="24"/>
          <w:rtl/>
        </w:rPr>
        <w:t xml:space="preserve">  </w:t>
      </w:r>
      <w:r w:rsidR="005434C3" w:rsidRPr="00732562">
        <w:rPr>
          <w:rFonts w:asciiTheme="majorBidi" w:hAnsiTheme="majorBidi" w:cstheme="majorBidi"/>
          <w:sz w:val="24"/>
          <w:szCs w:val="24"/>
        </w:rPr>
        <w:t>10,11-</w:t>
      </w:r>
      <w:r w:rsidR="007D74DA" w:rsidRPr="00732562">
        <w:rPr>
          <w:rFonts w:ascii="AdvOT2e364b11" w:hAnsi="AdvOT2e364b11" w:cs="AdvOT2e364b11"/>
          <w:sz w:val="24"/>
          <w:szCs w:val="24"/>
        </w:rPr>
        <w:t xml:space="preserve"> </w:t>
      </w:r>
      <w:r w:rsidR="007D74DA" w:rsidRPr="00732562">
        <w:rPr>
          <w:rFonts w:cs="Times New Roman"/>
          <w:sz w:val="24"/>
          <w:szCs w:val="24"/>
        </w:rPr>
        <w:t>epoxycarbamazepine</w:t>
      </w:r>
      <w:r w:rsidR="005434C3" w:rsidRPr="00732562">
        <w:rPr>
          <w:rFonts w:asciiTheme="majorBidi" w:hAnsiTheme="majorBidi" w:cstheme="majorBidi"/>
          <w:sz w:val="24"/>
          <w:szCs w:val="24"/>
          <w:rtl/>
        </w:rPr>
        <w:t xml:space="preserve"> ו- </w:t>
      </w:r>
      <w:r w:rsidR="005434C3" w:rsidRPr="00732562">
        <w:rPr>
          <w:rFonts w:asciiTheme="majorBidi" w:hAnsiTheme="majorBidi" w:cstheme="majorBidi"/>
          <w:sz w:val="24"/>
          <w:szCs w:val="24"/>
        </w:rPr>
        <w:t>10,11-dihydroxycarbamazepine</w:t>
      </w:r>
      <w:r w:rsidR="005434C3" w:rsidRPr="00732562">
        <w:rPr>
          <w:rFonts w:asciiTheme="majorBidi" w:hAnsiTheme="majorBidi" w:cstheme="majorBidi" w:hint="cs"/>
          <w:sz w:val="24"/>
          <w:szCs w:val="24"/>
          <w:rtl/>
        </w:rPr>
        <w:t xml:space="preserve"> </w:t>
      </w:r>
      <w:r w:rsidR="005434C3" w:rsidRPr="00732562">
        <w:rPr>
          <w:rFonts w:asciiTheme="majorBidi" w:hAnsiTheme="majorBidi" w:hint="cs"/>
          <w:sz w:val="24"/>
          <w:szCs w:val="24"/>
          <w:rtl/>
        </w:rPr>
        <w:t xml:space="preserve">באינקובציה של </w:t>
      </w:r>
      <w:r w:rsidR="00410741" w:rsidRPr="00732562">
        <w:rPr>
          <w:rFonts w:cstheme="majorBidi"/>
          <w:i/>
          <w:iCs/>
          <w:sz w:val="24"/>
          <w:szCs w:val="24"/>
        </w:rPr>
        <w:t>P. ostreatus</w:t>
      </w:r>
      <w:r w:rsidR="00410741" w:rsidRPr="00732562">
        <w:rPr>
          <w:sz w:val="24"/>
          <w:szCs w:val="24"/>
          <w:rtl/>
        </w:rPr>
        <w:t xml:space="preserve"> </w:t>
      </w:r>
      <w:r w:rsidR="005434C3" w:rsidRPr="00732562">
        <w:rPr>
          <w:rFonts w:hint="cs"/>
          <w:sz w:val="24"/>
          <w:szCs w:val="24"/>
          <w:rtl/>
        </w:rPr>
        <w:t xml:space="preserve">עם </w:t>
      </w:r>
      <w:r w:rsidR="00B00442">
        <w:rPr>
          <w:rFonts w:hint="cs"/>
          <w:sz w:val="24"/>
          <w:szCs w:val="24"/>
        </w:rPr>
        <w:t>C</w:t>
      </w:r>
      <w:r w:rsidR="00BE3568">
        <w:rPr>
          <w:sz w:val="24"/>
          <w:szCs w:val="24"/>
        </w:rPr>
        <w:t>arbamazepine</w:t>
      </w:r>
      <w:r w:rsidR="005434C3" w:rsidRPr="00732562">
        <w:rPr>
          <w:rFonts w:cstheme="majorBidi" w:hint="cs"/>
          <w:i/>
          <w:iCs/>
          <w:sz w:val="24"/>
          <w:szCs w:val="24"/>
          <w:rtl/>
        </w:rPr>
        <w:t xml:space="preserve"> </w:t>
      </w:r>
      <w:r w:rsidR="005434C3" w:rsidRPr="00732562">
        <w:rPr>
          <w:rFonts w:hint="cs"/>
          <w:sz w:val="24"/>
          <w:szCs w:val="24"/>
          <w:rtl/>
        </w:rPr>
        <w:t xml:space="preserve">על גבי מצע </w:t>
      </w:r>
      <w:r w:rsidR="005434C3" w:rsidRPr="00732562">
        <w:rPr>
          <w:rFonts w:hint="cs"/>
          <w:sz w:val="24"/>
          <w:szCs w:val="24"/>
        </w:rPr>
        <w:t>GP</w:t>
      </w:r>
      <w:r w:rsidR="005434C3" w:rsidRPr="00732562">
        <w:rPr>
          <w:rFonts w:hint="cs"/>
          <w:sz w:val="24"/>
          <w:szCs w:val="24"/>
          <w:rtl/>
        </w:rPr>
        <w:t xml:space="preserve"> ו</w:t>
      </w:r>
      <w:r w:rsidR="00531F40" w:rsidRPr="00732562">
        <w:rPr>
          <w:rFonts w:hint="cs"/>
          <w:sz w:val="24"/>
          <w:szCs w:val="24"/>
          <w:rtl/>
        </w:rPr>
        <w:t>-</w:t>
      </w:r>
      <w:r w:rsidR="005434C3" w:rsidRPr="00732562">
        <w:rPr>
          <w:rFonts w:hint="cs"/>
          <w:sz w:val="24"/>
          <w:szCs w:val="24"/>
          <w:rtl/>
        </w:rPr>
        <w:t>22 תוצרי פירוק נוספים באינקובציה על גבי קש כותנה</w:t>
      </w:r>
      <w:r w:rsidR="007D74DA" w:rsidRPr="00732562">
        <w:rPr>
          <w:rFonts w:hint="cs"/>
          <w:sz w:val="24"/>
          <w:szCs w:val="24"/>
          <w:rtl/>
        </w:rPr>
        <w:t xml:space="preserve"> </w:t>
      </w:r>
      <w:r w:rsidR="007564BE" w:rsidRPr="00732562">
        <w:rPr>
          <w:sz w:val="24"/>
          <w:szCs w:val="24"/>
          <w:rtl/>
        </w:rPr>
        <w:fldChar w:fldCharType="begin" w:fldLock="1"/>
      </w:r>
      <w:r w:rsidR="00C3410C">
        <w:rPr>
          <w:sz w:val="24"/>
          <w:szCs w:val="24"/>
        </w:rPr>
        <w:instrText>ADDIN CSL_CITATION { "citationItems" : [ { "id" : "ITEM-1", "itemData" : { "DOI" : "10.1021/es200298t", "ISBN" : "0013-936X", "PMID" : "21744850", "abstract" : "Carbamazepine (CBZ) is an environmentally recalcitrant compound highly stable in soil and during wastewater treatment. In this study, we examined the mechanisms by which the white-rot fungus Pleurotus ostreatus metabolizes CBZ in liquid culture using a physiological approach. P. ostreatus PC9 was grown in media known to support different levels of a multiplicity of enzyme systems such as cytochrome P450 (CYP450) and manganese peroxidase (MnP). When both CYP450 and MnP systems were active, 99% of the added CBZ was eliminated from the solution and transformed to 10,11-epoxycarbamazepine. High removal of CBZ was also obtained when either MnP or CYP450 was active. When both CYP450 and MnP were inactivated, only 10 to 30% of the added CBZ was removed. In this latter system, removal of CBZ might be partially attributed to the activity of versatile peroxidase. P. ostreatus was able to eliminate CBZ in liquid culture even when CBZ was added at an environmentally relevant concentration (1 \u03bcg L(-1)). On the basis of our study, we suggest that two families of enzymes are involved in the oxidation of CBZ in liquid culture: MnP in a Mn(2+)-dependent or independent manner and CYP450. Our study also highlights the potential of using P. ostreatus for bioremediation systems.", "author" : [ { "dropping-particle" : "", "family" : "Golan-Rozen", "given" : "Naama", "non-dropping-particle" : "", "parse-names" : false, "suffix" : "" }, { "dropping-particle" : "", "family" : "Chefetz", "given" : "Benny", "non-dropping-particle" : "", "parse-names" : false, "suffix" : "" }, { "dropping-particle" : "", "family" : "Ben-Ari", "given" : "Julius", "non-dropping-particle" : "", "parse-names" : false, "suffix" : "" }, { "dropping-particle" : "", "family" : "Geva", "given" : "Joseph", "non-dropping-particle" : "", "parse-names" : false, "suffix" : "" }, { "dropping-particle" : "", "family" : "Hadar", "given" : "Yitzhak", "non-dropping-particle" : "", "parse-names" : false, "suffix" : "" } ], "container-title" : "Environmental Science and Technology", "id" : "ITEM-1", "issued" : { "date-parts" : [ [ "2011" ] ] }, "page" : "6800-6805", "title" : "Transformation of the recalcitrant pharmaceutical compound carbamazepine by pleurotus ostreatus: Role of cytochrome P450 monooxygenase and manganese peroxidase", "type" : "article-journal", "volume" : "45" }, "uris" : [ "http://www.mendeley.com/documents/?uuid=6572bbae-e724-46ee-9ac6-740d9fc2ccf3" ] }, { "id" : "ITEM-2", "itemData" : { "DOI" : "10.1021/acs.est.5b02222", "ISBN" : "0013-936X", "ISSN" : "15205851", "PMID" : "26418858", "abstract" : "The widely used anticonvulsant pharmaceutical carbamazepine is recalcitrant in many environmental niches and thus poses a challenge in wastewater treatment. We followed the decomposition of carbamazepine by the white-rot fungus Pleurotus ostreatus in liquid culture compared to solid-state fermentation on lignocellulosic substrate where different enzymatic systems are active. Carbamazepine metabolites were identified using liquid chromatography?high-resolution mass spectrometry (LC-Q-TOF-MS). In liquid culture, carbamazepine was only transformed to 10,11-epoxy carbamazepine and 10,11-dihydroxy carbamazepine as a dead-end product. During solid-state fermentation, carbamazepine metabolism resulted in the generation of an additional 22 transformation products, some of which are toxic. Under solid-state-fermentation conditions, 10,11-epoxy carbamazepine was further metabolized via acridine and 10,11-dihydroxy carbamazepine pathways. The latter was further metabolized via five subpathways. When 14C-carbonyl-labeled carbamazepine was used as the substrate, 14C-CO2 release amounted to 17.4% of the initial radioactivity after 63 days of incubation. The proposed pathways were validated using metabolites (10,11-epoxy carbamazepine, 10,11-dihydroxy carbamazepine, and acridine) as primary substrates and following their fate at different time points. This work highlights the effect of growth conditions on the transformation pathways of xenobiotics. A better understanding of the fate of pollutants during bioremediation treatments is important for establishment of such technologies.", "author" : [ { "dropping-particle" : "", "family" : "Golan-Rozen", "given" : "Naama", "non-dropping-particle" : "", "parse-names" : false, "suffix" : "" }, { "dropping-particle" : "", "family" : "Seiwert", "given" : "Bettina", "non-dropping-particle" : "", "parse-names" : false, "suffix" : "" }, { "dropping-particle" : "", "family" : "Riemenschneider", "given" : "Christina", "non-dropping-particle" : "", "parse-names" : false, "suffix" : "" }, { "dropping-particle" : "", "family" : "Reemtsma", "given" : "Thorsten", "non-dropping-particle" : "", "parse-names" : false, "suffix" : "" }, { "dropping-particle" : "", "family" : "Chefetz", "given" : "Benny", "non-dropping-particle" : "", "parse-names" : false, "suffix" : "" }, { "dropping-particle" : "", "family" : "Hadar", "given" : "Yitzhak", "non-dropping-particle" : "", "parse-names" : false, "suffix" : "" } ], "container-title" : "Environmental Science and Technology", "id" : "ITEM-2", "issue" : "20", "issued" : { "date-parts" : [ [ "2015" ] ] }, "page" : "12351-12362", "title" : "Transformation Pathways of the Recalcitrant Pharmaceutical Compound Carbamazepine by the White-Rot Fungus Pleurotus ostreatus: Effects of Growth Conditions", "type" : "article-journal", "volume" : "49" }, "uris" : [ "http://www.mendeley.com/documents/?uuid=f935941a-8e3e-4d78-9e89-cc1972a1919d" ] } ], "mendeley" : { "formattedCitation" : "(Golan-Rozen et al. 2011; Golan-Rozen et al. 2015)", "plainTextFormattedCitation" : "(Golan-Rozen et al. 2011; Golan-Rozen et al. 2015)", "previouslyFormattedCitation" : "(Golan-Rozen et al. 2011; Golan-Rozen et al. 2015)" }, "properties" : { "noteIndex" : 0 }, "schema" : "https://github.com/citation-style-language/schema/raw/master/csl-citation.json" }</w:instrText>
      </w:r>
      <w:r w:rsidR="007564BE" w:rsidRPr="00732562">
        <w:rPr>
          <w:sz w:val="24"/>
          <w:szCs w:val="24"/>
          <w:rtl/>
        </w:rPr>
        <w:fldChar w:fldCharType="separate"/>
      </w:r>
      <w:r w:rsidR="007564BE" w:rsidRPr="00732562">
        <w:rPr>
          <w:noProof/>
          <w:sz w:val="24"/>
          <w:szCs w:val="24"/>
          <w:rtl/>
        </w:rPr>
        <w:t>(</w:t>
      </w:r>
      <w:r w:rsidR="007564BE" w:rsidRPr="00732562">
        <w:rPr>
          <w:noProof/>
          <w:sz w:val="24"/>
          <w:szCs w:val="24"/>
        </w:rPr>
        <w:t>Golan-Rozen et al. 2011; Golan-Rozen et al. 2015</w:t>
      </w:r>
      <w:r w:rsidR="007564BE" w:rsidRPr="00732562">
        <w:rPr>
          <w:noProof/>
          <w:sz w:val="24"/>
          <w:szCs w:val="24"/>
          <w:rtl/>
        </w:rPr>
        <w:t>)</w:t>
      </w:r>
      <w:r w:rsidR="007564BE" w:rsidRPr="00732562">
        <w:rPr>
          <w:sz w:val="24"/>
          <w:szCs w:val="24"/>
          <w:rtl/>
        </w:rPr>
        <w:fldChar w:fldCharType="end"/>
      </w:r>
      <w:r w:rsidR="007564BE" w:rsidRPr="00732562">
        <w:rPr>
          <w:rFonts w:hint="cs"/>
          <w:sz w:val="24"/>
          <w:szCs w:val="24"/>
          <w:rtl/>
        </w:rPr>
        <w:t>.</w:t>
      </w:r>
    </w:p>
    <w:p w14:paraId="77E02E3A" w14:textId="77777777" w:rsidR="00C269F5" w:rsidRPr="00732562" w:rsidRDefault="00C269F5" w:rsidP="00406847">
      <w:pPr>
        <w:shd w:val="clear" w:color="auto" w:fill="FFFFFF"/>
        <w:bidi/>
        <w:spacing w:after="0" w:line="360" w:lineRule="auto"/>
        <w:jc w:val="both"/>
        <w:outlineLvl w:val="3"/>
        <w:rPr>
          <w:b/>
          <w:bCs/>
          <w:sz w:val="24"/>
          <w:szCs w:val="24"/>
          <w:u w:val="single"/>
          <w:rtl/>
        </w:rPr>
      </w:pPr>
    </w:p>
    <w:p w14:paraId="6E5A6060" w14:textId="77777777" w:rsidR="003150E0" w:rsidRPr="00732562" w:rsidRDefault="00251796" w:rsidP="00406847">
      <w:pPr>
        <w:shd w:val="clear" w:color="auto" w:fill="FFFFFF"/>
        <w:bidi/>
        <w:spacing w:after="0" w:line="360" w:lineRule="auto"/>
        <w:jc w:val="both"/>
        <w:outlineLvl w:val="3"/>
        <w:rPr>
          <w:b/>
          <w:bCs/>
          <w:sz w:val="24"/>
          <w:szCs w:val="24"/>
          <w:u w:val="single"/>
          <w:rtl/>
        </w:rPr>
      </w:pPr>
      <w:r w:rsidRPr="00732562">
        <w:rPr>
          <w:rFonts w:hint="cs"/>
          <w:b/>
          <w:bCs/>
          <w:sz w:val="24"/>
          <w:szCs w:val="24"/>
          <w:u w:val="single"/>
          <w:rtl/>
        </w:rPr>
        <w:t xml:space="preserve">השערות </w:t>
      </w:r>
      <w:r w:rsidR="003F38EC" w:rsidRPr="00732562">
        <w:rPr>
          <w:rFonts w:hint="cs"/>
          <w:b/>
          <w:bCs/>
          <w:sz w:val="24"/>
          <w:szCs w:val="24"/>
          <w:u w:val="single"/>
          <w:rtl/>
        </w:rPr>
        <w:t>ומטרת העבודה</w:t>
      </w:r>
    </w:p>
    <w:p w14:paraId="02FD22D8" w14:textId="03D95A77" w:rsidR="003F38EC" w:rsidRPr="00732562" w:rsidRDefault="003F38EC" w:rsidP="002209C1">
      <w:pPr>
        <w:shd w:val="clear" w:color="auto" w:fill="FFFFFF"/>
        <w:bidi/>
        <w:spacing w:after="0" w:line="360" w:lineRule="auto"/>
        <w:jc w:val="both"/>
        <w:outlineLvl w:val="3"/>
        <w:rPr>
          <w:rFonts w:eastAsia="Times New Roman"/>
          <w:sz w:val="24"/>
          <w:szCs w:val="24"/>
          <w:rtl/>
        </w:rPr>
      </w:pPr>
      <w:r w:rsidRPr="00732562">
        <w:rPr>
          <w:rFonts w:hint="cs"/>
          <w:sz w:val="24"/>
          <w:szCs w:val="24"/>
          <w:rtl/>
        </w:rPr>
        <w:t xml:space="preserve">הנחת המחקר היא שפטריית </w:t>
      </w:r>
      <w:r w:rsidR="00BD6FAF" w:rsidRPr="00732562">
        <w:rPr>
          <w:rFonts w:hint="cs"/>
          <w:sz w:val="24"/>
          <w:szCs w:val="24"/>
          <w:rtl/>
        </w:rPr>
        <w:t>ה</w:t>
      </w:r>
      <w:r w:rsidRPr="00732562">
        <w:rPr>
          <w:rFonts w:hint="cs"/>
          <w:sz w:val="24"/>
          <w:szCs w:val="24"/>
          <w:rtl/>
        </w:rPr>
        <w:t xml:space="preserve">ריקבון </w:t>
      </w:r>
      <w:r w:rsidR="00BD6FAF" w:rsidRPr="00732562">
        <w:rPr>
          <w:rFonts w:hint="cs"/>
          <w:sz w:val="24"/>
          <w:szCs w:val="24"/>
          <w:rtl/>
        </w:rPr>
        <w:t>ה</w:t>
      </w:r>
      <w:r w:rsidRPr="00732562">
        <w:rPr>
          <w:rFonts w:hint="cs"/>
          <w:sz w:val="24"/>
          <w:szCs w:val="24"/>
          <w:rtl/>
        </w:rPr>
        <w:t xml:space="preserve">לבן </w:t>
      </w:r>
      <w:r w:rsidR="00AB72F7" w:rsidRPr="00732562">
        <w:rPr>
          <w:rFonts w:eastAsia="Times New Roman" w:cstheme="majorBidi"/>
          <w:i/>
          <w:iCs/>
          <w:sz w:val="24"/>
          <w:szCs w:val="24"/>
        </w:rPr>
        <w:t>P</w:t>
      </w:r>
      <w:r w:rsidR="00AB72F7">
        <w:rPr>
          <w:rFonts w:eastAsia="Times New Roman" w:cstheme="majorBidi"/>
          <w:i/>
          <w:iCs/>
          <w:sz w:val="24"/>
          <w:szCs w:val="24"/>
        </w:rPr>
        <w:t>.</w:t>
      </w:r>
      <w:r w:rsidR="00AB72F7" w:rsidRPr="00732562">
        <w:rPr>
          <w:rFonts w:eastAsia="Times New Roman" w:cstheme="majorBidi"/>
          <w:i/>
          <w:iCs/>
          <w:sz w:val="24"/>
          <w:szCs w:val="24"/>
        </w:rPr>
        <w:t xml:space="preserve"> </w:t>
      </w:r>
      <w:r w:rsidRPr="00732562">
        <w:rPr>
          <w:rFonts w:eastAsia="Times New Roman" w:cstheme="majorBidi"/>
          <w:i/>
          <w:iCs/>
          <w:sz w:val="24"/>
          <w:szCs w:val="24"/>
        </w:rPr>
        <w:t>ostreatus</w:t>
      </w:r>
      <w:r w:rsidR="003150E0" w:rsidRPr="00732562">
        <w:rPr>
          <w:rFonts w:eastAsia="Times New Roman" w:cstheme="majorBidi" w:hint="cs"/>
          <w:i/>
          <w:iCs/>
          <w:sz w:val="24"/>
          <w:szCs w:val="24"/>
          <w:rtl/>
        </w:rPr>
        <w:t xml:space="preserve"> </w:t>
      </w:r>
      <w:r w:rsidR="00343914" w:rsidRPr="00732562">
        <w:rPr>
          <w:rFonts w:eastAsia="Times New Roman" w:hint="cs"/>
          <w:sz w:val="24"/>
          <w:szCs w:val="24"/>
          <w:rtl/>
        </w:rPr>
        <w:t xml:space="preserve"> מסוגלת </w:t>
      </w:r>
      <w:r w:rsidR="00C269F5" w:rsidRPr="00732562">
        <w:rPr>
          <w:rFonts w:eastAsia="Times New Roman" w:hint="cs"/>
          <w:sz w:val="24"/>
          <w:szCs w:val="24"/>
          <w:rtl/>
        </w:rPr>
        <w:t xml:space="preserve">לפרק </w:t>
      </w:r>
      <w:r w:rsidR="00B00442">
        <w:rPr>
          <w:rFonts w:eastAsia="Times New Roman" w:cstheme="majorBidi"/>
          <w:sz w:val="24"/>
          <w:szCs w:val="24"/>
        </w:rPr>
        <w:t>Lamotrigine</w:t>
      </w:r>
      <w:r w:rsidR="00C269F5" w:rsidRPr="00732562">
        <w:rPr>
          <w:rFonts w:eastAsia="Times New Roman" w:cstheme="majorBidi" w:hint="cs"/>
          <w:sz w:val="24"/>
          <w:szCs w:val="24"/>
          <w:rtl/>
        </w:rPr>
        <w:t xml:space="preserve"> </w:t>
      </w:r>
      <w:r w:rsidR="00343914" w:rsidRPr="00732562">
        <w:rPr>
          <w:rFonts w:eastAsia="Times New Roman" w:hint="cs"/>
          <w:sz w:val="24"/>
          <w:szCs w:val="24"/>
          <w:rtl/>
        </w:rPr>
        <w:t xml:space="preserve">תוך יצירת תוצרי </w:t>
      </w:r>
      <w:r w:rsidR="00C269F5" w:rsidRPr="00732562">
        <w:rPr>
          <w:rFonts w:eastAsia="Times New Roman" w:hint="cs"/>
          <w:sz w:val="24"/>
          <w:szCs w:val="24"/>
          <w:rtl/>
        </w:rPr>
        <w:t xml:space="preserve">טרנספורמציה </w:t>
      </w:r>
      <w:r w:rsidR="00343914" w:rsidRPr="00732562">
        <w:rPr>
          <w:rFonts w:eastAsia="Times New Roman" w:hint="cs"/>
          <w:sz w:val="24"/>
          <w:szCs w:val="24"/>
          <w:rtl/>
        </w:rPr>
        <w:t>שונים.</w:t>
      </w:r>
      <w:r w:rsidR="00C269F5" w:rsidRPr="00732562">
        <w:rPr>
          <w:rFonts w:eastAsia="Times New Roman" w:hint="cs"/>
          <w:sz w:val="24"/>
          <w:szCs w:val="24"/>
          <w:rtl/>
        </w:rPr>
        <w:t xml:space="preserve"> לכן מ</w:t>
      </w:r>
      <w:r w:rsidRPr="00732562">
        <w:rPr>
          <w:rFonts w:eastAsia="Times New Roman" w:hint="cs"/>
          <w:sz w:val="24"/>
          <w:szCs w:val="24"/>
          <w:rtl/>
        </w:rPr>
        <w:t xml:space="preserve">טרת העבודה </w:t>
      </w:r>
      <w:r w:rsidR="00C269F5" w:rsidRPr="00732562">
        <w:rPr>
          <w:rFonts w:eastAsia="Times New Roman" w:hint="cs"/>
          <w:sz w:val="24"/>
          <w:szCs w:val="24"/>
          <w:rtl/>
        </w:rPr>
        <w:t xml:space="preserve">העיקרית </w:t>
      </w:r>
      <w:r w:rsidRPr="00732562">
        <w:rPr>
          <w:rFonts w:eastAsia="Times New Roman" w:hint="cs"/>
          <w:sz w:val="24"/>
          <w:szCs w:val="24"/>
          <w:rtl/>
        </w:rPr>
        <w:t xml:space="preserve">היא לבדוק </w:t>
      </w:r>
      <w:r w:rsidR="00B26799" w:rsidRPr="00732562">
        <w:rPr>
          <w:rFonts w:eastAsia="Times New Roman" w:hint="cs"/>
          <w:sz w:val="24"/>
          <w:szCs w:val="24"/>
          <w:rtl/>
        </w:rPr>
        <w:t>את יכול</w:t>
      </w:r>
      <w:r w:rsidR="003150E0" w:rsidRPr="00732562">
        <w:rPr>
          <w:rFonts w:eastAsia="Times New Roman" w:hint="cs"/>
          <w:sz w:val="24"/>
          <w:szCs w:val="24"/>
          <w:rtl/>
        </w:rPr>
        <w:t>ת</w:t>
      </w:r>
      <w:r w:rsidR="00B26799" w:rsidRPr="00732562">
        <w:rPr>
          <w:rFonts w:eastAsia="Times New Roman" w:hint="cs"/>
          <w:sz w:val="24"/>
          <w:szCs w:val="24"/>
          <w:rtl/>
        </w:rPr>
        <w:t xml:space="preserve"> הפטריה </w:t>
      </w:r>
      <w:r w:rsidR="00B26799" w:rsidRPr="00732562">
        <w:rPr>
          <w:rFonts w:eastAsia="Times New Roman" w:cstheme="majorBidi"/>
          <w:i/>
          <w:iCs/>
          <w:sz w:val="24"/>
          <w:szCs w:val="24"/>
        </w:rPr>
        <w:t>Pleurotus ostreatus</w:t>
      </w:r>
      <w:r w:rsidR="00B26799" w:rsidRPr="00732562">
        <w:rPr>
          <w:rFonts w:eastAsia="Times New Roman" w:cstheme="majorBidi" w:hint="cs"/>
          <w:i/>
          <w:iCs/>
          <w:sz w:val="24"/>
          <w:szCs w:val="24"/>
          <w:rtl/>
        </w:rPr>
        <w:t xml:space="preserve"> </w:t>
      </w:r>
      <w:r w:rsidR="00C269F5" w:rsidRPr="00732562">
        <w:rPr>
          <w:rFonts w:eastAsia="Times New Roman" w:hint="cs"/>
          <w:sz w:val="24"/>
          <w:szCs w:val="24"/>
          <w:rtl/>
        </w:rPr>
        <w:t xml:space="preserve">לפרק </w:t>
      </w:r>
      <w:r w:rsidR="00B00442">
        <w:rPr>
          <w:rFonts w:eastAsia="Times New Roman" w:cstheme="majorBidi"/>
          <w:sz w:val="24"/>
          <w:szCs w:val="24"/>
        </w:rPr>
        <w:t>Lamotrigine</w:t>
      </w:r>
      <w:r w:rsidR="00C269F5" w:rsidRPr="00732562" w:rsidDel="00C269F5">
        <w:rPr>
          <w:rFonts w:eastAsia="Times New Roman" w:hint="eastAsia"/>
          <w:sz w:val="24"/>
          <w:szCs w:val="24"/>
          <w:rtl/>
        </w:rPr>
        <w:t xml:space="preserve"> </w:t>
      </w:r>
      <w:r w:rsidR="00B26799" w:rsidRPr="00732562">
        <w:rPr>
          <w:rFonts w:eastAsia="Times New Roman" w:hint="cs"/>
          <w:sz w:val="24"/>
          <w:szCs w:val="24"/>
          <w:rtl/>
        </w:rPr>
        <w:t>ולנסות</w:t>
      </w:r>
      <w:r w:rsidR="00531F40" w:rsidRPr="00732562">
        <w:rPr>
          <w:rFonts w:eastAsia="Times New Roman" w:hint="cs"/>
          <w:sz w:val="24"/>
          <w:szCs w:val="24"/>
          <w:rtl/>
        </w:rPr>
        <w:t>,</w:t>
      </w:r>
      <w:r w:rsidR="00B26799" w:rsidRPr="00732562">
        <w:rPr>
          <w:rFonts w:eastAsia="Times New Roman" w:hint="cs"/>
          <w:sz w:val="24"/>
          <w:szCs w:val="24"/>
          <w:rtl/>
        </w:rPr>
        <w:t xml:space="preserve"> בעזרת אפיון של תוצרי הפ</w:t>
      </w:r>
      <w:r w:rsidR="00531F40" w:rsidRPr="00732562">
        <w:rPr>
          <w:rFonts w:eastAsia="Times New Roman" w:hint="cs"/>
          <w:sz w:val="24"/>
          <w:szCs w:val="24"/>
          <w:rtl/>
        </w:rPr>
        <w:t>י</w:t>
      </w:r>
      <w:r w:rsidR="00B26799" w:rsidRPr="00732562">
        <w:rPr>
          <w:rFonts w:eastAsia="Times New Roman" w:hint="cs"/>
          <w:sz w:val="24"/>
          <w:szCs w:val="24"/>
          <w:rtl/>
        </w:rPr>
        <w:t>רוק</w:t>
      </w:r>
      <w:r w:rsidR="00531F40" w:rsidRPr="00732562">
        <w:rPr>
          <w:rFonts w:eastAsia="Times New Roman" w:hint="cs"/>
          <w:sz w:val="24"/>
          <w:szCs w:val="24"/>
          <w:rtl/>
        </w:rPr>
        <w:t>,</w:t>
      </w:r>
      <w:r w:rsidR="00B26799" w:rsidRPr="00732562">
        <w:rPr>
          <w:rFonts w:eastAsia="Times New Roman" w:hint="cs"/>
          <w:sz w:val="24"/>
          <w:szCs w:val="24"/>
          <w:rtl/>
        </w:rPr>
        <w:t xml:space="preserve"> להבין </w:t>
      </w:r>
      <w:r w:rsidR="000D1327" w:rsidRPr="00732562">
        <w:rPr>
          <w:rFonts w:eastAsia="Times New Roman" w:hint="cs"/>
          <w:sz w:val="24"/>
          <w:szCs w:val="24"/>
          <w:rtl/>
        </w:rPr>
        <w:t>מה</w:t>
      </w:r>
      <w:r w:rsidR="00B26799" w:rsidRPr="00732562">
        <w:rPr>
          <w:rFonts w:eastAsia="Times New Roman" w:hint="cs"/>
          <w:sz w:val="24"/>
          <w:szCs w:val="24"/>
          <w:rtl/>
        </w:rPr>
        <w:t>ם</w:t>
      </w:r>
      <w:r w:rsidR="000D1327" w:rsidRPr="00732562">
        <w:rPr>
          <w:rFonts w:eastAsia="Times New Roman" w:hint="cs"/>
          <w:sz w:val="24"/>
          <w:szCs w:val="24"/>
          <w:rtl/>
        </w:rPr>
        <w:t xml:space="preserve"> המנגנונים האנזימתיים </w:t>
      </w:r>
      <w:r w:rsidR="00B26799" w:rsidRPr="00732562">
        <w:rPr>
          <w:rFonts w:eastAsia="Times New Roman" w:hint="cs"/>
          <w:sz w:val="24"/>
          <w:szCs w:val="24"/>
          <w:rtl/>
        </w:rPr>
        <w:t xml:space="preserve">המעורבים בתהליך. </w:t>
      </w:r>
    </w:p>
    <w:p w14:paraId="442E6713" w14:textId="77777777" w:rsidR="00C269F5" w:rsidRPr="00732562" w:rsidRDefault="00C269F5" w:rsidP="00406847">
      <w:pPr>
        <w:shd w:val="clear" w:color="auto" w:fill="FFFFFF"/>
        <w:bidi/>
        <w:spacing w:after="0" w:line="360" w:lineRule="auto"/>
        <w:jc w:val="both"/>
        <w:outlineLvl w:val="3"/>
        <w:rPr>
          <w:rFonts w:eastAsia="Times New Roman"/>
          <w:b/>
          <w:bCs/>
          <w:sz w:val="24"/>
          <w:szCs w:val="24"/>
          <w:u w:val="single"/>
          <w:rtl/>
        </w:rPr>
      </w:pPr>
    </w:p>
    <w:p w14:paraId="43351CFF" w14:textId="77777777" w:rsidR="00CC4B9A" w:rsidRPr="00732562" w:rsidRDefault="0039153A" w:rsidP="00406847">
      <w:pPr>
        <w:shd w:val="clear" w:color="auto" w:fill="FFFFFF"/>
        <w:bidi/>
        <w:spacing w:after="0" w:line="360" w:lineRule="auto"/>
        <w:jc w:val="both"/>
        <w:outlineLvl w:val="3"/>
        <w:rPr>
          <w:rFonts w:eastAsia="Times New Roman"/>
          <w:b/>
          <w:bCs/>
          <w:sz w:val="24"/>
          <w:szCs w:val="24"/>
          <w:u w:val="single"/>
          <w:rtl/>
        </w:rPr>
      </w:pPr>
      <w:r w:rsidRPr="00732562">
        <w:rPr>
          <w:rFonts w:eastAsia="Times New Roman" w:hint="cs"/>
          <w:b/>
          <w:bCs/>
          <w:sz w:val="24"/>
          <w:szCs w:val="24"/>
          <w:u w:val="single"/>
          <w:rtl/>
        </w:rPr>
        <w:t>תוכנ</w:t>
      </w:r>
      <w:r w:rsidR="00CF23ED" w:rsidRPr="00732562">
        <w:rPr>
          <w:rFonts w:eastAsia="Times New Roman" w:hint="cs"/>
          <w:b/>
          <w:bCs/>
          <w:sz w:val="24"/>
          <w:szCs w:val="24"/>
          <w:u w:val="single"/>
          <w:rtl/>
        </w:rPr>
        <w:t>י</w:t>
      </w:r>
      <w:r w:rsidRPr="00732562">
        <w:rPr>
          <w:rFonts w:eastAsia="Times New Roman" w:hint="cs"/>
          <w:b/>
          <w:bCs/>
          <w:sz w:val="24"/>
          <w:szCs w:val="24"/>
          <w:u w:val="single"/>
          <w:rtl/>
        </w:rPr>
        <w:t>ת</w:t>
      </w:r>
      <w:r w:rsidR="00EF646B" w:rsidRPr="00732562">
        <w:rPr>
          <w:rFonts w:eastAsia="Times New Roman" w:hint="cs"/>
          <w:b/>
          <w:bCs/>
          <w:sz w:val="24"/>
          <w:szCs w:val="24"/>
          <w:u w:val="single"/>
          <w:rtl/>
        </w:rPr>
        <w:t xml:space="preserve"> ושלבי העבודה</w:t>
      </w:r>
    </w:p>
    <w:p w14:paraId="5587C160" w14:textId="6F72E50A" w:rsidR="00275E59" w:rsidRPr="00732562" w:rsidRDefault="00CC4B9A" w:rsidP="00F32898">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u w:val="single"/>
          <w:rtl/>
        </w:rPr>
        <w:t xml:space="preserve">גידול </w:t>
      </w:r>
      <w:r w:rsidR="00EC3C7D" w:rsidRPr="00732562">
        <w:rPr>
          <w:rFonts w:eastAsia="Times New Roman" w:hint="cs"/>
          <w:sz w:val="24"/>
          <w:szCs w:val="24"/>
          <w:u w:val="single"/>
          <w:rtl/>
        </w:rPr>
        <w:t>הפטריי</w:t>
      </w:r>
      <w:r w:rsidR="00EC3C7D" w:rsidRPr="00732562">
        <w:rPr>
          <w:rFonts w:eastAsia="Times New Roman" w:hint="eastAsia"/>
          <w:sz w:val="24"/>
          <w:szCs w:val="24"/>
          <w:u w:val="single"/>
          <w:rtl/>
        </w:rPr>
        <w:t>ה</w:t>
      </w:r>
      <w:r w:rsidR="00CF5B45" w:rsidRPr="00732562">
        <w:rPr>
          <w:rFonts w:eastAsia="Times New Roman" w:hint="cs"/>
          <w:sz w:val="24"/>
          <w:szCs w:val="24"/>
          <w:u w:val="single"/>
          <w:rtl/>
        </w:rPr>
        <w:t xml:space="preserve"> על מצע מוצק</w:t>
      </w:r>
      <w:r w:rsidR="00C269F5" w:rsidRPr="00732562">
        <w:rPr>
          <w:rFonts w:eastAsia="Times New Roman" w:hint="cs"/>
          <w:sz w:val="24"/>
          <w:szCs w:val="24"/>
          <w:u w:val="single"/>
          <w:rtl/>
        </w:rPr>
        <w:t xml:space="preserve">: </w:t>
      </w:r>
      <w:r w:rsidR="00445791" w:rsidRPr="00732562">
        <w:rPr>
          <w:rFonts w:eastAsia="Times New Roman" w:hint="cs"/>
          <w:sz w:val="24"/>
          <w:szCs w:val="24"/>
          <w:rtl/>
        </w:rPr>
        <w:t>דסקיו</w:t>
      </w:r>
      <w:r w:rsidR="00445791">
        <w:rPr>
          <w:rFonts w:eastAsia="Times New Roman" w:hint="cs"/>
          <w:sz w:val="24"/>
          <w:szCs w:val="24"/>
          <w:rtl/>
        </w:rPr>
        <w:t>ת</w:t>
      </w:r>
      <w:r w:rsidR="00CF5B45" w:rsidRPr="00732562">
        <w:rPr>
          <w:rFonts w:eastAsia="Times New Roman" w:hint="cs"/>
          <w:sz w:val="24"/>
          <w:szCs w:val="24"/>
          <w:rtl/>
        </w:rPr>
        <w:t xml:space="preserve"> פטרייה בקוטר </w:t>
      </w:r>
      <w:r w:rsidR="00CF5B45" w:rsidRPr="00732562">
        <w:rPr>
          <w:rFonts w:eastAsia="Times New Roman"/>
          <w:sz w:val="24"/>
          <w:szCs w:val="24"/>
        </w:rPr>
        <w:t>mm</w:t>
      </w:r>
      <w:r w:rsidR="00CF5B45" w:rsidRPr="00732562">
        <w:rPr>
          <w:rFonts w:eastAsia="Times New Roman" w:hint="cs"/>
          <w:sz w:val="24"/>
          <w:szCs w:val="24"/>
          <w:rtl/>
        </w:rPr>
        <w:t xml:space="preserve"> 5 </w:t>
      </w:r>
      <w:r w:rsidR="00C269F5" w:rsidRPr="00732562">
        <w:rPr>
          <w:rFonts w:eastAsia="Times New Roman" w:hint="cs"/>
          <w:sz w:val="24"/>
          <w:szCs w:val="24"/>
          <w:rtl/>
        </w:rPr>
        <w:t xml:space="preserve">יונחו </w:t>
      </w:r>
      <w:r w:rsidR="00CF5B45" w:rsidRPr="00732562">
        <w:rPr>
          <w:rFonts w:eastAsia="Times New Roman" w:hint="cs"/>
          <w:sz w:val="24"/>
          <w:szCs w:val="24"/>
          <w:rtl/>
        </w:rPr>
        <w:t xml:space="preserve">על גבי צלחת פטרי </w:t>
      </w:r>
      <w:r w:rsidR="00292AF2" w:rsidRPr="00732562">
        <w:rPr>
          <w:rFonts w:eastAsia="Times New Roman" w:hint="cs"/>
          <w:sz w:val="24"/>
          <w:szCs w:val="24"/>
          <w:rtl/>
        </w:rPr>
        <w:t xml:space="preserve">בגודל </w:t>
      </w:r>
      <w:r w:rsidR="00292AF2" w:rsidRPr="00732562">
        <w:rPr>
          <w:rFonts w:eastAsia="Times New Roman"/>
          <w:sz w:val="24"/>
          <w:szCs w:val="24"/>
        </w:rPr>
        <w:t xml:space="preserve"> mm</w:t>
      </w:r>
      <w:r w:rsidR="00292AF2" w:rsidRPr="00732562">
        <w:rPr>
          <w:rFonts w:eastAsia="Times New Roman" w:hint="cs"/>
          <w:sz w:val="24"/>
          <w:szCs w:val="24"/>
          <w:rtl/>
        </w:rPr>
        <w:t xml:space="preserve">90 </w:t>
      </w:r>
      <w:r w:rsidR="00CF5B45" w:rsidRPr="00732562">
        <w:rPr>
          <w:rFonts w:eastAsia="Times New Roman" w:hint="cs"/>
          <w:sz w:val="24"/>
          <w:szCs w:val="24"/>
          <w:rtl/>
        </w:rPr>
        <w:t xml:space="preserve">המכילה מצע </w:t>
      </w:r>
      <w:r w:rsidR="00CF5B45" w:rsidRPr="00732562">
        <w:rPr>
          <w:rFonts w:hint="cs"/>
          <w:sz w:val="24"/>
          <w:szCs w:val="24"/>
        </w:rPr>
        <w:t>G</w:t>
      </w:r>
      <w:r w:rsidR="00CF5B45" w:rsidRPr="00732562">
        <w:rPr>
          <w:sz w:val="24"/>
          <w:szCs w:val="24"/>
        </w:rPr>
        <w:t>lucose Peptone</w:t>
      </w:r>
      <w:r w:rsidR="00CF5B45" w:rsidRPr="00732562">
        <w:rPr>
          <w:rFonts w:hint="cs"/>
          <w:sz w:val="24"/>
          <w:szCs w:val="24"/>
          <w:rtl/>
        </w:rPr>
        <w:t xml:space="preserve"> (</w:t>
      </w:r>
      <w:r w:rsidR="00CF5B45" w:rsidRPr="00732562">
        <w:rPr>
          <w:rFonts w:hint="cs"/>
          <w:sz w:val="24"/>
          <w:szCs w:val="24"/>
        </w:rPr>
        <w:t>GP</w:t>
      </w:r>
      <w:r w:rsidR="00CF5B45" w:rsidRPr="00732562">
        <w:rPr>
          <w:rFonts w:hint="cs"/>
          <w:sz w:val="24"/>
          <w:szCs w:val="24"/>
          <w:rtl/>
        </w:rPr>
        <w:t>)</w:t>
      </w:r>
      <w:r w:rsidR="00292AF2" w:rsidRPr="00732562">
        <w:rPr>
          <w:rFonts w:eastAsia="Times New Roman" w:hint="cs"/>
          <w:sz w:val="24"/>
          <w:szCs w:val="24"/>
          <w:rtl/>
        </w:rPr>
        <w:t xml:space="preserve"> מוצק, הפטרייה </w:t>
      </w:r>
      <w:r w:rsidR="00050702">
        <w:rPr>
          <w:rFonts w:eastAsia="Times New Roman" w:hint="cs"/>
          <w:sz w:val="24"/>
          <w:szCs w:val="24"/>
          <w:rtl/>
        </w:rPr>
        <w:t>תגוד</w:t>
      </w:r>
      <w:r w:rsidR="00C269F5" w:rsidRPr="00732562">
        <w:rPr>
          <w:rFonts w:eastAsia="Times New Roman" w:hint="cs"/>
          <w:sz w:val="24"/>
          <w:szCs w:val="24"/>
          <w:rtl/>
        </w:rPr>
        <w:t xml:space="preserve">ל </w:t>
      </w:r>
      <w:r w:rsidR="00292AF2" w:rsidRPr="00732562">
        <w:rPr>
          <w:rFonts w:eastAsia="Times New Roman" w:hint="cs"/>
          <w:sz w:val="24"/>
          <w:szCs w:val="24"/>
          <w:rtl/>
        </w:rPr>
        <w:t>במשך 5 ימים</w:t>
      </w:r>
      <w:r w:rsidR="00F37B73" w:rsidRPr="00732562">
        <w:rPr>
          <w:rFonts w:eastAsia="Times New Roman" w:hint="cs"/>
          <w:sz w:val="24"/>
          <w:szCs w:val="24"/>
          <w:rtl/>
        </w:rPr>
        <w:t xml:space="preserve"> בטמפ' של</w:t>
      </w:r>
      <w:r w:rsidR="00C269F5" w:rsidRPr="00732562">
        <w:rPr>
          <w:rFonts w:eastAsia="Times New Roman" w:hint="cs"/>
          <w:sz w:val="24"/>
          <w:szCs w:val="24"/>
          <w:rtl/>
        </w:rPr>
        <w:t xml:space="preserve"> </w:t>
      </w:r>
      <w:r w:rsidR="00C269F5" w:rsidRPr="00732562">
        <w:rPr>
          <w:rFonts w:eastAsia="Times New Roman"/>
          <w:sz w:val="24"/>
          <w:szCs w:val="24"/>
        </w:rPr>
        <w:t xml:space="preserve">28 </w:t>
      </w:r>
      <w:r w:rsidR="00C269F5" w:rsidRPr="00732562">
        <w:rPr>
          <w:rFonts w:eastAsia="Times New Roman" w:cs="Times New Roman"/>
          <w:sz w:val="24"/>
          <w:szCs w:val="24"/>
        </w:rPr>
        <w:t>°</w:t>
      </w:r>
      <w:r w:rsidR="00C269F5" w:rsidRPr="00732562">
        <w:rPr>
          <w:rFonts w:eastAsia="Times New Roman"/>
          <w:sz w:val="24"/>
          <w:szCs w:val="24"/>
        </w:rPr>
        <w:t>C</w:t>
      </w:r>
      <w:r w:rsidR="00F37B73" w:rsidRPr="00732562">
        <w:rPr>
          <w:rFonts w:eastAsia="Times New Roman" w:hint="cs"/>
          <w:sz w:val="24"/>
          <w:szCs w:val="24"/>
          <w:rtl/>
        </w:rPr>
        <w:t xml:space="preserve"> בחושך </w:t>
      </w:r>
      <w:r w:rsidR="00292AF2" w:rsidRPr="00732562">
        <w:rPr>
          <w:rFonts w:eastAsia="Times New Roman" w:hint="cs"/>
          <w:sz w:val="24"/>
          <w:szCs w:val="24"/>
          <w:rtl/>
        </w:rPr>
        <w:t xml:space="preserve">ומקצה המושבה </w:t>
      </w:r>
      <w:r w:rsidR="005230F9" w:rsidRPr="00732562">
        <w:rPr>
          <w:rFonts w:eastAsia="Times New Roman" w:hint="cs"/>
          <w:sz w:val="24"/>
          <w:szCs w:val="24"/>
          <w:rtl/>
        </w:rPr>
        <w:t>תילק</w:t>
      </w:r>
      <w:r w:rsidR="005230F9" w:rsidRPr="00732562">
        <w:rPr>
          <w:rFonts w:eastAsia="Times New Roman" w:hint="eastAsia"/>
          <w:sz w:val="24"/>
          <w:szCs w:val="24"/>
          <w:rtl/>
        </w:rPr>
        <w:t>ח</w:t>
      </w:r>
      <w:r w:rsidR="00F90D85" w:rsidRPr="00732562">
        <w:rPr>
          <w:rFonts w:eastAsia="Times New Roman" w:hint="cs"/>
          <w:sz w:val="24"/>
          <w:szCs w:val="24"/>
          <w:rtl/>
        </w:rPr>
        <w:t xml:space="preserve"> </w:t>
      </w:r>
      <w:r w:rsidR="005230F9" w:rsidRPr="00732562">
        <w:rPr>
          <w:rFonts w:eastAsia="Times New Roman" w:hint="cs"/>
          <w:sz w:val="24"/>
          <w:szCs w:val="24"/>
          <w:rtl/>
        </w:rPr>
        <w:t>דסקית</w:t>
      </w:r>
      <w:r w:rsidR="00292AF2" w:rsidRPr="00732562">
        <w:rPr>
          <w:rFonts w:eastAsia="Times New Roman" w:hint="cs"/>
          <w:sz w:val="24"/>
          <w:szCs w:val="24"/>
          <w:rtl/>
        </w:rPr>
        <w:t xml:space="preserve"> נוספת להמשך תיחזוק </w:t>
      </w:r>
      <w:r w:rsidR="00F90D85" w:rsidRPr="00732562">
        <w:rPr>
          <w:rFonts w:eastAsia="Times New Roman" w:hint="cs"/>
          <w:sz w:val="24"/>
          <w:szCs w:val="24"/>
          <w:rtl/>
        </w:rPr>
        <w:t>ו/</w:t>
      </w:r>
      <w:r w:rsidR="00292AF2" w:rsidRPr="00732562">
        <w:rPr>
          <w:rFonts w:eastAsia="Times New Roman" w:hint="cs"/>
          <w:sz w:val="24"/>
          <w:szCs w:val="24"/>
          <w:rtl/>
        </w:rPr>
        <w:t>או גידול במצע נוזלי.</w:t>
      </w:r>
    </w:p>
    <w:p w14:paraId="2E831AB8" w14:textId="4470408D" w:rsidR="00292AF2" w:rsidRPr="00732562" w:rsidRDefault="00292AF2" w:rsidP="00406847">
      <w:pPr>
        <w:shd w:val="clear" w:color="auto" w:fill="FFFFFF"/>
        <w:bidi/>
        <w:spacing w:after="0" w:line="360" w:lineRule="auto"/>
        <w:jc w:val="both"/>
        <w:outlineLvl w:val="3"/>
        <w:rPr>
          <w:rFonts w:eastAsia="Times New Roman"/>
          <w:sz w:val="24"/>
          <w:szCs w:val="24"/>
          <w:u w:val="single"/>
        </w:rPr>
      </w:pPr>
      <w:r w:rsidRPr="00732562">
        <w:rPr>
          <w:rFonts w:eastAsia="Times New Roman" w:hint="cs"/>
          <w:sz w:val="24"/>
          <w:szCs w:val="24"/>
          <w:u w:val="single"/>
          <w:rtl/>
        </w:rPr>
        <w:t>הדגרת</w:t>
      </w:r>
      <w:r w:rsidR="000050D4" w:rsidRPr="00732562">
        <w:rPr>
          <w:rFonts w:eastAsia="Times New Roman" w:hint="cs"/>
          <w:sz w:val="24"/>
          <w:szCs w:val="24"/>
          <w:u w:val="single"/>
          <w:rtl/>
        </w:rPr>
        <w:t xml:space="preserve"> </w:t>
      </w:r>
      <w:r w:rsidR="00AB72F7" w:rsidRPr="00732562">
        <w:rPr>
          <w:rFonts w:eastAsia="Times New Roman" w:cstheme="majorBidi"/>
          <w:i/>
          <w:iCs/>
          <w:sz w:val="24"/>
          <w:szCs w:val="24"/>
          <w:u w:val="single"/>
        </w:rPr>
        <w:t>P</w:t>
      </w:r>
      <w:r w:rsidR="00AB72F7">
        <w:rPr>
          <w:rFonts w:eastAsia="Times New Roman" w:cstheme="majorBidi"/>
          <w:i/>
          <w:iCs/>
          <w:sz w:val="24"/>
          <w:szCs w:val="24"/>
          <w:u w:val="single"/>
        </w:rPr>
        <w:t>.</w:t>
      </w:r>
      <w:r w:rsidR="00AB72F7" w:rsidRPr="00732562">
        <w:rPr>
          <w:rFonts w:eastAsia="Times New Roman" w:cstheme="majorBidi"/>
          <w:i/>
          <w:iCs/>
          <w:sz w:val="24"/>
          <w:szCs w:val="24"/>
          <w:u w:val="single"/>
        </w:rPr>
        <w:t xml:space="preserve"> </w:t>
      </w:r>
      <w:r w:rsidR="000050D4" w:rsidRPr="00732562">
        <w:rPr>
          <w:rFonts w:eastAsia="Times New Roman" w:cstheme="majorBidi"/>
          <w:i/>
          <w:iCs/>
          <w:sz w:val="24"/>
          <w:szCs w:val="24"/>
          <w:u w:val="single"/>
        </w:rPr>
        <w:t>ostreatus</w:t>
      </w:r>
      <w:r w:rsidR="000050D4" w:rsidRPr="00732562">
        <w:rPr>
          <w:rFonts w:eastAsia="Times New Roman" w:cstheme="majorBidi" w:hint="cs"/>
          <w:i/>
          <w:iCs/>
          <w:sz w:val="24"/>
          <w:szCs w:val="24"/>
          <w:u w:val="single"/>
          <w:rtl/>
        </w:rPr>
        <w:t xml:space="preserve"> </w:t>
      </w:r>
      <w:r w:rsidRPr="00732562">
        <w:rPr>
          <w:rFonts w:eastAsia="Times New Roman" w:hint="cs"/>
          <w:sz w:val="24"/>
          <w:szCs w:val="24"/>
          <w:u w:val="single"/>
          <w:rtl/>
        </w:rPr>
        <w:t xml:space="preserve">עם </w:t>
      </w:r>
      <w:r w:rsidR="00B00442">
        <w:rPr>
          <w:rFonts w:eastAsia="Times New Roman" w:hint="cs"/>
          <w:sz w:val="24"/>
          <w:szCs w:val="24"/>
          <w:u w:val="single"/>
        </w:rPr>
        <w:t>L</w:t>
      </w:r>
      <w:r w:rsidR="00275E59">
        <w:rPr>
          <w:rFonts w:eastAsia="Times New Roman"/>
          <w:sz w:val="24"/>
          <w:szCs w:val="24"/>
          <w:u w:val="single"/>
        </w:rPr>
        <w:t>amotrigine</w:t>
      </w:r>
    </w:p>
    <w:p w14:paraId="76A4CD72" w14:textId="56A02C75" w:rsidR="00A73DC3" w:rsidRDefault="00292AF2" w:rsidP="00F32898">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 xml:space="preserve">לתוך בקבוקי ארלנמייר בנפח </w:t>
      </w:r>
      <w:r w:rsidRPr="00732562">
        <w:rPr>
          <w:rFonts w:eastAsia="Times New Roman"/>
          <w:sz w:val="24"/>
          <w:szCs w:val="24"/>
        </w:rPr>
        <w:t>mL</w:t>
      </w:r>
      <w:r w:rsidRPr="00732562">
        <w:rPr>
          <w:rFonts w:eastAsia="Times New Roman" w:hint="cs"/>
          <w:sz w:val="24"/>
          <w:szCs w:val="24"/>
          <w:rtl/>
        </w:rPr>
        <w:t xml:space="preserve"> 250, המכילים </w:t>
      </w:r>
      <w:r w:rsidRPr="00732562">
        <w:rPr>
          <w:rFonts w:eastAsia="Times New Roman"/>
          <w:sz w:val="24"/>
          <w:szCs w:val="24"/>
        </w:rPr>
        <w:t>mL</w:t>
      </w:r>
      <w:r w:rsidRPr="00732562">
        <w:rPr>
          <w:rFonts w:eastAsia="Times New Roman" w:hint="cs"/>
          <w:sz w:val="24"/>
          <w:szCs w:val="24"/>
          <w:rtl/>
        </w:rPr>
        <w:t xml:space="preserve"> 50</w:t>
      </w:r>
      <w:r w:rsidR="00F37B73" w:rsidRPr="00732562">
        <w:rPr>
          <w:rFonts w:eastAsia="Times New Roman" w:hint="cs"/>
          <w:sz w:val="24"/>
          <w:szCs w:val="24"/>
          <w:rtl/>
        </w:rPr>
        <w:t xml:space="preserve"> מצע </w:t>
      </w:r>
      <w:r w:rsidR="00F37B73" w:rsidRPr="00732562">
        <w:rPr>
          <w:rFonts w:eastAsia="Times New Roman" w:hint="cs"/>
          <w:sz w:val="24"/>
          <w:szCs w:val="24"/>
        </w:rPr>
        <w:t>GP</w:t>
      </w:r>
      <w:r w:rsidR="00F37B73" w:rsidRPr="00732562">
        <w:rPr>
          <w:rFonts w:eastAsia="Times New Roman" w:hint="cs"/>
          <w:sz w:val="24"/>
          <w:szCs w:val="24"/>
          <w:rtl/>
        </w:rPr>
        <w:t xml:space="preserve"> </w:t>
      </w:r>
      <w:r w:rsidR="000050D4" w:rsidRPr="00732562">
        <w:rPr>
          <w:rFonts w:eastAsia="Times New Roman" w:hint="cs"/>
          <w:sz w:val="24"/>
          <w:szCs w:val="24"/>
          <w:rtl/>
        </w:rPr>
        <w:t xml:space="preserve">נוזלי </w:t>
      </w:r>
      <w:r w:rsidR="00F90D85" w:rsidRPr="00732562">
        <w:rPr>
          <w:rFonts w:eastAsia="Times New Roman" w:hint="cs"/>
          <w:sz w:val="24"/>
          <w:szCs w:val="24"/>
          <w:rtl/>
        </w:rPr>
        <w:t xml:space="preserve">יוספו </w:t>
      </w:r>
      <w:r w:rsidRPr="00732562">
        <w:rPr>
          <w:rFonts w:eastAsia="Times New Roman" w:hint="cs"/>
          <w:sz w:val="24"/>
          <w:szCs w:val="24"/>
          <w:rtl/>
        </w:rPr>
        <w:t>שתי דיסקיות</w:t>
      </w:r>
      <w:r w:rsidR="000050D4" w:rsidRPr="00732562">
        <w:rPr>
          <w:rFonts w:eastAsia="Times New Roman" w:hint="cs"/>
          <w:sz w:val="24"/>
          <w:szCs w:val="24"/>
          <w:rtl/>
        </w:rPr>
        <w:t xml:space="preserve"> פטרייה בתנאים זהים למצע מוצק</w:t>
      </w:r>
      <w:r w:rsidR="00F37B73" w:rsidRPr="00732562">
        <w:rPr>
          <w:rFonts w:eastAsia="Times New Roman" w:hint="cs"/>
          <w:sz w:val="24"/>
          <w:szCs w:val="24"/>
          <w:rtl/>
        </w:rPr>
        <w:t xml:space="preserve"> למשך 10 ימים</w:t>
      </w:r>
      <w:r w:rsidR="000050D4" w:rsidRPr="00732562">
        <w:rPr>
          <w:rFonts w:eastAsia="Times New Roman" w:hint="cs"/>
          <w:sz w:val="24"/>
          <w:szCs w:val="24"/>
          <w:rtl/>
        </w:rPr>
        <w:t xml:space="preserve">. לאחר 10 ימים </w:t>
      </w:r>
      <w:r w:rsidR="00F90D85" w:rsidRPr="00732562">
        <w:rPr>
          <w:rFonts w:eastAsia="Times New Roman" w:hint="cs"/>
          <w:sz w:val="24"/>
          <w:szCs w:val="24"/>
          <w:rtl/>
        </w:rPr>
        <w:t>המצע יוחלף</w:t>
      </w:r>
      <w:r w:rsidR="00F32898">
        <w:rPr>
          <w:rFonts w:eastAsia="Times New Roman" w:hint="cs"/>
          <w:sz w:val="24"/>
          <w:szCs w:val="24"/>
          <w:rtl/>
        </w:rPr>
        <w:t xml:space="preserve"> </w:t>
      </w:r>
      <w:r w:rsidR="00F37B73" w:rsidRPr="00732562">
        <w:rPr>
          <w:rFonts w:eastAsia="Times New Roman" w:hint="cs"/>
          <w:sz w:val="24"/>
          <w:szCs w:val="24"/>
          <w:rtl/>
        </w:rPr>
        <w:t xml:space="preserve">למצע טרי המכיל </w:t>
      </w:r>
      <w:r w:rsidR="00B00442">
        <w:rPr>
          <w:rFonts w:eastAsia="Times New Roman"/>
          <w:sz w:val="24"/>
          <w:szCs w:val="24"/>
        </w:rPr>
        <w:t>L</w:t>
      </w:r>
      <w:r w:rsidR="00694C0E">
        <w:rPr>
          <w:rFonts w:eastAsia="Times New Roman"/>
          <w:sz w:val="24"/>
          <w:szCs w:val="24"/>
        </w:rPr>
        <w:t>amotrigine</w:t>
      </w:r>
      <w:r w:rsidR="00F37B73" w:rsidRPr="00732562">
        <w:rPr>
          <w:rFonts w:eastAsia="Times New Roman" w:hint="cs"/>
          <w:sz w:val="24"/>
          <w:szCs w:val="24"/>
          <w:rtl/>
        </w:rPr>
        <w:t xml:space="preserve"> בריכוז התחלתי של</w:t>
      </w:r>
      <w:r w:rsidR="00694C0E">
        <w:rPr>
          <w:rFonts w:eastAsia="Times New Roman" w:hint="cs"/>
          <w:sz w:val="24"/>
          <w:szCs w:val="24"/>
        </w:rPr>
        <w:t>L</w:t>
      </w:r>
      <w:r w:rsidR="00F32898">
        <w:rPr>
          <w:rFonts w:eastAsia="Times New Roman"/>
          <w:sz w:val="24"/>
          <w:szCs w:val="24"/>
        </w:rPr>
        <w:t xml:space="preserve"> </w:t>
      </w:r>
      <w:r w:rsidR="00694C0E">
        <w:rPr>
          <w:rFonts w:eastAsia="Times New Roman" w:hint="cs"/>
          <w:sz w:val="24"/>
          <w:szCs w:val="24"/>
          <w:rtl/>
        </w:rPr>
        <w:t>/</w:t>
      </w:r>
      <w:r w:rsidR="00694C0E">
        <w:rPr>
          <w:rFonts w:eastAsia="Times New Roman"/>
          <w:sz w:val="24"/>
          <w:szCs w:val="24"/>
        </w:rPr>
        <w:t>mg</w:t>
      </w:r>
      <w:r w:rsidR="00694C0E">
        <w:rPr>
          <w:rFonts w:eastAsia="Times New Roman" w:hint="cs"/>
          <w:sz w:val="24"/>
          <w:szCs w:val="24"/>
          <w:rtl/>
        </w:rPr>
        <w:t xml:space="preserve"> </w:t>
      </w:r>
      <w:r w:rsidR="00F37B73" w:rsidRPr="00732562">
        <w:rPr>
          <w:rFonts w:eastAsia="Times New Roman" w:hint="cs"/>
          <w:sz w:val="24"/>
          <w:szCs w:val="24"/>
          <w:rtl/>
        </w:rPr>
        <w:t>100. הבקבוקים יא</w:t>
      </w:r>
      <w:r w:rsidR="005D60BC" w:rsidRPr="00732562">
        <w:rPr>
          <w:rFonts w:eastAsia="Times New Roman" w:hint="cs"/>
          <w:sz w:val="24"/>
          <w:szCs w:val="24"/>
          <w:rtl/>
        </w:rPr>
        <w:t xml:space="preserve">טמו בפקק נייר </w:t>
      </w:r>
      <w:r w:rsidR="00F90D85" w:rsidRPr="00732562">
        <w:rPr>
          <w:rFonts w:eastAsia="Times New Roman" w:hint="cs"/>
          <w:sz w:val="24"/>
          <w:szCs w:val="24"/>
          <w:rtl/>
        </w:rPr>
        <w:t>ויוגדרו</w:t>
      </w:r>
      <w:r w:rsidR="005D60BC" w:rsidRPr="00732562">
        <w:rPr>
          <w:rFonts w:eastAsia="Times New Roman" w:hint="cs"/>
          <w:sz w:val="24"/>
          <w:szCs w:val="24"/>
          <w:rtl/>
        </w:rPr>
        <w:t xml:space="preserve"> במצב סטטי למשך כל ימי הניסוי.</w:t>
      </w:r>
    </w:p>
    <w:p w14:paraId="5F0802EC" w14:textId="77777777" w:rsidR="002209C1" w:rsidRDefault="002209C1" w:rsidP="002209C1">
      <w:pPr>
        <w:shd w:val="clear" w:color="auto" w:fill="FFFFFF"/>
        <w:bidi/>
        <w:spacing w:after="0" w:line="360" w:lineRule="auto"/>
        <w:jc w:val="both"/>
        <w:outlineLvl w:val="3"/>
        <w:rPr>
          <w:rFonts w:eastAsia="Times New Roman"/>
          <w:sz w:val="24"/>
          <w:szCs w:val="24"/>
          <w:rtl/>
        </w:rPr>
      </w:pPr>
    </w:p>
    <w:p w14:paraId="5165092D" w14:textId="77777777" w:rsidR="002209C1" w:rsidRPr="00732562" w:rsidRDefault="002209C1" w:rsidP="00406847">
      <w:pPr>
        <w:shd w:val="clear" w:color="auto" w:fill="FFFFFF"/>
        <w:bidi/>
        <w:spacing w:after="0" w:line="360" w:lineRule="auto"/>
        <w:jc w:val="both"/>
        <w:outlineLvl w:val="3"/>
        <w:rPr>
          <w:rFonts w:eastAsia="Times New Roman"/>
          <w:sz w:val="24"/>
          <w:szCs w:val="24"/>
          <w:rtl/>
        </w:rPr>
      </w:pPr>
    </w:p>
    <w:p w14:paraId="2B6A8EFE" w14:textId="77777777" w:rsidR="005D60BC" w:rsidRPr="00732562" w:rsidRDefault="005536B8" w:rsidP="00406847">
      <w:pPr>
        <w:shd w:val="clear" w:color="auto" w:fill="FFFFFF"/>
        <w:bidi/>
        <w:spacing w:after="0" w:line="360" w:lineRule="auto"/>
        <w:jc w:val="both"/>
        <w:outlineLvl w:val="3"/>
        <w:rPr>
          <w:rFonts w:eastAsia="Times New Roman"/>
          <w:sz w:val="24"/>
          <w:szCs w:val="24"/>
          <w:u w:val="single"/>
          <w:rtl/>
        </w:rPr>
      </w:pPr>
      <w:r w:rsidRPr="00732562">
        <w:rPr>
          <w:rFonts w:eastAsia="Times New Roman" w:hint="cs"/>
          <w:sz w:val="24"/>
          <w:szCs w:val="24"/>
          <w:u w:val="single"/>
          <w:rtl/>
        </w:rPr>
        <w:lastRenderedPageBreak/>
        <w:t>לקיחת דגימות</w:t>
      </w:r>
      <w:r w:rsidR="00547275" w:rsidRPr="00732562">
        <w:rPr>
          <w:rFonts w:eastAsia="Times New Roman" w:hint="cs"/>
          <w:sz w:val="24"/>
          <w:szCs w:val="24"/>
          <w:u w:val="single"/>
          <w:rtl/>
        </w:rPr>
        <w:t xml:space="preserve"> </w:t>
      </w:r>
    </w:p>
    <w:p w14:paraId="31FC746D" w14:textId="4404C64C" w:rsidR="00092ED1" w:rsidRPr="00732562" w:rsidRDefault="005536B8" w:rsidP="00406847">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 xml:space="preserve">על מנת לבדוק את ריכוז ה </w:t>
      </w:r>
      <w:r w:rsidR="00B00442">
        <w:rPr>
          <w:rFonts w:eastAsia="Times New Roman" w:hint="cs"/>
          <w:sz w:val="24"/>
          <w:szCs w:val="24"/>
        </w:rPr>
        <w:t>Lamotrigine</w:t>
      </w:r>
      <w:r w:rsidR="00092ED1" w:rsidRPr="00732562">
        <w:rPr>
          <w:rFonts w:eastAsia="Times New Roman" w:hint="cs"/>
          <w:sz w:val="24"/>
          <w:szCs w:val="24"/>
          <w:rtl/>
        </w:rPr>
        <w:t xml:space="preserve"> בתמיסה ונוכח</w:t>
      </w:r>
      <w:r w:rsidR="000050D4" w:rsidRPr="00732562">
        <w:rPr>
          <w:rFonts w:eastAsia="Times New Roman" w:hint="cs"/>
          <w:sz w:val="24"/>
          <w:szCs w:val="24"/>
          <w:rtl/>
        </w:rPr>
        <w:t>ו</w:t>
      </w:r>
      <w:r w:rsidR="00092ED1" w:rsidRPr="00732562">
        <w:rPr>
          <w:rFonts w:eastAsia="Times New Roman" w:hint="cs"/>
          <w:sz w:val="24"/>
          <w:szCs w:val="24"/>
          <w:rtl/>
        </w:rPr>
        <w:t xml:space="preserve">ת של </w:t>
      </w:r>
      <w:r w:rsidR="00E56EF7" w:rsidRPr="00732562">
        <w:rPr>
          <w:rFonts w:eastAsia="Times New Roman" w:hint="cs"/>
          <w:sz w:val="24"/>
          <w:szCs w:val="24"/>
          <w:rtl/>
        </w:rPr>
        <w:t>מטבוליטים</w:t>
      </w:r>
      <w:r w:rsidR="00092ED1" w:rsidRPr="00732562">
        <w:rPr>
          <w:rFonts w:eastAsia="Times New Roman" w:hint="cs"/>
          <w:sz w:val="24"/>
          <w:szCs w:val="24"/>
          <w:rtl/>
        </w:rPr>
        <w:t>,</w:t>
      </w:r>
      <w:r w:rsidRPr="00732562">
        <w:rPr>
          <w:rFonts w:eastAsia="Times New Roman" w:hint="cs"/>
          <w:sz w:val="24"/>
          <w:szCs w:val="24"/>
          <w:rtl/>
        </w:rPr>
        <w:t xml:space="preserve"> </w:t>
      </w:r>
      <w:r w:rsidR="00AB07E6">
        <w:rPr>
          <w:rFonts w:eastAsia="Times New Roman" w:hint="cs"/>
          <w:sz w:val="24"/>
          <w:szCs w:val="24"/>
          <w:rtl/>
        </w:rPr>
        <w:t>ילקחו</w:t>
      </w:r>
      <w:r w:rsidRPr="00732562">
        <w:rPr>
          <w:rFonts w:eastAsia="Times New Roman" w:hint="cs"/>
          <w:sz w:val="24"/>
          <w:szCs w:val="24"/>
          <w:rtl/>
        </w:rPr>
        <w:t xml:space="preserve"> דגימות בנפח של </w:t>
      </w:r>
      <w:r w:rsidRPr="00732562">
        <w:rPr>
          <w:rFonts w:eastAsia="Times New Roman"/>
          <w:sz w:val="24"/>
          <w:szCs w:val="24"/>
        </w:rPr>
        <w:t>mL</w:t>
      </w:r>
      <w:r w:rsidRPr="00732562">
        <w:rPr>
          <w:rFonts w:eastAsia="Times New Roman" w:hint="cs"/>
          <w:sz w:val="24"/>
          <w:szCs w:val="24"/>
          <w:rtl/>
        </w:rPr>
        <w:t xml:space="preserve"> 1.5</w:t>
      </w:r>
      <w:r w:rsidR="0017045A" w:rsidRPr="00732562">
        <w:rPr>
          <w:rFonts w:eastAsia="Times New Roman" w:hint="cs"/>
          <w:sz w:val="24"/>
          <w:szCs w:val="24"/>
          <w:rtl/>
        </w:rPr>
        <w:t xml:space="preserve"> לאחר החלפת המצע בזמנים שונים לאורך תקופת ההדגרה. לקיחת דגימות תתבצע במנדף ביולוגי והדוגמאות ישמרו במבחנות אפנדורף </w:t>
      </w:r>
      <w:r w:rsidR="0017045A" w:rsidRPr="00732562">
        <w:rPr>
          <w:rFonts w:eastAsia="Times New Roman"/>
          <w:sz w:val="24"/>
          <w:szCs w:val="24"/>
        </w:rPr>
        <w:t xml:space="preserve"> mL</w:t>
      </w:r>
      <w:r w:rsidR="0017045A" w:rsidRPr="00732562">
        <w:rPr>
          <w:rFonts w:eastAsia="Times New Roman" w:hint="cs"/>
          <w:sz w:val="24"/>
          <w:szCs w:val="24"/>
          <w:rtl/>
        </w:rPr>
        <w:t>2  ב</w:t>
      </w:r>
      <w:r w:rsidR="000050D4" w:rsidRPr="00732562">
        <w:rPr>
          <w:rFonts w:eastAsia="Times New Roman" w:hint="cs"/>
          <w:sz w:val="24"/>
          <w:szCs w:val="24"/>
          <w:rtl/>
        </w:rPr>
        <w:t>ה</w:t>
      </w:r>
      <w:r w:rsidR="0017045A" w:rsidRPr="00732562">
        <w:rPr>
          <w:rFonts w:eastAsia="Times New Roman" w:hint="cs"/>
          <w:sz w:val="24"/>
          <w:szCs w:val="24"/>
          <w:rtl/>
        </w:rPr>
        <w:t>קפאה (</w:t>
      </w:r>
      <w:r w:rsidR="0017045A" w:rsidRPr="00732562">
        <w:rPr>
          <w:rFonts w:asciiTheme="majorBidi" w:eastAsia="Times New Roman" w:hAnsiTheme="majorBidi" w:cstheme="majorBidi"/>
          <w:sz w:val="24"/>
          <w:szCs w:val="24"/>
        </w:rPr>
        <w:t>C</w:t>
      </w:r>
      <w:r w:rsidR="0017045A" w:rsidRPr="00732562">
        <w:rPr>
          <w:rFonts w:ascii="Vrinda" w:eastAsia="Times New Roman" w:hAnsi="Vrinda" w:cs="Vrinda"/>
          <w:sz w:val="24"/>
          <w:szCs w:val="24"/>
          <w:rtl/>
        </w:rPr>
        <w:t>°</w:t>
      </w:r>
      <w:r w:rsidR="00EB51E4" w:rsidRPr="00732562">
        <w:rPr>
          <w:rFonts w:eastAsia="Times New Roman" w:hint="cs"/>
          <w:sz w:val="24"/>
          <w:szCs w:val="24"/>
          <w:rtl/>
        </w:rPr>
        <w:t>80-)</w:t>
      </w:r>
      <w:r w:rsidR="0017045A" w:rsidRPr="00732562">
        <w:rPr>
          <w:rFonts w:eastAsia="Times New Roman" w:hint="cs"/>
          <w:sz w:val="24"/>
          <w:szCs w:val="24"/>
          <w:rtl/>
        </w:rPr>
        <w:t xml:space="preserve"> עד למועד המדידה. </w:t>
      </w:r>
    </w:p>
    <w:p w14:paraId="3D0B3E62" w14:textId="77F641AC" w:rsidR="00092ED1" w:rsidRPr="00732562" w:rsidRDefault="00092ED1" w:rsidP="00406847">
      <w:pPr>
        <w:shd w:val="clear" w:color="auto" w:fill="FFFFFF"/>
        <w:bidi/>
        <w:spacing w:after="0" w:line="360" w:lineRule="auto"/>
        <w:jc w:val="both"/>
        <w:outlineLvl w:val="3"/>
        <w:rPr>
          <w:rFonts w:eastAsia="Times New Roman"/>
          <w:sz w:val="24"/>
          <w:szCs w:val="24"/>
          <w:u w:val="single"/>
          <w:rtl/>
        </w:rPr>
      </w:pPr>
      <w:r w:rsidRPr="00732562">
        <w:rPr>
          <w:rFonts w:eastAsia="Times New Roman" w:hint="cs"/>
          <w:sz w:val="24"/>
          <w:szCs w:val="24"/>
          <w:u w:val="single"/>
          <w:rtl/>
        </w:rPr>
        <w:t xml:space="preserve">מיצוי </w:t>
      </w:r>
      <w:r w:rsidR="00B00442">
        <w:rPr>
          <w:rFonts w:eastAsia="Times New Roman" w:hint="cs"/>
          <w:sz w:val="24"/>
          <w:szCs w:val="24"/>
          <w:u w:val="single"/>
        </w:rPr>
        <w:t>Lamotrigine</w:t>
      </w:r>
      <w:r w:rsidRPr="00732562">
        <w:rPr>
          <w:rFonts w:eastAsia="Times New Roman" w:hint="cs"/>
          <w:sz w:val="24"/>
          <w:szCs w:val="24"/>
          <w:u w:val="single"/>
          <w:rtl/>
        </w:rPr>
        <w:t xml:space="preserve"> ו</w:t>
      </w:r>
      <w:r w:rsidR="00E56EF7" w:rsidRPr="00732562">
        <w:rPr>
          <w:rFonts w:eastAsia="Times New Roman" w:hint="cs"/>
          <w:sz w:val="24"/>
          <w:szCs w:val="24"/>
          <w:u w:val="single"/>
          <w:rtl/>
        </w:rPr>
        <w:t xml:space="preserve">מטבוליטים </w:t>
      </w:r>
      <w:r w:rsidRPr="00732562">
        <w:rPr>
          <w:rFonts w:eastAsia="Times New Roman" w:hint="cs"/>
          <w:sz w:val="24"/>
          <w:szCs w:val="24"/>
          <w:u w:val="single"/>
          <w:rtl/>
        </w:rPr>
        <w:t>מהפטרייה</w:t>
      </w:r>
    </w:p>
    <w:p w14:paraId="736505B2" w14:textId="67895EA9" w:rsidR="00092ED1" w:rsidRPr="00732562" w:rsidRDefault="00E56EF7" w:rsidP="00406847">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 xml:space="preserve">על מנת לבדוק האם ישנה הצטברות של </w:t>
      </w:r>
      <w:r w:rsidR="00B00442">
        <w:rPr>
          <w:rFonts w:eastAsia="Times New Roman" w:hint="cs"/>
          <w:sz w:val="24"/>
          <w:szCs w:val="24"/>
        </w:rPr>
        <w:t>Lamotrigine</w:t>
      </w:r>
      <w:r w:rsidRPr="00732562">
        <w:rPr>
          <w:rFonts w:eastAsia="Times New Roman" w:hint="cs"/>
          <w:sz w:val="24"/>
          <w:szCs w:val="24"/>
          <w:rtl/>
        </w:rPr>
        <w:t xml:space="preserve"> בתוך תאי הפטרייה </w:t>
      </w:r>
      <w:r w:rsidR="00D21E9F">
        <w:rPr>
          <w:rFonts w:eastAsia="Times New Roman" w:hint="cs"/>
          <w:sz w:val="24"/>
          <w:szCs w:val="24"/>
          <w:rtl/>
        </w:rPr>
        <w:t xml:space="preserve">יתבצע </w:t>
      </w:r>
      <w:r w:rsidRPr="00732562">
        <w:rPr>
          <w:rFonts w:eastAsia="Times New Roman" w:hint="cs"/>
          <w:sz w:val="24"/>
          <w:szCs w:val="24"/>
          <w:rtl/>
        </w:rPr>
        <w:t xml:space="preserve">מיצוי של החומר מהביומסה. לצורך כך </w:t>
      </w:r>
      <w:r w:rsidR="00D21E9F">
        <w:rPr>
          <w:rFonts w:eastAsia="Times New Roman" w:hint="cs"/>
          <w:sz w:val="24"/>
          <w:szCs w:val="24"/>
          <w:rtl/>
        </w:rPr>
        <w:t xml:space="preserve">תופרד </w:t>
      </w:r>
      <w:r w:rsidRPr="00732562">
        <w:rPr>
          <w:rFonts w:eastAsia="Times New Roman" w:hint="cs"/>
          <w:sz w:val="24"/>
          <w:szCs w:val="24"/>
          <w:rtl/>
        </w:rPr>
        <w:t xml:space="preserve">הפטרייה ממצע הגידול, על ידי סינון בואקום, </w:t>
      </w:r>
      <w:r w:rsidR="000050D4" w:rsidRPr="00732562">
        <w:rPr>
          <w:rFonts w:eastAsia="Times New Roman" w:hint="cs"/>
          <w:sz w:val="24"/>
          <w:szCs w:val="24"/>
          <w:rtl/>
        </w:rPr>
        <w:t>ו</w:t>
      </w:r>
      <w:r w:rsidRPr="00732562">
        <w:rPr>
          <w:rFonts w:eastAsia="Times New Roman" w:hint="cs"/>
          <w:sz w:val="24"/>
          <w:szCs w:val="24"/>
          <w:rtl/>
        </w:rPr>
        <w:t>התפטי</w:t>
      </w:r>
      <w:r w:rsidR="000050D4" w:rsidRPr="00732562">
        <w:rPr>
          <w:rFonts w:eastAsia="Times New Roman" w:hint="cs"/>
          <w:sz w:val="24"/>
          <w:szCs w:val="24"/>
          <w:rtl/>
        </w:rPr>
        <w:t>ר יעבור יבוש בהקפאה (לופילייזר).</w:t>
      </w:r>
      <w:r w:rsidR="00D21E9F">
        <w:rPr>
          <w:rFonts w:eastAsia="Times New Roman" w:hint="cs"/>
          <w:sz w:val="24"/>
          <w:szCs w:val="24"/>
          <w:rtl/>
        </w:rPr>
        <w:t xml:space="preserve"> לאחר מכן </w:t>
      </w:r>
      <w:r w:rsidRPr="00732562">
        <w:rPr>
          <w:rFonts w:eastAsia="Times New Roman" w:hint="cs"/>
          <w:sz w:val="24"/>
          <w:szCs w:val="24"/>
          <w:rtl/>
        </w:rPr>
        <w:t xml:space="preserve">הביומסה </w:t>
      </w:r>
      <w:r w:rsidR="00D21E9F">
        <w:rPr>
          <w:rFonts w:eastAsia="Times New Roman" w:hint="cs"/>
          <w:sz w:val="24"/>
          <w:szCs w:val="24"/>
          <w:rtl/>
        </w:rPr>
        <w:t xml:space="preserve">תעבור כתישה </w:t>
      </w:r>
      <w:r w:rsidRPr="00732562">
        <w:rPr>
          <w:rFonts w:eastAsia="Times New Roman" w:hint="cs"/>
          <w:sz w:val="24"/>
          <w:szCs w:val="24"/>
          <w:rtl/>
        </w:rPr>
        <w:t>על ידי עלי ומכתש ו</w:t>
      </w:r>
      <w:r w:rsidR="00D21E9F">
        <w:rPr>
          <w:rFonts w:eastAsia="Times New Roman" w:hint="cs"/>
          <w:sz w:val="24"/>
          <w:szCs w:val="24"/>
          <w:rtl/>
        </w:rPr>
        <w:t>יתבצע</w:t>
      </w:r>
      <w:r w:rsidRPr="00732562">
        <w:rPr>
          <w:rFonts w:eastAsia="Times New Roman" w:hint="cs"/>
          <w:sz w:val="24"/>
          <w:szCs w:val="24"/>
          <w:rtl/>
        </w:rPr>
        <w:t xml:space="preserve"> מיצוי במתנול של התפטיר בעזרת טלטול או בעזרת מכשיר ה-</w:t>
      </w:r>
      <w:r w:rsidR="00113D44" w:rsidRPr="00732562">
        <w:rPr>
          <w:rFonts w:eastAsia="Times New Roman"/>
          <w:sz w:val="24"/>
          <w:szCs w:val="24"/>
        </w:rPr>
        <w:t>Accelerated Solvent</w:t>
      </w:r>
      <w:r w:rsidR="00113D44" w:rsidRPr="00732562">
        <w:rPr>
          <w:rFonts w:eastAsia="Times New Roman" w:hint="cs"/>
          <w:sz w:val="24"/>
          <w:szCs w:val="24"/>
          <w:rtl/>
        </w:rPr>
        <w:t xml:space="preserve"> </w:t>
      </w:r>
      <w:r w:rsidR="00113D44" w:rsidRPr="00732562">
        <w:rPr>
          <w:rFonts w:eastAsia="Times New Roman"/>
          <w:sz w:val="24"/>
          <w:szCs w:val="24"/>
        </w:rPr>
        <w:t>Extraction</w:t>
      </w:r>
      <w:r w:rsidR="000050D4" w:rsidRPr="00732562">
        <w:rPr>
          <w:rFonts w:eastAsia="Times New Roman" w:hint="cs"/>
          <w:sz w:val="24"/>
          <w:szCs w:val="24"/>
          <w:rtl/>
        </w:rPr>
        <w:t>.</w:t>
      </w:r>
      <w:r w:rsidR="00113D44" w:rsidRPr="00732562">
        <w:rPr>
          <w:rFonts w:eastAsia="Times New Roman" w:hint="cs"/>
          <w:sz w:val="24"/>
          <w:szCs w:val="24"/>
          <w:rtl/>
        </w:rPr>
        <w:t xml:space="preserve"> </w:t>
      </w:r>
      <w:r w:rsidRPr="00732562">
        <w:rPr>
          <w:rFonts w:eastAsia="Times New Roman" w:hint="cs"/>
          <w:sz w:val="24"/>
          <w:szCs w:val="24"/>
          <w:rtl/>
        </w:rPr>
        <w:t xml:space="preserve">תמיסת המיצוי </w:t>
      </w:r>
      <w:r w:rsidR="00671376" w:rsidRPr="00732562">
        <w:rPr>
          <w:rFonts w:eastAsia="Times New Roman" w:hint="cs"/>
          <w:sz w:val="24"/>
          <w:szCs w:val="24"/>
          <w:rtl/>
        </w:rPr>
        <w:t>תיבד</w:t>
      </w:r>
      <w:r w:rsidR="00671376" w:rsidRPr="00732562">
        <w:rPr>
          <w:rFonts w:eastAsia="Times New Roman" w:hint="eastAsia"/>
          <w:sz w:val="24"/>
          <w:szCs w:val="24"/>
          <w:rtl/>
        </w:rPr>
        <w:t>ק</w:t>
      </w:r>
      <w:r w:rsidRPr="00732562">
        <w:rPr>
          <w:rFonts w:eastAsia="Times New Roman" w:hint="cs"/>
          <w:sz w:val="24"/>
          <w:szCs w:val="24"/>
          <w:rtl/>
        </w:rPr>
        <w:t xml:space="preserve"> לנוכחות  </w:t>
      </w:r>
      <w:r w:rsidR="00B00442">
        <w:rPr>
          <w:rFonts w:eastAsia="Times New Roman" w:hint="cs"/>
          <w:sz w:val="24"/>
          <w:szCs w:val="24"/>
        </w:rPr>
        <w:t>L</w:t>
      </w:r>
      <w:r w:rsidR="00BE3568">
        <w:rPr>
          <w:rFonts w:eastAsia="Times New Roman"/>
          <w:sz w:val="24"/>
          <w:szCs w:val="24"/>
        </w:rPr>
        <w:t>amotrigine</w:t>
      </w:r>
      <w:r w:rsidRPr="00732562">
        <w:rPr>
          <w:rFonts w:eastAsia="Times New Roman" w:hint="cs"/>
          <w:sz w:val="24"/>
          <w:szCs w:val="24"/>
          <w:rtl/>
        </w:rPr>
        <w:t xml:space="preserve"> ובמקביל </w:t>
      </w:r>
      <w:r w:rsidR="00D60C62" w:rsidRPr="00732562">
        <w:rPr>
          <w:rFonts w:eastAsia="Times New Roman" w:hint="cs"/>
          <w:sz w:val="24"/>
          <w:szCs w:val="24"/>
          <w:rtl/>
        </w:rPr>
        <w:t>תשלח לאנליזת</w:t>
      </w:r>
      <w:r w:rsidR="00D60C62" w:rsidRPr="00732562">
        <w:rPr>
          <w:rFonts w:eastAsia="Times New Roman" w:hint="cs"/>
          <w:sz w:val="24"/>
          <w:szCs w:val="24"/>
        </w:rPr>
        <w:t>MS</w:t>
      </w:r>
      <w:r w:rsidR="00D60C62" w:rsidRPr="00732562">
        <w:rPr>
          <w:rFonts w:eastAsia="Times New Roman"/>
          <w:sz w:val="24"/>
          <w:szCs w:val="24"/>
        </w:rPr>
        <w:t xml:space="preserve"> </w:t>
      </w:r>
      <w:r w:rsidR="00D60C62" w:rsidRPr="00732562">
        <w:rPr>
          <w:rFonts w:eastAsia="Times New Roman" w:hint="cs"/>
          <w:sz w:val="24"/>
          <w:szCs w:val="24"/>
          <w:rtl/>
        </w:rPr>
        <w:t>-</w:t>
      </w:r>
      <w:r w:rsidR="00D60C62" w:rsidRPr="00732562">
        <w:rPr>
          <w:rFonts w:eastAsia="Times New Roman" w:hint="cs"/>
          <w:sz w:val="24"/>
          <w:szCs w:val="24"/>
        </w:rPr>
        <w:t>LC</w:t>
      </w:r>
      <w:r w:rsidRPr="00732562">
        <w:rPr>
          <w:rFonts w:eastAsia="Times New Roman" w:hint="cs"/>
          <w:sz w:val="24"/>
          <w:szCs w:val="24"/>
          <w:rtl/>
        </w:rPr>
        <w:t xml:space="preserve"> לבדיקת נוכחות מטבוליטים בתמיסה.</w:t>
      </w:r>
    </w:p>
    <w:p w14:paraId="0598848A" w14:textId="36FFE285" w:rsidR="00547275" w:rsidRPr="00732562" w:rsidRDefault="00092ED1" w:rsidP="00406847">
      <w:pPr>
        <w:shd w:val="clear" w:color="auto" w:fill="FFFFFF"/>
        <w:bidi/>
        <w:spacing w:after="0" w:line="360" w:lineRule="auto"/>
        <w:jc w:val="both"/>
        <w:outlineLvl w:val="3"/>
        <w:rPr>
          <w:rFonts w:eastAsia="Times New Roman"/>
          <w:sz w:val="24"/>
          <w:szCs w:val="24"/>
          <w:u w:val="single"/>
          <w:rtl/>
        </w:rPr>
      </w:pPr>
      <w:r w:rsidRPr="00732562">
        <w:rPr>
          <w:rFonts w:eastAsia="Times New Roman" w:hint="cs"/>
          <w:sz w:val="24"/>
          <w:szCs w:val="24"/>
          <w:u w:val="single"/>
          <w:rtl/>
        </w:rPr>
        <w:t xml:space="preserve">מעכב אחר ריכוז </w:t>
      </w:r>
      <w:r w:rsidR="00B00442">
        <w:rPr>
          <w:rFonts w:eastAsia="Times New Roman" w:hint="cs"/>
          <w:sz w:val="24"/>
          <w:szCs w:val="24"/>
          <w:u w:val="single"/>
        </w:rPr>
        <w:t>Lamotrigine</w:t>
      </w:r>
      <w:r w:rsidRPr="00732562">
        <w:rPr>
          <w:rFonts w:eastAsia="Times New Roman" w:hint="cs"/>
          <w:sz w:val="24"/>
          <w:szCs w:val="24"/>
          <w:u w:val="single"/>
          <w:rtl/>
        </w:rPr>
        <w:t xml:space="preserve"> </w:t>
      </w:r>
    </w:p>
    <w:p w14:paraId="472153CF" w14:textId="2E20645B" w:rsidR="00292AF2" w:rsidRPr="00732562" w:rsidRDefault="00292AF2" w:rsidP="00406847">
      <w:pPr>
        <w:shd w:val="clear" w:color="auto" w:fill="FFFFFF"/>
        <w:bidi/>
        <w:spacing w:after="0" w:line="360" w:lineRule="auto"/>
        <w:jc w:val="both"/>
        <w:outlineLvl w:val="3"/>
        <w:rPr>
          <w:rFonts w:eastAsia="Times New Roman"/>
          <w:sz w:val="24"/>
          <w:szCs w:val="24"/>
          <w:rtl/>
        </w:rPr>
      </w:pPr>
      <w:r w:rsidRPr="00732562">
        <w:rPr>
          <w:rFonts w:eastAsia="Times New Roman" w:hint="cs"/>
          <w:sz w:val="24"/>
          <w:szCs w:val="24"/>
          <w:rtl/>
        </w:rPr>
        <w:t xml:space="preserve"> </w:t>
      </w:r>
      <w:r w:rsidR="00547275" w:rsidRPr="00732562">
        <w:rPr>
          <w:rFonts w:eastAsia="Times New Roman" w:hint="cs"/>
          <w:sz w:val="24"/>
          <w:szCs w:val="24"/>
          <w:rtl/>
        </w:rPr>
        <w:t xml:space="preserve">על מנת לבדוק </w:t>
      </w:r>
      <w:r w:rsidR="00092ED1" w:rsidRPr="00732562">
        <w:rPr>
          <w:rFonts w:eastAsia="Times New Roman" w:hint="cs"/>
          <w:sz w:val="24"/>
          <w:szCs w:val="24"/>
          <w:rtl/>
        </w:rPr>
        <w:t xml:space="preserve">מה הוא ריכוז החומר בתמיסות השונות (מצע הגידול ותמיסות המיצוי) </w:t>
      </w:r>
      <w:r w:rsidR="00DD26B6">
        <w:rPr>
          <w:rFonts w:eastAsia="Times New Roman" w:hint="cs"/>
          <w:sz w:val="24"/>
          <w:szCs w:val="24"/>
          <w:rtl/>
        </w:rPr>
        <w:t>לאורך ימי הגידול תתבצע</w:t>
      </w:r>
      <w:r w:rsidR="00547275" w:rsidRPr="00732562">
        <w:rPr>
          <w:rFonts w:eastAsia="Times New Roman" w:hint="cs"/>
          <w:sz w:val="24"/>
          <w:szCs w:val="24"/>
          <w:rtl/>
        </w:rPr>
        <w:t xml:space="preserve"> אנליזה כמותית באמצעות מערכת </w:t>
      </w:r>
      <w:r w:rsidR="00547275" w:rsidRPr="00732562">
        <w:rPr>
          <w:rFonts w:eastAsia="Times New Roman" w:hint="cs"/>
          <w:sz w:val="24"/>
          <w:szCs w:val="24"/>
        </w:rPr>
        <w:t xml:space="preserve">HPLC </w:t>
      </w:r>
      <w:r w:rsidR="00547275" w:rsidRPr="00732562">
        <w:rPr>
          <w:rFonts w:eastAsia="Times New Roman" w:hint="cs"/>
          <w:sz w:val="24"/>
          <w:szCs w:val="24"/>
          <w:rtl/>
        </w:rPr>
        <w:t xml:space="preserve"> </w:t>
      </w:r>
      <w:r w:rsidR="00BE3568" w:rsidRPr="00732562">
        <w:rPr>
          <w:rFonts w:eastAsia="Times New Roman" w:hint="cs"/>
          <w:sz w:val="24"/>
          <w:szCs w:val="24"/>
          <w:rtl/>
        </w:rPr>
        <w:t>המצוידת</w:t>
      </w:r>
      <w:r w:rsidR="00547275" w:rsidRPr="00732562">
        <w:rPr>
          <w:rFonts w:eastAsia="Times New Roman" w:hint="cs"/>
          <w:sz w:val="24"/>
          <w:szCs w:val="24"/>
          <w:rtl/>
        </w:rPr>
        <w:t xml:space="preserve"> בגלאי</w:t>
      </w:r>
      <w:r w:rsidR="00802C81" w:rsidRPr="00732562">
        <w:rPr>
          <w:rFonts w:eastAsia="Times New Roman" w:hint="cs"/>
          <w:sz w:val="24"/>
          <w:szCs w:val="24"/>
          <w:rtl/>
        </w:rPr>
        <w:t xml:space="preserve"> </w:t>
      </w:r>
      <w:r w:rsidR="00802C81" w:rsidRPr="00732562">
        <w:rPr>
          <w:rFonts w:asciiTheme="majorBidi" w:eastAsiaTheme="minorBidi" w:hAnsiTheme="majorBidi" w:cstheme="majorBidi"/>
          <w:sz w:val="24"/>
          <w:szCs w:val="24"/>
        </w:rPr>
        <w:t>diode array</w:t>
      </w:r>
      <w:r w:rsidR="00802C81" w:rsidRPr="00732562">
        <w:rPr>
          <w:rFonts w:eastAsia="Times New Roman" w:hint="cs"/>
          <w:sz w:val="24"/>
          <w:szCs w:val="24"/>
          <w:rtl/>
        </w:rPr>
        <w:t xml:space="preserve"> באורך גל של </w:t>
      </w:r>
      <w:r w:rsidR="00802C81" w:rsidRPr="00732562">
        <w:rPr>
          <w:rFonts w:eastAsia="Times New Roman"/>
          <w:sz w:val="24"/>
          <w:szCs w:val="24"/>
        </w:rPr>
        <w:t>nm</w:t>
      </w:r>
      <w:r w:rsidR="00802C81" w:rsidRPr="00732562">
        <w:rPr>
          <w:rFonts w:eastAsia="Times New Roman" w:hint="cs"/>
          <w:sz w:val="24"/>
          <w:szCs w:val="24"/>
          <w:rtl/>
        </w:rPr>
        <w:t xml:space="preserve"> 270. </w:t>
      </w:r>
      <w:r w:rsidR="00B94D9A" w:rsidRPr="00732562">
        <w:rPr>
          <w:rFonts w:eastAsia="Times New Roman" w:hint="cs"/>
          <w:sz w:val="24"/>
          <w:szCs w:val="24"/>
          <w:rtl/>
        </w:rPr>
        <w:t>זיהוי וכימות ה-</w:t>
      </w:r>
      <w:r w:rsidR="00B00442">
        <w:rPr>
          <w:rFonts w:eastAsia="Times New Roman" w:hint="cs"/>
          <w:sz w:val="24"/>
          <w:szCs w:val="24"/>
        </w:rPr>
        <w:t>Lamotrigine</w:t>
      </w:r>
      <w:r w:rsidR="00B94D9A" w:rsidRPr="00732562">
        <w:rPr>
          <w:rFonts w:eastAsia="Times New Roman" w:hint="cs"/>
          <w:sz w:val="24"/>
          <w:szCs w:val="24"/>
          <w:rtl/>
        </w:rPr>
        <w:t xml:space="preserve"> יעשה על ידי עקום כיול חיצוני שיוכן על גבי תמיסת הרקע המתאימה.</w:t>
      </w:r>
    </w:p>
    <w:p w14:paraId="64991672" w14:textId="77777777" w:rsidR="006D5DB2" w:rsidRPr="00732562" w:rsidRDefault="006D5DB2" w:rsidP="00406847">
      <w:pPr>
        <w:shd w:val="clear" w:color="auto" w:fill="FFFFFF"/>
        <w:bidi/>
        <w:spacing w:after="0" w:line="360" w:lineRule="auto"/>
        <w:jc w:val="both"/>
        <w:outlineLvl w:val="3"/>
        <w:rPr>
          <w:rFonts w:eastAsia="Times New Roman"/>
          <w:b/>
          <w:bCs/>
          <w:sz w:val="24"/>
          <w:szCs w:val="24"/>
          <w:u w:val="single"/>
          <w:rtl/>
        </w:rPr>
      </w:pPr>
      <w:r w:rsidRPr="00732562">
        <w:rPr>
          <w:rFonts w:eastAsia="Times New Roman" w:hint="cs"/>
          <w:sz w:val="24"/>
          <w:szCs w:val="24"/>
          <w:u w:val="single"/>
          <w:rtl/>
        </w:rPr>
        <w:t>זיהוי מטבוליטים</w:t>
      </w:r>
    </w:p>
    <w:p w14:paraId="5FFF02FB" w14:textId="77777777" w:rsidR="006D5DB2" w:rsidRPr="00732562" w:rsidRDefault="006D5DB2" w:rsidP="00406847">
      <w:pPr>
        <w:shd w:val="clear" w:color="auto" w:fill="FFFFFF"/>
        <w:bidi/>
        <w:spacing w:after="0" w:line="360" w:lineRule="auto"/>
        <w:jc w:val="both"/>
        <w:outlineLvl w:val="3"/>
        <w:rPr>
          <w:rFonts w:eastAsia="Times New Roman"/>
          <w:b/>
          <w:bCs/>
          <w:sz w:val="24"/>
          <w:szCs w:val="24"/>
          <w:u w:val="single"/>
          <w:rtl/>
        </w:rPr>
      </w:pPr>
      <w:r w:rsidRPr="00732562">
        <w:rPr>
          <w:rFonts w:hint="cs"/>
          <w:sz w:val="24"/>
          <w:szCs w:val="24"/>
          <w:rtl/>
        </w:rPr>
        <w:t xml:space="preserve">לצורך </w:t>
      </w:r>
      <w:r w:rsidRPr="00732562">
        <w:rPr>
          <w:rFonts w:eastAsia="Times New Roman" w:hint="cs"/>
          <w:sz w:val="24"/>
          <w:szCs w:val="24"/>
          <w:rtl/>
        </w:rPr>
        <w:t>זיהוי וכימות מטבוליטים בתמיסות השונות</w:t>
      </w:r>
      <w:r w:rsidRPr="00732562">
        <w:rPr>
          <w:rFonts w:hint="cs"/>
          <w:sz w:val="24"/>
          <w:szCs w:val="24"/>
          <w:rtl/>
        </w:rPr>
        <w:t xml:space="preserve"> נעשה אנליזת </w:t>
      </w:r>
      <w:r w:rsidRPr="00732562">
        <w:rPr>
          <w:rFonts w:cstheme="majorBidi"/>
          <w:sz w:val="24"/>
          <w:szCs w:val="24"/>
        </w:rPr>
        <w:t>LC-MS</w:t>
      </w:r>
      <w:r w:rsidRPr="00732562">
        <w:rPr>
          <w:rFonts w:hint="cs"/>
          <w:sz w:val="24"/>
          <w:szCs w:val="24"/>
          <w:rtl/>
        </w:rPr>
        <w:t>, אנליזה זו תעשה על ידי ד"ר יוליוס בן ארי במעבדת הצב"מ.</w:t>
      </w:r>
    </w:p>
    <w:p w14:paraId="552242C8" w14:textId="77777777" w:rsidR="00A26196" w:rsidRPr="00732562" w:rsidRDefault="00A26196" w:rsidP="00406847">
      <w:pPr>
        <w:shd w:val="clear" w:color="auto" w:fill="FFFFFF"/>
        <w:bidi/>
        <w:spacing w:after="0" w:line="360" w:lineRule="auto"/>
        <w:jc w:val="both"/>
        <w:outlineLvl w:val="3"/>
        <w:rPr>
          <w:sz w:val="24"/>
          <w:szCs w:val="24"/>
          <w:u w:val="single"/>
          <w:rtl/>
        </w:rPr>
      </w:pPr>
      <w:r w:rsidRPr="00732562">
        <w:rPr>
          <w:rFonts w:hint="cs"/>
          <w:sz w:val="24"/>
          <w:szCs w:val="24"/>
          <w:u w:val="single"/>
          <w:rtl/>
        </w:rPr>
        <w:t xml:space="preserve">הוספת מעכבים ומשרנים </w:t>
      </w:r>
    </w:p>
    <w:p w14:paraId="1E68C634" w14:textId="5006F52E" w:rsidR="00A26196" w:rsidRDefault="00A26196" w:rsidP="00406847">
      <w:pPr>
        <w:bidi/>
        <w:spacing w:after="0" w:line="360" w:lineRule="auto"/>
        <w:jc w:val="both"/>
        <w:rPr>
          <w:sz w:val="24"/>
          <w:szCs w:val="24"/>
          <w:rtl/>
        </w:rPr>
      </w:pPr>
      <w:r w:rsidRPr="00732562">
        <w:rPr>
          <w:rFonts w:eastAsia="Times New Roman" w:hint="cs"/>
          <w:sz w:val="24"/>
          <w:szCs w:val="24"/>
          <w:rtl/>
        </w:rPr>
        <w:t>כדי להבין מה הם המנגנונים המעורבים בתהליך העלמת ה-</w:t>
      </w:r>
      <w:r w:rsidR="00B00442">
        <w:rPr>
          <w:rFonts w:eastAsia="Times New Roman" w:hint="cs"/>
          <w:sz w:val="24"/>
          <w:szCs w:val="24"/>
        </w:rPr>
        <w:t>Lamotrigine</w:t>
      </w:r>
      <w:r w:rsidRPr="00732562">
        <w:rPr>
          <w:rFonts w:eastAsia="Times New Roman" w:hint="cs"/>
          <w:sz w:val="24"/>
          <w:szCs w:val="24"/>
          <w:rtl/>
        </w:rPr>
        <w:t xml:space="preserve"> על ידי הפטרייה, </w:t>
      </w:r>
      <w:r w:rsidR="00006404">
        <w:rPr>
          <w:rFonts w:hint="cs"/>
          <w:sz w:val="24"/>
          <w:szCs w:val="24"/>
          <w:rtl/>
        </w:rPr>
        <w:t>תתבצע</w:t>
      </w:r>
      <w:r w:rsidRPr="00732562">
        <w:rPr>
          <w:rFonts w:hint="cs"/>
          <w:sz w:val="24"/>
          <w:szCs w:val="24"/>
          <w:rtl/>
        </w:rPr>
        <w:t xml:space="preserve"> סדרת ניסויים בה </w:t>
      </w:r>
      <w:r w:rsidR="00006404">
        <w:rPr>
          <w:rFonts w:hint="cs"/>
          <w:sz w:val="24"/>
          <w:szCs w:val="24"/>
          <w:rtl/>
        </w:rPr>
        <w:t xml:space="preserve">יבדקו </w:t>
      </w:r>
      <w:r w:rsidRPr="00732562">
        <w:rPr>
          <w:rFonts w:hint="cs"/>
          <w:sz w:val="24"/>
          <w:szCs w:val="24"/>
          <w:rtl/>
        </w:rPr>
        <w:t>חומרים שונים אשר אמורים לבצע עיכוב</w:t>
      </w:r>
      <w:r w:rsidR="00F03BC7" w:rsidRPr="00732562">
        <w:rPr>
          <w:rFonts w:hint="cs"/>
          <w:sz w:val="24"/>
          <w:szCs w:val="24"/>
          <w:rtl/>
        </w:rPr>
        <w:t xml:space="preserve"> או שפעול</w:t>
      </w:r>
      <w:r w:rsidRPr="00732562">
        <w:rPr>
          <w:rFonts w:hint="cs"/>
          <w:sz w:val="24"/>
          <w:szCs w:val="24"/>
          <w:rtl/>
        </w:rPr>
        <w:t xml:space="preserve"> אנזימטי</w:t>
      </w:r>
      <w:r w:rsidR="00F03BC7" w:rsidRPr="00732562">
        <w:rPr>
          <w:rFonts w:hint="cs"/>
          <w:sz w:val="24"/>
          <w:szCs w:val="24"/>
          <w:rtl/>
        </w:rPr>
        <w:t>,</w:t>
      </w:r>
      <w:r w:rsidRPr="00732562">
        <w:rPr>
          <w:rFonts w:hint="cs"/>
          <w:sz w:val="24"/>
          <w:szCs w:val="24"/>
          <w:rtl/>
        </w:rPr>
        <w:t xml:space="preserve"> בין אם ספציפי או לא</w:t>
      </w:r>
      <w:r w:rsidR="00F03BC7" w:rsidRPr="00732562">
        <w:rPr>
          <w:rFonts w:hint="cs"/>
          <w:sz w:val="24"/>
          <w:szCs w:val="24"/>
          <w:rtl/>
        </w:rPr>
        <w:t>, על מנת לקבל מושג על</w:t>
      </w:r>
      <w:r w:rsidRPr="00732562">
        <w:rPr>
          <w:rFonts w:hint="cs"/>
          <w:sz w:val="24"/>
          <w:szCs w:val="24"/>
          <w:rtl/>
        </w:rPr>
        <w:t xml:space="preserve"> האנזימים המשתתפים בתהליך</w:t>
      </w:r>
      <w:r w:rsidR="00F03BC7" w:rsidRPr="00732562">
        <w:rPr>
          <w:rFonts w:hint="cs"/>
          <w:sz w:val="24"/>
          <w:szCs w:val="24"/>
          <w:rtl/>
        </w:rPr>
        <w:t>.</w:t>
      </w:r>
      <w:r w:rsidRPr="00732562">
        <w:rPr>
          <w:rFonts w:hint="cs"/>
          <w:sz w:val="24"/>
          <w:szCs w:val="24"/>
          <w:rtl/>
        </w:rPr>
        <w:t xml:space="preserve"> </w:t>
      </w:r>
    </w:p>
    <w:p w14:paraId="341EA8C2" w14:textId="14F6828E" w:rsidR="00CD68AE" w:rsidRDefault="00CD68AE" w:rsidP="002209C1">
      <w:pPr>
        <w:bidi/>
        <w:spacing w:after="0" w:line="360" w:lineRule="auto"/>
        <w:jc w:val="both"/>
        <w:rPr>
          <w:sz w:val="24"/>
          <w:szCs w:val="24"/>
          <w:u w:val="single"/>
          <w:rtl/>
        </w:rPr>
      </w:pPr>
      <w:r w:rsidRPr="002209C1">
        <w:rPr>
          <w:rFonts w:hint="cs"/>
          <w:sz w:val="24"/>
          <w:szCs w:val="24"/>
          <w:u w:val="single"/>
          <w:rtl/>
        </w:rPr>
        <w:t>בדיקת</w:t>
      </w:r>
      <w:r w:rsidRPr="002209C1">
        <w:rPr>
          <w:sz w:val="24"/>
          <w:szCs w:val="24"/>
          <w:u w:val="single"/>
          <w:rtl/>
        </w:rPr>
        <w:t xml:space="preserve"> גידול </w:t>
      </w:r>
      <w:r w:rsidR="002209C1" w:rsidRPr="002209C1">
        <w:rPr>
          <w:rFonts w:hint="cs"/>
          <w:sz w:val="24"/>
          <w:szCs w:val="24"/>
          <w:u w:val="single"/>
          <w:rtl/>
        </w:rPr>
        <w:t>הפטרייה</w:t>
      </w:r>
      <w:r w:rsidRPr="002209C1">
        <w:rPr>
          <w:sz w:val="24"/>
          <w:szCs w:val="24"/>
          <w:u w:val="single"/>
          <w:rtl/>
        </w:rPr>
        <w:t xml:space="preserve"> ופרוק </w:t>
      </w:r>
      <w:r w:rsidRPr="00CD68AE">
        <w:rPr>
          <w:rFonts w:eastAsia="Times New Roman"/>
          <w:sz w:val="24"/>
          <w:szCs w:val="24"/>
          <w:u w:val="single"/>
        </w:rPr>
        <w:t>Lamotrigine</w:t>
      </w:r>
      <w:r w:rsidRPr="002209C1">
        <w:rPr>
          <w:sz w:val="24"/>
          <w:szCs w:val="24"/>
          <w:u w:val="single"/>
          <w:rtl/>
        </w:rPr>
        <w:t xml:space="preserve"> על רקע של רכז קולחים שעברו התפלה</w:t>
      </w:r>
    </w:p>
    <w:p w14:paraId="69EEFF29" w14:textId="3C504387" w:rsidR="001919E7" w:rsidRPr="002209C1" w:rsidRDefault="001919E7" w:rsidP="002209C1">
      <w:pPr>
        <w:bidi/>
        <w:spacing w:after="0" w:line="360" w:lineRule="auto"/>
        <w:jc w:val="both"/>
        <w:rPr>
          <w:sz w:val="24"/>
          <w:szCs w:val="24"/>
          <w:rtl/>
        </w:rPr>
      </w:pPr>
      <w:r w:rsidRPr="002209C1">
        <w:rPr>
          <w:rFonts w:hint="cs"/>
          <w:sz w:val="24"/>
          <w:szCs w:val="24"/>
          <w:rtl/>
        </w:rPr>
        <w:t>אחת</w:t>
      </w:r>
      <w:r w:rsidRPr="002209C1">
        <w:rPr>
          <w:sz w:val="24"/>
          <w:szCs w:val="24"/>
          <w:rtl/>
        </w:rPr>
        <w:t xml:space="preserve"> הדרכים לסילוק מזהמים מקולחים הוא התפלה בעזרת אוסמוזה הפוכה. </w:t>
      </w:r>
      <w:r w:rsidRPr="002209C1">
        <w:rPr>
          <w:rFonts w:hint="cs"/>
          <w:sz w:val="24"/>
          <w:szCs w:val="24"/>
          <w:rtl/>
        </w:rPr>
        <w:t>אולם</w:t>
      </w:r>
      <w:r w:rsidRPr="002209C1">
        <w:rPr>
          <w:sz w:val="24"/>
          <w:szCs w:val="24"/>
          <w:rtl/>
        </w:rPr>
        <w:t xml:space="preserve"> ברכז שנוצר הריכוז של המזהמים עולה לפיכך רכז  </w:t>
      </w:r>
      <w:r w:rsidRPr="002209C1">
        <w:rPr>
          <w:rFonts w:hint="cs"/>
          <w:sz w:val="24"/>
          <w:szCs w:val="24"/>
          <w:rtl/>
        </w:rPr>
        <w:t>מקולחים</w:t>
      </w:r>
      <w:r w:rsidRPr="002209C1">
        <w:rPr>
          <w:sz w:val="24"/>
          <w:szCs w:val="24"/>
          <w:rtl/>
        </w:rPr>
        <w:t xml:space="preserve"> במכון טיהור יהווה גם כן מצע לברור יכולת הפרוק של </w:t>
      </w:r>
      <w:r w:rsidR="002209C1" w:rsidRPr="002209C1">
        <w:rPr>
          <w:rFonts w:hint="cs"/>
          <w:sz w:val="24"/>
          <w:szCs w:val="24"/>
          <w:rtl/>
        </w:rPr>
        <w:t>הפטרייה</w:t>
      </w:r>
      <w:r w:rsidRPr="002209C1">
        <w:rPr>
          <w:sz w:val="24"/>
          <w:szCs w:val="24"/>
          <w:rtl/>
        </w:rPr>
        <w:t xml:space="preserve">. </w:t>
      </w:r>
      <w:r w:rsidRPr="002209C1">
        <w:rPr>
          <w:rFonts w:hint="cs"/>
          <w:sz w:val="24"/>
          <w:szCs w:val="24"/>
          <w:rtl/>
        </w:rPr>
        <w:t>יערכו</w:t>
      </w:r>
      <w:r w:rsidRPr="002209C1">
        <w:rPr>
          <w:sz w:val="24"/>
          <w:szCs w:val="24"/>
          <w:rtl/>
        </w:rPr>
        <w:t xml:space="preserve"> </w:t>
      </w:r>
      <w:r w:rsidRPr="002209C1">
        <w:rPr>
          <w:rFonts w:hint="cs"/>
          <w:sz w:val="24"/>
          <w:szCs w:val="24"/>
          <w:rtl/>
        </w:rPr>
        <w:t>ניסויים</w:t>
      </w:r>
      <w:r w:rsidRPr="002209C1">
        <w:rPr>
          <w:sz w:val="24"/>
          <w:szCs w:val="24"/>
          <w:rtl/>
        </w:rPr>
        <w:t xml:space="preserve"> </w:t>
      </w:r>
      <w:r w:rsidRPr="002209C1">
        <w:rPr>
          <w:rFonts w:hint="cs"/>
          <w:sz w:val="24"/>
          <w:szCs w:val="24"/>
          <w:rtl/>
        </w:rPr>
        <w:t>בדומה</w:t>
      </w:r>
      <w:r w:rsidRPr="002209C1">
        <w:rPr>
          <w:sz w:val="24"/>
          <w:szCs w:val="24"/>
          <w:rtl/>
        </w:rPr>
        <w:t xml:space="preserve"> </w:t>
      </w:r>
      <w:r w:rsidRPr="002209C1">
        <w:rPr>
          <w:rFonts w:hint="cs"/>
          <w:sz w:val="24"/>
          <w:szCs w:val="24"/>
          <w:rtl/>
        </w:rPr>
        <w:t>למתואר</w:t>
      </w:r>
      <w:r w:rsidRPr="002209C1">
        <w:rPr>
          <w:sz w:val="24"/>
          <w:szCs w:val="24"/>
          <w:rtl/>
        </w:rPr>
        <w:t xml:space="preserve"> </w:t>
      </w:r>
      <w:r w:rsidRPr="002209C1">
        <w:rPr>
          <w:rFonts w:hint="cs"/>
          <w:sz w:val="24"/>
          <w:szCs w:val="24"/>
          <w:rtl/>
        </w:rPr>
        <w:t>למעלה</w:t>
      </w:r>
      <w:r w:rsidRPr="002209C1">
        <w:rPr>
          <w:sz w:val="24"/>
          <w:szCs w:val="24"/>
          <w:rtl/>
        </w:rPr>
        <w:t xml:space="preserve"> </w:t>
      </w:r>
      <w:r w:rsidR="002209C1">
        <w:rPr>
          <w:rFonts w:hint="cs"/>
          <w:sz w:val="24"/>
          <w:szCs w:val="24"/>
          <w:rtl/>
        </w:rPr>
        <w:t>כאשר</w:t>
      </w:r>
      <w:r w:rsidRPr="002209C1">
        <w:rPr>
          <w:sz w:val="24"/>
          <w:szCs w:val="24"/>
          <w:rtl/>
        </w:rPr>
        <w:t xml:space="preserve"> </w:t>
      </w:r>
      <w:r w:rsidRPr="002209C1">
        <w:rPr>
          <w:rFonts w:hint="cs"/>
          <w:sz w:val="24"/>
          <w:szCs w:val="24"/>
          <w:rtl/>
        </w:rPr>
        <w:t>רכז</w:t>
      </w:r>
      <w:r w:rsidRPr="002209C1">
        <w:rPr>
          <w:sz w:val="24"/>
          <w:szCs w:val="24"/>
          <w:rtl/>
        </w:rPr>
        <w:t xml:space="preserve"> </w:t>
      </w:r>
      <w:r w:rsidRPr="002209C1">
        <w:rPr>
          <w:rFonts w:hint="cs"/>
          <w:sz w:val="24"/>
          <w:szCs w:val="24"/>
          <w:rtl/>
        </w:rPr>
        <w:t>קולחים</w:t>
      </w:r>
      <w:r w:rsidR="002209C1">
        <w:rPr>
          <w:rFonts w:hint="cs"/>
          <w:sz w:val="24"/>
          <w:szCs w:val="24"/>
          <w:rtl/>
        </w:rPr>
        <w:t xml:space="preserve"> ישמש מצע גידול לפטרייה</w:t>
      </w:r>
      <w:r w:rsidRPr="002209C1">
        <w:rPr>
          <w:sz w:val="24"/>
          <w:szCs w:val="24"/>
          <w:rtl/>
        </w:rPr>
        <w:t>.</w:t>
      </w:r>
    </w:p>
    <w:p w14:paraId="348880AC" w14:textId="77777777" w:rsidR="00F90D85" w:rsidRPr="00732562" w:rsidRDefault="00F90D85" w:rsidP="00406847">
      <w:pPr>
        <w:shd w:val="clear" w:color="auto" w:fill="FFFFFF"/>
        <w:bidi/>
        <w:spacing w:after="0" w:line="360" w:lineRule="auto"/>
        <w:jc w:val="both"/>
        <w:outlineLvl w:val="3"/>
        <w:rPr>
          <w:rFonts w:eastAsia="Times New Roman"/>
          <w:b/>
          <w:bCs/>
          <w:sz w:val="24"/>
          <w:szCs w:val="24"/>
          <w:u w:val="single"/>
          <w:rtl/>
        </w:rPr>
      </w:pPr>
    </w:p>
    <w:p w14:paraId="73BD20C5" w14:textId="77777777" w:rsidR="006D5DB2" w:rsidRPr="00732562" w:rsidRDefault="006D5DB2" w:rsidP="00406847">
      <w:pPr>
        <w:shd w:val="clear" w:color="auto" w:fill="FFFFFF"/>
        <w:bidi/>
        <w:spacing w:after="0" w:line="360" w:lineRule="auto"/>
        <w:jc w:val="both"/>
        <w:outlineLvl w:val="3"/>
        <w:rPr>
          <w:rFonts w:eastAsia="Times New Roman"/>
          <w:b/>
          <w:bCs/>
          <w:sz w:val="24"/>
          <w:szCs w:val="24"/>
          <w:u w:val="single"/>
          <w:rtl/>
        </w:rPr>
      </w:pPr>
      <w:r w:rsidRPr="00732562">
        <w:rPr>
          <w:rFonts w:eastAsia="Times New Roman" w:hint="cs"/>
          <w:b/>
          <w:bCs/>
          <w:sz w:val="24"/>
          <w:szCs w:val="24"/>
          <w:u w:val="single"/>
          <w:rtl/>
        </w:rPr>
        <w:t xml:space="preserve">תוצאות </w:t>
      </w:r>
      <w:r w:rsidR="0021173F" w:rsidRPr="00732562">
        <w:rPr>
          <w:rFonts w:eastAsia="Times New Roman" w:hint="cs"/>
          <w:b/>
          <w:bCs/>
          <w:sz w:val="24"/>
          <w:szCs w:val="24"/>
          <w:u w:val="single"/>
          <w:rtl/>
        </w:rPr>
        <w:t>ראשוניו</w:t>
      </w:r>
      <w:r w:rsidR="0021173F" w:rsidRPr="00732562">
        <w:rPr>
          <w:rFonts w:eastAsia="Times New Roman" w:hint="eastAsia"/>
          <w:b/>
          <w:bCs/>
          <w:sz w:val="24"/>
          <w:szCs w:val="24"/>
          <w:u w:val="single"/>
          <w:rtl/>
        </w:rPr>
        <w:t>ת</w:t>
      </w:r>
    </w:p>
    <w:p w14:paraId="399F210D" w14:textId="77777777" w:rsidR="00EF646B" w:rsidRPr="00732562" w:rsidRDefault="007726F2" w:rsidP="00406847">
      <w:pPr>
        <w:shd w:val="clear" w:color="auto" w:fill="FFFFFF"/>
        <w:bidi/>
        <w:spacing w:after="0" w:line="360" w:lineRule="auto"/>
        <w:jc w:val="both"/>
        <w:outlineLvl w:val="3"/>
        <w:rPr>
          <w:b/>
          <w:bCs/>
          <w:sz w:val="24"/>
          <w:szCs w:val="24"/>
          <w:u w:val="single"/>
          <w:rtl/>
        </w:rPr>
      </w:pPr>
      <w:r w:rsidRPr="00732562">
        <w:rPr>
          <w:rFonts w:hint="cs"/>
          <w:b/>
          <w:bCs/>
          <w:sz w:val="24"/>
          <w:szCs w:val="24"/>
          <w:u w:val="single"/>
          <w:rtl/>
        </w:rPr>
        <w:t>פיתוח שיטה ופרוטוקול גידול מתאימים</w:t>
      </w:r>
    </w:p>
    <w:p w14:paraId="28C3B063" w14:textId="312185C4" w:rsidR="00A26196" w:rsidRDefault="007726F2" w:rsidP="00406847">
      <w:pPr>
        <w:bidi/>
        <w:spacing w:after="0" w:line="360" w:lineRule="auto"/>
        <w:jc w:val="both"/>
        <w:rPr>
          <w:sz w:val="24"/>
          <w:szCs w:val="24"/>
          <w:rtl/>
        </w:rPr>
      </w:pPr>
      <w:r w:rsidRPr="00732562">
        <w:rPr>
          <w:rFonts w:hint="cs"/>
          <w:sz w:val="24"/>
          <w:szCs w:val="24"/>
          <w:rtl/>
        </w:rPr>
        <w:t xml:space="preserve">בעבודה קודמת במעבדתנו </w:t>
      </w:r>
      <w:r w:rsidR="007D7DA4" w:rsidRPr="00732562">
        <w:rPr>
          <w:rFonts w:hint="cs"/>
          <w:sz w:val="24"/>
          <w:szCs w:val="24"/>
          <w:rtl/>
        </w:rPr>
        <w:t xml:space="preserve">נמצא שמצע הגידול המתאים ביותר לעידוד הפטרייה בפירוק ה- </w:t>
      </w:r>
      <w:r w:rsidR="00B00442">
        <w:rPr>
          <w:rFonts w:hint="cs"/>
          <w:sz w:val="24"/>
          <w:szCs w:val="24"/>
        </w:rPr>
        <w:t>Lamotrigine</w:t>
      </w:r>
      <w:r w:rsidR="007D7DA4" w:rsidRPr="00732562">
        <w:rPr>
          <w:rFonts w:hint="cs"/>
          <w:sz w:val="24"/>
          <w:szCs w:val="24"/>
          <w:rtl/>
        </w:rPr>
        <w:t xml:space="preserve"> הוא מצע  </w:t>
      </w:r>
      <w:r w:rsidR="007D7DA4" w:rsidRPr="00732562">
        <w:rPr>
          <w:rFonts w:hint="cs"/>
          <w:sz w:val="24"/>
          <w:szCs w:val="24"/>
        </w:rPr>
        <w:t>G</w:t>
      </w:r>
      <w:r w:rsidR="007D7DA4" w:rsidRPr="00732562">
        <w:rPr>
          <w:sz w:val="24"/>
          <w:szCs w:val="24"/>
        </w:rPr>
        <w:t>lucose Peptone</w:t>
      </w:r>
      <w:r w:rsidR="007D7DA4" w:rsidRPr="00732562">
        <w:rPr>
          <w:rFonts w:hint="cs"/>
          <w:sz w:val="24"/>
          <w:szCs w:val="24"/>
          <w:rtl/>
        </w:rPr>
        <w:t xml:space="preserve"> (</w:t>
      </w:r>
      <w:r w:rsidR="007D7DA4" w:rsidRPr="00732562">
        <w:rPr>
          <w:rFonts w:hint="cs"/>
          <w:sz w:val="24"/>
          <w:szCs w:val="24"/>
        </w:rPr>
        <w:t>GP</w:t>
      </w:r>
      <w:r w:rsidR="007D7DA4" w:rsidRPr="00732562">
        <w:rPr>
          <w:rFonts w:hint="cs"/>
          <w:sz w:val="24"/>
          <w:szCs w:val="24"/>
          <w:rtl/>
        </w:rPr>
        <w:t>). מצע זה בעייתי כרקע לכימות ה-</w:t>
      </w:r>
      <w:r w:rsidR="00B00442">
        <w:rPr>
          <w:rFonts w:hint="cs"/>
          <w:sz w:val="24"/>
          <w:szCs w:val="24"/>
        </w:rPr>
        <w:t>Lamotrigine</w:t>
      </w:r>
      <w:r w:rsidR="007D7DA4" w:rsidRPr="00732562">
        <w:rPr>
          <w:rFonts w:hint="cs"/>
          <w:sz w:val="24"/>
          <w:szCs w:val="24"/>
          <w:rtl/>
        </w:rPr>
        <w:t xml:space="preserve"> ב-</w:t>
      </w:r>
      <w:r w:rsidR="007D7DA4" w:rsidRPr="00732562">
        <w:rPr>
          <w:rFonts w:hint="cs"/>
          <w:sz w:val="24"/>
          <w:szCs w:val="24"/>
        </w:rPr>
        <w:t>HPLC</w:t>
      </w:r>
      <w:r w:rsidR="007D7DA4" w:rsidRPr="00732562">
        <w:rPr>
          <w:rFonts w:hint="cs"/>
          <w:sz w:val="24"/>
          <w:szCs w:val="24"/>
          <w:rtl/>
        </w:rPr>
        <w:t xml:space="preserve"> מכיוון ש</w:t>
      </w:r>
      <w:r w:rsidR="00F90362" w:rsidRPr="00732562">
        <w:rPr>
          <w:rFonts w:hint="cs"/>
          <w:sz w:val="24"/>
          <w:szCs w:val="24"/>
          <w:rtl/>
        </w:rPr>
        <w:t>שיא הבליעה</w:t>
      </w:r>
      <w:r w:rsidR="007D7DA4" w:rsidRPr="00732562">
        <w:rPr>
          <w:rFonts w:hint="cs"/>
          <w:sz w:val="24"/>
          <w:szCs w:val="24"/>
          <w:rtl/>
        </w:rPr>
        <w:t xml:space="preserve"> של החומר ממוסך על ידו. מרכיבי המצע אינם מופרדים כיאות מהחומר, אין אפשרות לקבל </w:t>
      </w:r>
      <w:r w:rsidR="007D7DA4" w:rsidRPr="00732562">
        <w:rPr>
          <w:sz w:val="24"/>
          <w:szCs w:val="24"/>
        </w:rPr>
        <w:t>baseline</w:t>
      </w:r>
      <w:r w:rsidR="007D7DA4" w:rsidRPr="00732562">
        <w:rPr>
          <w:rFonts w:hint="cs"/>
          <w:sz w:val="24"/>
          <w:szCs w:val="24"/>
          <w:rtl/>
        </w:rPr>
        <w:t xml:space="preserve"> ולכמת את ריכוז החומר, </w:t>
      </w:r>
      <w:r w:rsidR="00777104" w:rsidRPr="00732562">
        <w:rPr>
          <w:rFonts w:hint="cs"/>
          <w:sz w:val="24"/>
          <w:szCs w:val="24"/>
          <w:rtl/>
        </w:rPr>
        <w:t xml:space="preserve">כפי </w:t>
      </w:r>
      <w:r w:rsidR="00CD1D04" w:rsidRPr="00732562">
        <w:rPr>
          <w:rFonts w:hint="cs"/>
          <w:sz w:val="24"/>
          <w:szCs w:val="24"/>
          <w:rtl/>
        </w:rPr>
        <w:t>ש</w:t>
      </w:r>
      <w:r w:rsidR="00777104" w:rsidRPr="00732562">
        <w:rPr>
          <w:rFonts w:hint="cs"/>
          <w:sz w:val="24"/>
          <w:szCs w:val="24"/>
          <w:rtl/>
        </w:rPr>
        <w:t>ניתן לראות באיור מס' 1.</w:t>
      </w:r>
      <w:r w:rsidR="00E73D8C" w:rsidRPr="00732562">
        <w:rPr>
          <w:rFonts w:hint="cs"/>
          <w:sz w:val="24"/>
          <w:szCs w:val="24"/>
          <w:rtl/>
        </w:rPr>
        <w:t xml:space="preserve"> כדי לנסות לדלדל את רעשי הרקע נ</w:t>
      </w:r>
      <w:r w:rsidR="00CD1D04" w:rsidRPr="00732562">
        <w:rPr>
          <w:rFonts w:hint="cs"/>
          <w:sz w:val="24"/>
          <w:szCs w:val="24"/>
          <w:rtl/>
        </w:rPr>
        <w:t>ל</w:t>
      </w:r>
      <w:r w:rsidR="00E73D8C" w:rsidRPr="00732562">
        <w:rPr>
          <w:rFonts w:hint="cs"/>
          <w:sz w:val="24"/>
          <w:szCs w:val="24"/>
          <w:rtl/>
        </w:rPr>
        <w:t xml:space="preserve">קח מצע </w:t>
      </w:r>
      <w:r w:rsidR="00E73D8C" w:rsidRPr="00732562">
        <w:rPr>
          <w:rFonts w:hint="cs"/>
          <w:sz w:val="24"/>
          <w:szCs w:val="24"/>
        </w:rPr>
        <w:t>GP</w:t>
      </w:r>
      <w:r w:rsidR="00E73D8C" w:rsidRPr="00732562">
        <w:rPr>
          <w:rFonts w:hint="cs"/>
          <w:sz w:val="24"/>
          <w:szCs w:val="24"/>
          <w:rtl/>
        </w:rPr>
        <w:t xml:space="preserve"> המהול לחצי מכמות הנוטריינטים בהנחה שיכולת הפירוק תישאר משמעותית גם במצע מהול, אך גם במקרה זה ישנה הפרעה גדולה של מרכ</w:t>
      </w:r>
      <w:r w:rsidR="00CD1D04" w:rsidRPr="00732562">
        <w:rPr>
          <w:rFonts w:hint="cs"/>
          <w:sz w:val="24"/>
          <w:szCs w:val="24"/>
          <w:rtl/>
        </w:rPr>
        <w:t>י</w:t>
      </w:r>
      <w:r w:rsidR="00E73D8C" w:rsidRPr="00732562">
        <w:rPr>
          <w:rFonts w:hint="cs"/>
          <w:sz w:val="24"/>
          <w:szCs w:val="24"/>
          <w:rtl/>
        </w:rPr>
        <w:t>בי המצע כפי שניתן לראות באיור מס' 2.</w:t>
      </w:r>
    </w:p>
    <w:p w14:paraId="187E25A2" w14:textId="77777777" w:rsidR="00275E59" w:rsidRPr="00732562" w:rsidRDefault="00275E59" w:rsidP="00F32898">
      <w:pPr>
        <w:bidi/>
        <w:spacing w:after="0" w:line="360" w:lineRule="auto"/>
        <w:jc w:val="both"/>
        <w:rPr>
          <w:sz w:val="24"/>
          <w:szCs w:val="24"/>
          <w:rtl/>
        </w:rPr>
      </w:pPr>
    </w:p>
    <w:p w14:paraId="7652966F" w14:textId="77777777" w:rsidR="00972737" w:rsidRPr="00732562" w:rsidRDefault="00972737" w:rsidP="00406847">
      <w:pPr>
        <w:bidi/>
        <w:spacing w:after="0" w:line="360" w:lineRule="auto"/>
        <w:jc w:val="both"/>
        <w:rPr>
          <w:sz w:val="24"/>
          <w:szCs w:val="24"/>
          <w:rtl/>
        </w:rPr>
      </w:pPr>
    </w:p>
    <w:tbl>
      <w:tblPr>
        <w:tblStyle w:val="TableGrid"/>
        <w:tblpPr w:leftFromText="180" w:rightFromText="180" w:vertAnchor="text" w:horzAnchor="margin" w:tblpY="241"/>
        <w:bidiVisual/>
        <w:tblW w:w="0" w:type="auto"/>
        <w:tblLook w:val="04A0" w:firstRow="1" w:lastRow="0" w:firstColumn="1" w:lastColumn="0" w:noHBand="0" w:noVBand="1"/>
      </w:tblPr>
      <w:tblGrid>
        <w:gridCol w:w="4836"/>
        <w:gridCol w:w="4514"/>
      </w:tblGrid>
      <w:tr w:rsidR="003C153A" w:rsidRPr="00732562" w14:paraId="2A96D3B1" w14:textId="77777777" w:rsidTr="003C153A">
        <w:tc>
          <w:tcPr>
            <w:tcW w:w="5395" w:type="dxa"/>
            <w:vAlign w:val="center"/>
          </w:tcPr>
          <w:p w14:paraId="596223AC" w14:textId="77777777" w:rsidR="003C153A" w:rsidRPr="00732562" w:rsidRDefault="003C153A" w:rsidP="00F32898">
            <w:pPr>
              <w:spacing w:line="360" w:lineRule="auto"/>
              <w:jc w:val="both"/>
              <w:rPr>
                <w:sz w:val="24"/>
                <w:szCs w:val="24"/>
              </w:rPr>
            </w:pPr>
            <w:r w:rsidRPr="00732562">
              <w:rPr>
                <w:sz w:val="24"/>
                <w:szCs w:val="24"/>
              </w:rPr>
              <w:t>B</w:t>
            </w:r>
          </w:p>
          <w:p w14:paraId="24FF675C" w14:textId="77777777" w:rsidR="003C153A" w:rsidRPr="00732562" w:rsidRDefault="003C153A" w:rsidP="00F32898">
            <w:pPr>
              <w:spacing w:line="360" w:lineRule="auto"/>
              <w:jc w:val="both"/>
              <w:rPr>
                <w:sz w:val="24"/>
                <w:szCs w:val="24"/>
                <w:rtl/>
              </w:rPr>
            </w:pPr>
            <w:r w:rsidRPr="00732562">
              <w:rPr>
                <w:noProof/>
                <w:sz w:val="24"/>
                <w:szCs w:val="24"/>
                <w:rtl/>
              </w:rPr>
              <w:drawing>
                <wp:inline distT="0" distB="0" distL="0" distR="0" wp14:anchorId="2314E02A" wp14:editId="72E8671F">
                  <wp:extent cx="3160173" cy="1789043"/>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59" t="10445" r="3294" b="6334"/>
                          <a:stretch/>
                        </pic:blipFill>
                        <pic:spPr bwMode="auto">
                          <a:xfrm>
                            <a:off x="0" y="0"/>
                            <a:ext cx="3168089" cy="1793525"/>
                          </a:xfrm>
                          <a:prstGeom prst="rect">
                            <a:avLst/>
                          </a:prstGeom>
                          <a:noFill/>
                          <a:ln>
                            <a:noFill/>
                          </a:ln>
                          <a:effectLst/>
                          <a:extLst/>
                        </pic:spPr>
                      </pic:pic>
                    </a:graphicData>
                  </a:graphic>
                </wp:inline>
              </w:drawing>
            </w:r>
          </w:p>
        </w:tc>
        <w:tc>
          <w:tcPr>
            <w:tcW w:w="5395" w:type="dxa"/>
          </w:tcPr>
          <w:p w14:paraId="752D0125" w14:textId="77777777" w:rsidR="003C153A" w:rsidRPr="00732562" w:rsidRDefault="003C153A" w:rsidP="00F32898">
            <w:pPr>
              <w:spacing w:line="360" w:lineRule="auto"/>
              <w:jc w:val="both"/>
              <w:rPr>
                <w:sz w:val="24"/>
                <w:szCs w:val="24"/>
              </w:rPr>
            </w:pPr>
            <w:r w:rsidRPr="00732562">
              <w:rPr>
                <w:sz w:val="24"/>
                <w:szCs w:val="24"/>
              </w:rPr>
              <w:t>A</w:t>
            </w:r>
          </w:p>
          <w:p w14:paraId="5A91E8A4" w14:textId="77777777" w:rsidR="003C153A" w:rsidRPr="00732562" w:rsidRDefault="003C153A" w:rsidP="00F32898">
            <w:pPr>
              <w:spacing w:line="360" w:lineRule="auto"/>
              <w:jc w:val="both"/>
              <w:rPr>
                <w:sz w:val="24"/>
                <w:szCs w:val="24"/>
                <w:rtl/>
              </w:rPr>
            </w:pPr>
            <w:r w:rsidRPr="00732562">
              <w:rPr>
                <w:noProof/>
                <w:sz w:val="24"/>
                <w:szCs w:val="24"/>
              </w:rPr>
              <w:drawing>
                <wp:inline distT="0" distB="0" distL="0" distR="0" wp14:anchorId="58C9157C" wp14:editId="354A0E63">
                  <wp:extent cx="2941983" cy="18940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5822" cy="1928740"/>
                          </a:xfrm>
                          <a:prstGeom prst="rect">
                            <a:avLst/>
                          </a:prstGeom>
                          <a:noFill/>
                        </pic:spPr>
                      </pic:pic>
                    </a:graphicData>
                  </a:graphic>
                </wp:inline>
              </w:drawing>
            </w:r>
          </w:p>
        </w:tc>
      </w:tr>
      <w:tr w:rsidR="003C153A" w:rsidRPr="00732562" w14:paraId="030D18B8" w14:textId="77777777" w:rsidTr="003C153A">
        <w:tc>
          <w:tcPr>
            <w:tcW w:w="10790" w:type="dxa"/>
            <w:gridSpan w:val="2"/>
          </w:tcPr>
          <w:p w14:paraId="7743E74B" w14:textId="7A53D884" w:rsidR="003C153A" w:rsidRPr="00732562" w:rsidRDefault="003C153A" w:rsidP="00F32898">
            <w:pPr>
              <w:bidi/>
              <w:spacing w:line="360" w:lineRule="auto"/>
              <w:jc w:val="both"/>
              <w:rPr>
                <w:sz w:val="24"/>
                <w:szCs w:val="24"/>
                <w:rtl/>
              </w:rPr>
            </w:pPr>
            <w:r w:rsidRPr="00732562">
              <w:rPr>
                <w:sz w:val="24"/>
                <w:szCs w:val="24"/>
                <w:rtl/>
              </w:rPr>
              <w:t>איור</w:t>
            </w:r>
            <w:r w:rsidR="00F90D85" w:rsidRPr="00732562">
              <w:rPr>
                <w:rFonts w:hint="cs"/>
                <w:sz w:val="24"/>
                <w:szCs w:val="24"/>
                <w:rtl/>
              </w:rPr>
              <w:t xml:space="preserve"> 1. </w:t>
            </w:r>
            <w:r w:rsidRPr="00732562">
              <w:rPr>
                <w:rFonts w:hint="cs"/>
                <w:sz w:val="24"/>
                <w:szCs w:val="24"/>
                <w:rtl/>
              </w:rPr>
              <w:t xml:space="preserve"> כרומטוגרפי</w:t>
            </w:r>
            <w:r w:rsidRPr="00732562">
              <w:rPr>
                <w:rFonts w:hint="eastAsia"/>
                <w:sz w:val="24"/>
                <w:szCs w:val="24"/>
                <w:rtl/>
              </w:rPr>
              <w:t>ה</w:t>
            </w:r>
            <w:r w:rsidRPr="00732562">
              <w:rPr>
                <w:rFonts w:hint="cs"/>
                <w:sz w:val="24"/>
                <w:szCs w:val="24"/>
                <w:rtl/>
              </w:rPr>
              <w:t xml:space="preserve"> </w:t>
            </w:r>
            <w:r w:rsidR="00F90D85" w:rsidRPr="00732562">
              <w:rPr>
                <w:rFonts w:hint="cs"/>
                <w:sz w:val="24"/>
                <w:szCs w:val="24"/>
                <w:rtl/>
              </w:rPr>
              <w:t xml:space="preserve">נוזלית </w:t>
            </w:r>
            <w:r w:rsidRPr="00732562">
              <w:rPr>
                <w:rFonts w:hint="cs"/>
                <w:sz w:val="24"/>
                <w:szCs w:val="24"/>
                <w:rtl/>
              </w:rPr>
              <w:t xml:space="preserve">של  </w:t>
            </w:r>
            <w:r w:rsidR="00B00442">
              <w:rPr>
                <w:rFonts w:cstheme="majorBidi"/>
                <w:sz w:val="24"/>
                <w:szCs w:val="24"/>
              </w:rPr>
              <w:t>L</w:t>
            </w:r>
            <w:r w:rsidR="000C3E80">
              <w:rPr>
                <w:rFonts w:cstheme="majorBidi"/>
                <w:sz w:val="24"/>
                <w:szCs w:val="24"/>
              </w:rPr>
              <w:t>amotrigine</w:t>
            </w:r>
            <w:r w:rsidRPr="00732562">
              <w:rPr>
                <w:rFonts w:hint="cs"/>
                <w:sz w:val="24"/>
                <w:szCs w:val="24"/>
                <w:rtl/>
              </w:rPr>
              <w:t xml:space="preserve"> בריכוז </w:t>
            </w:r>
            <w:r w:rsidR="00232A9A">
              <w:rPr>
                <w:rFonts w:cstheme="majorBidi"/>
                <w:sz w:val="24"/>
                <w:szCs w:val="24"/>
              </w:rPr>
              <w:t>mg/L</w:t>
            </w:r>
            <w:r w:rsidRPr="00732562">
              <w:rPr>
                <w:rFonts w:hint="cs"/>
                <w:sz w:val="24"/>
                <w:szCs w:val="24"/>
                <w:rtl/>
              </w:rPr>
              <w:t xml:space="preserve"> 5 על רקע מצע </w:t>
            </w:r>
            <w:r w:rsidRPr="00732562">
              <w:rPr>
                <w:rFonts w:cstheme="majorBidi"/>
                <w:sz w:val="24"/>
                <w:szCs w:val="24"/>
              </w:rPr>
              <w:t>GP</w:t>
            </w:r>
            <w:r w:rsidRPr="00732562">
              <w:rPr>
                <w:rFonts w:cstheme="majorBidi" w:hint="cs"/>
                <w:sz w:val="24"/>
                <w:szCs w:val="24"/>
                <w:rtl/>
              </w:rPr>
              <w:t xml:space="preserve"> </w:t>
            </w:r>
            <w:r w:rsidRPr="00732562">
              <w:rPr>
                <w:rFonts w:cstheme="majorBidi"/>
                <w:sz w:val="24"/>
                <w:szCs w:val="24"/>
              </w:rPr>
              <w:t>(A)</w:t>
            </w:r>
            <w:r w:rsidRPr="00732562">
              <w:rPr>
                <w:rFonts w:cstheme="majorBidi" w:hint="cs"/>
                <w:sz w:val="24"/>
                <w:szCs w:val="24"/>
                <w:rtl/>
              </w:rPr>
              <w:t xml:space="preserve"> </w:t>
            </w:r>
            <w:r w:rsidRPr="00732562">
              <w:rPr>
                <w:rFonts w:hint="cs"/>
                <w:sz w:val="24"/>
                <w:szCs w:val="24"/>
                <w:rtl/>
              </w:rPr>
              <w:t xml:space="preserve"> ועל רקע מצע </w:t>
            </w:r>
            <w:r w:rsidRPr="00732562">
              <w:rPr>
                <w:rFonts w:cstheme="majorBidi"/>
                <w:sz w:val="24"/>
                <w:szCs w:val="24"/>
              </w:rPr>
              <w:t>GP</w:t>
            </w:r>
            <w:r w:rsidRPr="00732562">
              <w:rPr>
                <w:rFonts w:cstheme="majorBidi" w:hint="cs"/>
                <w:sz w:val="24"/>
                <w:szCs w:val="24"/>
                <w:rtl/>
              </w:rPr>
              <w:t xml:space="preserve"> </w:t>
            </w:r>
            <w:r w:rsidRPr="00732562">
              <w:rPr>
                <w:rFonts w:hint="cs"/>
                <w:sz w:val="24"/>
                <w:szCs w:val="24"/>
                <w:rtl/>
              </w:rPr>
              <w:t xml:space="preserve">מדולל </w:t>
            </w:r>
            <w:r w:rsidRPr="00732562">
              <w:rPr>
                <w:sz w:val="24"/>
                <w:szCs w:val="24"/>
              </w:rPr>
              <w:t>(B)</w:t>
            </w:r>
            <w:r w:rsidRPr="00732562">
              <w:rPr>
                <w:rFonts w:hint="cs"/>
                <w:sz w:val="24"/>
                <w:szCs w:val="24"/>
                <w:rtl/>
              </w:rPr>
              <w:t xml:space="preserve">. </w:t>
            </w:r>
            <w:r w:rsidRPr="00732562">
              <w:rPr>
                <w:rFonts w:cstheme="majorBidi"/>
                <w:sz w:val="24"/>
                <w:szCs w:val="24"/>
              </w:rPr>
              <w:t>Retention times</w:t>
            </w:r>
            <w:r w:rsidRPr="00732562">
              <w:rPr>
                <w:rFonts w:cstheme="majorBidi" w:hint="cs"/>
                <w:sz w:val="24"/>
                <w:szCs w:val="24"/>
                <w:rtl/>
              </w:rPr>
              <w:t xml:space="preserve"> </w:t>
            </w:r>
            <w:r w:rsidRPr="00732562">
              <w:rPr>
                <w:rFonts w:cstheme="majorBidi"/>
                <w:sz w:val="24"/>
                <w:szCs w:val="24"/>
                <w:rtl/>
              </w:rPr>
              <w:t>(</w:t>
            </w:r>
            <w:r w:rsidRPr="00732562">
              <w:rPr>
                <w:rFonts w:cstheme="majorBidi"/>
                <w:sz w:val="24"/>
                <w:szCs w:val="24"/>
              </w:rPr>
              <w:t>(R.T</w:t>
            </w:r>
            <w:r w:rsidRPr="00732562">
              <w:rPr>
                <w:rFonts w:cstheme="majorBidi" w:hint="cs"/>
                <w:sz w:val="24"/>
                <w:szCs w:val="24"/>
                <w:rtl/>
              </w:rPr>
              <w:t xml:space="preserve"> </w:t>
            </w:r>
            <w:r w:rsidRPr="00732562">
              <w:rPr>
                <w:rFonts w:hint="cs"/>
                <w:sz w:val="24"/>
                <w:szCs w:val="24"/>
                <w:rtl/>
              </w:rPr>
              <w:t>10.25 דקות.</w:t>
            </w:r>
          </w:p>
        </w:tc>
      </w:tr>
    </w:tbl>
    <w:p w14:paraId="2879F0AF" w14:textId="77777777" w:rsidR="008212FA" w:rsidRPr="00732562" w:rsidRDefault="008212FA" w:rsidP="00406847">
      <w:pPr>
        <w:bidi/>
        <w:spacing w:after="0" w:line="360" w:lineRule="auto"/>
        <w:jc w:val="both"/>
        <w:rPr>
          <w:sz w:val="24"/>
          <w:szCs w:val="24"/>
          <w:rtl/>
        </w:rPr>
      </w:pPr>
    </w:p>
    <w:p w14:paraId="69133900" w14:textId="77777777" w:rsidR="00777104" w:rsidRPr="00732562" w:rsidRDefault="00777104" w:rsidP="00406847">
      <w:pPr>
        <w:bidi/>
        <w:spacing w:after="0" w:line="360" w:lineRule="auto"/>
        <w:jc w:val="both"/>
        <w:rPr>
          <w:sz w:val="24"/>
          <w:szCs w:val="24"/>
          <w:rtl/>
        </w:rPr>
      </w:pPr>
    </w:p>
    <w:p w14:paraId="217E9429" w14:textId="7572B8A3" w:rsidR="008A3D23" w:rsidRPr="00732562" w:rsidRDefault="008A3D23" w:rsidP="00406847">
      <w:pPr>
        <w:bidi/>
        <w:spacing w:after="0" w:line="360" w:lineRule="auto"/>
        <w:jc w:val="both"/>
        <w:rPr>
          <w:sz w:val="24"/>
          <w:szCs w:val="24"/>
          <w:rtl/>
        </w:rPr>
      </w:pPr>
      <w:r w:rsidRPr="00732562">
        <w:rPr>
          <w:sz w:val="24"/>
          <w:szCs w:val="24"/>
          <w:rtl/>
        </w:rPr>
        <w:t>מכיוון שמצע</w:t>
      </w:r>
      <w:r w:rsidRPr="00732562">
        <w:rPr>
          <w:rFonts w:hint="cs"/>
          <w:sz w:val="24"/>
          <w:szCs w:val="24"/>
          <w:rtl/>
        </w:rPr>
        <w:t xml:space="preserve"> </w:t>
      </w:r>
      <w:r w:rsidRPr="00732562">
        <w:rPr>
          <w:sz w:val="24"/>
          <w:szCs w:val="24"/>
          <w:rtl/>
        </w:rPr>
        <w:t>ה-</w:t>
      </w:r>
      <w:r w:rsidRPr="00732562">
        <w:rPr>
          <w:rFonts w:cstheme="majorBidi"/>
          <w:sz w:val="24"/>
          <w:szCs w:val="24"/>
        </w:rPr>
        <w:t>GP</w:t>
      </w:r>
      <w:r w:rsidRPr="00732562">
        <w:rPr>
          <w:rFonts w:hint="cs"/>
          <w:sz w:val="24"/>
          <w:szCs w:val="24"/>
          <w:rtl/>
        </w:rPr>
        <w:t xml:space="preserve"> </w:t>
      </w:r>
      <w:r w:rsidRPr="00732562">
        <w:rPr>
          <w:sz w:val="24"/>
          <w:szCs w:val="24"/>
          <w:rtl/>
        </w:rPr>
        <w:t>הוא המצע המתאים ביותר לעידוד פירוק ה</w:t>
      </w:r>
      <w:r w:rsidRPr="00732562">
        <w:rPr>
          <w:rFonts w:hint="cs"/>
          <w:sz w:val="24"/>
          <w:szCs w:val="24"/>
          <w:rtl/>
        </w:rPr>
        <w:t>-</w:t>
      </w:r>
      <w:r w:rsidR="00B00442">
        <w:rPr>
          <w:rFonts w:cstheme="majorBidi"/>
          <w:sz w:val="24"/>
          <w:szCs w:val="24"/>
        </w:rPr>
        <w:t>Lamotrigine</w:t>
      </w:r>
      <w:r w:rsidRPr="00732562">
        <w:rPr>
          <w:rFonts w:hint="cs"/>
          <w:sz w:val="24"/>
          <w:szCs w:val="24"/>
          <w:rtl/>
        </w:rPr>
        <w:t xml:space="preserve"> </w:t>
      </w:r>
      <w:r w:rsidRPr="00732562">
        <w:rPr>
          <w:sz w:val="24"/>
          <w:szCs w:val="24"/>
          <w:rtl/>
        </w:rPr>
        <w:t>על ידי</w:t>
      </w:r>
      <w:r w:rsidRPr="00732562">
        <w:rPr>
          <w:rFonts w:hint="cs"/>
          <w:sz w:val="24"/>
          <w:szCs w:val="24"/>
          <w:rtl/>
        </w:rPr>
        <w:t xml:space="preserve"> </w:t>
      </w:r>
      <w:r w:rsidRPr="00732562">
        <w:rPr>
          <w:rFonts w:cstheme="majorBidi"/>
          <w:i/>
          <w:iCs/>
          <w:sz w:val="24"/>
          <w:szCs w:val="24"/>
        </w:rPr>
        <w:t>P. ostreatus</w:t>
      </w:r>
      <w:r w:rsidRPr="00732562">
        <w:rPr>
          <w:sz w:val="24"/>
          <w:szCs w:val="24"/>
          <w:rtl/>
        </w:rPr>
        <w:t xml:space="preserve"> </w:t>
      </w:r>
      <w:r w:rsidR="00CD03BA">
        <w:rPr>
          <w:rFonts w:hint="cs"/>
          <w:sz w:val="24"/>
          <w:szCs w:val="24"/>
          <w:rtl/>
        </w:rPr>
        <w:t>היה צורך לחפש</w:t>
      </w:r>
      <w:r w:rsidRPr="00732562">
        <w:rPr>
          <w:rFonts w:hint="cs"/>
          <w:sz w:val="24"/>
          <w:szCs w:val="24"/>
          <w:rtl/>
        </w:rPr>
        <w:t xml:space="preserve"> את המרכיב הספציפי בתוך מצע זה המפריע לכימות ה-</w:t>
      </w:r>
      <w:r w:rsidR="00B00442">
        <w:rPr>
          <w:rFonts w:hint="cs"/>
          <w:sz w:val="24"/>
          <w:szCs w:val="24"/>
        </w:rPr>
        <w:t>Lamotrigine</w:t>
      </w:r>
      <w:r w:rsidRPr="00732562">
        <w:rPr>
          <w:rFonts w:hint="cs"/>
          <w:sz w:val="24"/>
          <w:szCs w:val="24"/>
          <w:rtl/>
        </w:rPr>
        <w:t xml:space="preserve"> כדי לראות האם ישנה אפשרות לגדל את הפטרייה ללא מרכיב זה ועדיין לקבל פירוק משמעותי של החומר. </w:t>
      </w:r>
      <w:r w:rsidR="00CD03BA">
        <w:rPr>
          <w:rFonts w:hint="cs"/>
          <w:sz w:val="24"/>
          <w:szCs w:val="24"/>
          <w:rtl/>
        </w:rPr>
        <w:t>התבצעו</w:t>
      </w:r>
      <w:r w:rsidRPr="00732562">
        <w:rPr>
          <w:rFonts w:hint="cs"/>
          <w:sz w:val="24"/>
          <w:szCs w:val="24"/>
          <w:rtl/>
        </w:rPr>
        <w:t xml:space="preserve"> סדרת ניסויים בהם </w:t>
      </w:r>
      <w:r w:rsidR="00CD03BA">
        <w:rPr>
          <w:rFonts w:hint="cs"/>
          <w:sz w:val="24"/>
          <w:szCs w:val="24"/>
          <w:rtl/>
        </w:rPr>
        <w:t xml:space="preserve">רץ </w:t>
      </w:r>
      <w:r w:rsidRPr="00732562">
        <w:rPr>
          <w:rFonts w:hint="cs"/>
          <w:sz w:val="24"/>
          <w:szCs w:val="24"/>
          <w:rtl/>
        </w:rPr>
        <w:t xml:space="preserve">כל מרכיב של המצע בנפרד </w:t>
      </w:r>
      <w:r w:rsidRPr="00732562">
        <w:rPr>
          <w:sz w:val="24"/>
          <w:szCs w:val="24"/>
          <w:rtl/>
        </w:rPr>
        <w:t>כדי לבדוק מה  המרכיב או המרכיבים</w:t>
      </w:r>
      <w:r w:rsidRPr="00732562">
        <w:rPr>
          <w:rFonts w:hint="cs"/>
          <w:sz w:val="24"/>
          <w:szCs w:val="24"/>
          <w:rtl/>
        </w:rPr>
        <w:t xml:space="preserve"> </w:t>
      </w:r>
      <w:r w:rsidRPr="00732562">
        <w:rPr>
          <w:sz w:val="24"/>
          <w:szCs w:val="24"/>
          <w:rtl/>
        </w:rPr>
        <w:t>הספציפיים במצע</w:t>
      </w:r>
      <w:r w:rsidRPr="00732562">
        <w:rPr>
          <w:rFonts w:hint="cs"/>
          <w:sz w:val="24"/>
          <w:szCs w:val="24"/>
          <w:rtl/>
        </w:rPr>
        <w:t xml:space="preserve"> </w:t>
      </w:r>
      <w:r w:rsidRPr="00732562">
        <w:rPr>
          <w:sz w:val="24"/>
          <w:szCs w:val="24"/>
          <w:rtl/>
        </w:rPr>
        <w:t>ה-</w:t>
      </w:r>
      <w:r w:rsidRPr="00732562">
        <w:rPr>
          <w:sz w:val="24"/>
          <w:szCs w:val="24"/>
        </w:rPr>
        <w:t>GP</w:t>
      </w:r>
      <w:r w:rsidRPr="00732562">
        <w:rPr>
          <w:rFonts w:hint="cs"/>
          <w:sz w:val="24"/>
          <w:szCs w:val="24"/>
          <w:rtl/>
        </w:rPr>
        <w:t xml:space="preserve"> הממסכים את כימות </w:t>
      </w:r>
      <w:r w:rsidRPr="00732562">
        <w:rPr>
          <w:sz w:val="24"/>
          <w:szCs w:val="24"/>
          <w:rtl/>
        </w:rPr>
        <w:t>ה</w:t>
      </w:r>
      <w:r w:rsidRPr="00732562">
        <w:rPr>
          <w:sz w:val="24"/>
          <w:szCs w:val="24"/>
        </w:rPr>
        <w:t>-</w:t>
      </w:r>
      <w:r w:rsidRPr="00732562">
        <w:rPr>
          <w:rFonts w:hint="cs"/>
          <w:sz w:val="24"/>
          <w:szCs w:val="24"/>
          <w:rtl/>
        </w:rPr>
        <w:t xml:space="preserve"> </w:t>
      </w:r>
      <w:r w:rsidR="00B00442">
        <w:rPr>
          <w:sz w:val="24"/>
          <w:szCs w:val="24"/>
        </w:rPr>
        <w:t>Lamotrigine</w:t>
      </w:r>
      <w:r w:rsidRPr="00732562">
        <w:rPr>
          <w:rFonts w:hint="cs"/>
          <w:sz w:val="24"/>
          <w:szCs w:val="24"/>
          <w:rtl/>
        </w:rPr>
        <w:t xml:space="preserve">. </w:t>
      </w:r>
      <w:bookmarkStart w:id="0" w:name="_GoBack"/>
      <w:bookmarkEnd w:id="0"/>
    </w:p>
    <w:p w14:paraId="1006B699" w14:textId="6B603784" w:rsidR="00041098" w:rsidRPr="00732562" w:rsidRDefault="008A3D23" w:rsidP="00406847">
      <w:pPr>
        <w:bidi/>
        <w:spacing w:after="0" w:line="360" w:lineRule="auto"/>
        <w:jc w:val="both"/>
        <w:rPr>
          <w:sz w:val="24"/>
          <w:szCs w:val="24"/>
          <w:rtl/>
        </w:rPr>
      </w:pPr>
      <w:r w:rsidRPr="00732562">
        <w:rPr>
          <w:rFonts w:hint="cs"/>
          <w:sz w:val="24"/>
          <w:szCs w:val="24"/>
          <w:rtl/>
        </w:rPr>
        <w:t>בניסויים אלו נמצא שמרכיב ה-</w:t>
      </w:r>
      <w:r w:rsidRPr="00732562">
        <w:rPr>
          <w:sz w:val="24"/>
          <w:szCs w:val="24"/>
        </w:rPr>
        <w:t xml:space="preserve"> Yeast Extract </w:t>
      </w:r>
      <w:r w:rsidRPr="00732562">
        <w:rPr>
          <w:rFonts w:hint="cs"/>
          <w:sz w:val="24"/>
          <w:szCs w:val="24"/>
          <w:rtl/>
        </w:rPr>
        <w:t>(</w:t>
      </w:r>
      <w:r w:rsidRPr="00732562">
        <w:rPr>
          <w:sz w:val="24"/>
          <w:szCs w:val="24"/>
        </w:rPr>
        <w:t>Y.E</w:t>
      </w:r>
      <w:r w:rsidRPr="00732562">
        <w:rPr>
          <w:rFonts w:hint="cs"/>
          <w:sz w:val="24"/>
          <w:szCs w:val="24"/>
          <w:rtl/>
        </w:rPr>
        <w:t>) הוא המפריע ביותר בכימות ה-</w:t>
      </w:r>
      <w:r w:rsidR="00B00442">
        <w:rPr>
          <w:rFonts w:hint="cs"/>
          <w:sz w:val="24"/>
          <w:szCs w:val="24"/>
        </w:rPr>
        <w:t>Lamotrigine</w:t>
      </w:r>
      <w:r w:rsidR="00CD1D04" w:rsidRPr="00732562">
        <w:rPr>
          <w:rFonts w:hint="cs"/>
          <w:sz w:val="24"/>
          <w:szCs w:val="24"/>
          <w:rtl/>
        </w:rPr>
        <w:t>.</w:t>
      </w:r>
      <w:r w:rsidRPr="00732562">
        <w:rPr>
          <w:rFonts w:hint="cs"/>
          <w:sz w:val="24"/>
          <w:szCs w:val="24"/>
          <w:rtl/>
        </w:rPr>
        <w:t xml:space="preserve"> מכיוון שמרכיב זה הוא חיוני לגידול הפטרייה</w:t>
      </w:r>
      <w:r w:rsidR="00CD1D04" w:rsidRPr="00732562">
        <w:rPr>
          <w:rFonts w:hint="cs"/>
          <w:sz w:val="24"/>
          <w:szCs w:val="24"/>
          <w:rtl/>
        </w:rPr>
        <w:t>,</w:t>
      </w:r>
      <w:r w:rsidRPr="00732562">
        <w:rPr>
          <w:rFonts w:hint="cs"/>
          <w:sz w:val="24"/>
          <w:szCs w:val="24"/>
          <w:rtl/>
        </w:rPr>
        <w:t xml:space="preserve">  </w:t>
      </w:r>
      <w:r w:rsidR="00CD03BA">
        <w:rPr>
          <w:rFonts w:hint="cs"/>
          <w:sz w:val="24"/>
          <w:szCs w:val="24"/>
          <w:rtl/>
        </w:rPr>
        <w:t xml:space="preserve">התבצע </w:t>
      </w:r>
      <w:r w:rsidRPr="00732562">
        <w:rPr>
          <w:rFonts w:hint="cs"/>
          <w:sz w:val="24"/>
          <w:szCs w:val="24"/>
          <w:rtl/>
        </w:rPr>
        <w:t xml:space="preserve">פרוטוקול דו שלבי, בו תחילה הפטרייה גודלה במצע </w:t>
      </w:r>
      <w:r w:rsidRPr="00732562">
        <w:rPr>
          <w:rFonts w:hint="cs"/>
          <w:sz w:val="24"/>
          <w:szCs w:val="24"/>
        </w:rPr>
        <w:t>GP</w:t>
      </w:r>
      <w:r w:rsidRPr="00732562">
        <w:rPr>
          <w:rFonts w:hint="cs"/>
          <w:sz w:val="24"/>
          <w:szCs w:val="24"/>
          <w:rtl/>
        </w:rPr>
        <w:t xml:space="preserve"> מלא על כל מרכיביו במשך 10 ימים כדי שתוכל לבסס ביומסה מספיקה ולקבל את כל הנוטריינטים הדרושים לה. בשלב השני התבצעה החלפת מצע, למצע </w:t>
      </w:r>
      <w:r w:rsidRPr="00732562">
        <w:rPr>
          <w:rFonts w:hint="cs"/>
          <w:sz w:val="24"/>
          <w:szCs w:val="24"/>
        </w:rPr>
        <w:t>GP</w:t>
      </w:r>
      <w:r w:rsidRPr="00732562">
        <w:rPr>
          <w:rFonts w:hint="cs"/>
          <w:sz w:val="24"/>
          <w:szCs w:val="24"/>
          <w:rtl/>
        </w:rPr>
        <w:t xml:space="preserve"> מדולל </w:t>
      </w:r>
      <w:r w:rsidR="001E048B" w:rsidRPr="00732562">
        <w:rPr>
          <w:rFonts w:hint="cs"/>
          <w:sz w:val="24"/>
          <w:szCs w:val="24"/>
          <w:rtl/>
        </w:rPr>
        <w:t>(</w:t>
      </w:r>
      <w:r w:rsidR="001E048B" w:rsidRPr="00732562">
        <w:rPr>
          <w:sz w:val="24"/>
          <w:szCs w:val="24"/>
        </w:rPr>
        <w:t>(</w:t>
      </w:r>
      <w:r w:rsidR="001E048B" w:rsidRPr="00732562">
        <w:rPr>
          <w:rFonts w:hint="cs"/>
          <w:sz w:val="24"/>
          <w:szCs w:val="24"/>
        </w:rPr>
        <w:t>GP D</w:t>
      </w:r>
      <w:r w:rsidR="001E048B" w:rsidRPr="00732562">
        <w:rPr>
          <w:sz w:val="24"/>
          <w:szCs w:val="24"/>
        </w:rPr>
        <w:t>-Diluted</w:t>
      </w:r>
      <w:r w:rsidR="00CD1D04" w:rsidRPr="00732562">
        <w:rPr>
          <w:rFonts w:hint="cs"/>
          <w:sz w:val="24"/>
          <w:szCs w:val="24"/>
          <w:rtl/>
        </w:rPr>
        <w:t xml:space="preserve"> </w:t>
      </w:r>
      <w:r w:rsidRPr="00732562">
        <w:rPr>
          <w:rFonts w:hint="cs"/>
          <w:sz w:val="24"/>
          <w:szCs w:val="24"/>
          <w:rtl/>
        </w:rPr>
        <w:t xml:space="preserve">אשר לא מכיל </w:t>
      </w:r>
      <w:r w:rsidRPr="00732562">
        <w:rPr>
          <w:rFonts w:hint="cs"/>
          <w:sz w:val="24"/>
          <w:szCs w:val="24"/>
        </w:rPr>
        <w:t>Y</w:t>
      </w:r>
      <w:r w:rsidRPr="00732562">
        <w:rPr>
          <w:sz w:val="24"/>
          <w:szCs w:val="24"/>
        </w:rPr>
        <w:t>.E</w:t>
      </w:r>
      <w:r w:rsidRPr="00732562">
        <w:rPr>
          <w:rFonts w:hint="cs"/>
          <w:sz w:val="24"/>
          <w:szCs w:val="24"/>
          <w:rtl/>
        </w:rPr>
        <w:t xml:space="preserve"> וכן מכיל את החומר הרפואי </w:t>
      </w:r>
      <w:r w:rsidR="00B00442">
        <w:rPr>
          <w:rFonts w:hint="cs"/>
          <w:sz w:val="24"/>
          <w:szCs w:val="24"/>
        </w:rPr>
        <w:t>Lamotrigine</w:t>
      </w:r>
      <w:r w:rsidRPr="00732562">
        <w:rPr>
          <w:rFonts w:hint="cs"/>
          <w:sz w:val="24"/>
          <w:szCs w:val="24"/>
          <w:rtl/>
        </w:rPr>
        <w:t>.</w:t>
      </w:r>
      <w:r w:rsidR="00A15CF2" w:rsidRPr="00732562">
        <w:rPr>
          <w:rFonts w:hint="cs"/>
          <w:sz w:val="24"/>
          <w:szCs w:val="24"/>
          <w:rtl/>
        </w:rPr>
        <w:t xml:space="preserve"> </w:t>
      </w:r>
      <w:r w:rsidRPr="00732562">
        <w:rPr>
          <w:rFonts w:hint="cs"/>
          <w:sz w:val="24"/>
          <w:szCs w:val="24"/>
          <w:rtl/>
        </w:rPr>
        <w:t>במק</w:t>
      </w:r>
      <w:r w:rsidR="00A90A36">
        <w:rPr>
          <w:rFonts w:hint="cs"/>
          <w:sz w:val="24"/>
          <w:szCs w:val="24"/>
          <w:rtl/>
        </w:rPr>
        <w:t xml:space="preserve">ביל, כדי להתרחק מרעשי הרקע הועלה </w:t>
      </w:r>
      <w:r w:rsidRPr="00732562">
        <w:rPr>
          <w:rFonts w:hint="cs"/>
          <w:sz w:val="24"/>
          <w:szCs w:val="24"/>
          <w:rtl/>
        </w:rPr>
        <w:t>ריכוז ה-</w:t>
      </w:r>
      <w:r w:rsidR="00B00442">
        <w:rPr>
          <w:rFonts w:hint="cs"/>
          <w:sz w:val="24"/>
          <w:szCs w:val="24"/>
        </w:rPr>
        <w:t>Lamotrigine</w:t>
      </w:r>
      <w:r w:rsidRPr="00732562">
        <w:rPr>
          <w:rFonts w:hint="cs"/>
          <w:sz w:val="24"/>
          <w:szCs w:val="24"/>
          <w:rtl/>
        </w:rPr>
        <w:t xml:space="preserve"> ההתחלתי בניסוי</w:t>
      </w:r>
      <w:r w:rsidR="00C11A56" w:rsidRPr="00732562">
        <w:rPr>
          <w:rFonts w:hint="cs"/>
          <w:sz w:val="24"/>
          <w:szCs w:val="24"/>
          <w:rtl/>
        </w:rPr>
        <w:t xml:space="preserve"> פי 10</w:t>
      </w:r>
      <w:r w:rsidR="00CD1D04" w:rsidRPr="00732562">
        <w:rPr>
          <w:rFonts w:hint="cs"/>
          <w:sz w:val="24"/>
          <w:szCs w:val="24"/>
          <w:rtl/>
        </w:rPr>
        <w:t>.</w:t>
      </w:r>
      <w:r w:rsidRPr="00732562">
        <w:rPr>
          <w:rFonts w:hint="cs"/>
          <w:sz w:val="24"/>
          <w:szCs w:val="24"/>
          <w:rtl/>
        </w:rPr>
        <w:t xml:space="preserve"> </w:t>
      </w:r>
      <w:r w:rsidR="00041098" w:rsidRPr="00732562">
        <w:rPr>
          <w:rFonts w:hint="cs"/>
          <w:sz w:val="24"/>
          <w:szCs w:val="24"/>
          <w:rtl/>
        </w:rPr>
        <w:t xml:space="preserve"> נמצא</w:t>
      </w:r>
      <w:r w:rsidR="007C520D" w:rsidRPr="00732562">
        <w:rPr>
          <w:rFonts w:hint="cs"/>
          <w:sz w:val="24"/>
          <w:szCs w:val="24"/>
          <w:rtl/>
        </w:rPr>
        <w:t xml:space="preserve"> שישנו</w:t>
      </w:r>
      <w:r w:rsidR="00041098" w:rsidRPr="00732562">
        <w:rPr>
          <w:rFonts w:hint="cs"/>
          <w:sz w:val="24"/>
          <w:szCs w:val="24"/>
          <w:rtl/>
        </w:rPr>
        <w:t xml:space="preserve"> הבדל </w:t>
      </w:r>
      <w:r w:rsidR="007C520D" w:rsidRPr="00732562">
        <w:rPr>
          <w:rFonts w:hint="cs"/>
          <w:sz w:val="24"/>
          <w:szCs w:val="24"/>
          <w:rtl/>
        </w:rPr>
        <w:t>משמעותי</w:t>
      </w:r>
      <w:r w:rsidR="00041098" w:rsidRPr="00732562">
        <w:rPr>
          <w:rFonts w:hint="cs"/>
          <w:sz w:val="24"/>
          <w:szCs w:val="24"/>
          <w:rtl/>
        </w:rPr>
        <w:t xml:space="preserve"> של המצע לאורך ימים בג</w:t>
      </w:r>
      <w:r w:rsidR="00FF3D0D" w:rsidRPr="00732562">
        <w:rPr>
          <w:rFonts w:hint="cs"/>
          <w:sz w:val="24"/>
          <w:szCs w:val="24"/>
          <w:rtl/>
        </w:rPr>
        <w:t>ידול בהסתכלות עליו כרקע לכימות</w:t>
      </w:r>
      <w:r w:rsidR="00041098" w:rsidRPr="00732562">
        <w:rPr>
          <w:rFonts w:hint="cs"/>
          <w:sz w:val="24"/>
          <w:szCs w:val="24"/>
          <w:rtl/>
        </w:rPr>
        <w:t xml:space="preserve"> ב-</w:t>
      </w:r>
      <w:r w:rsidR="00041098" w:rsidRPr="00732562">
        <w:rPr>
          <w:rFonts w:hint="cs"/>
          <w:sz w:val="24"/>
          <w:szCs w:val="24"/>
        </w:rPr>
        <w:t>HPLC</w:t>
      </w:r>
      <w:r w:rsidR="00CD1D04" w:rsidRPr="00732562">
        <w:rPr>
          <w:rFonts w:hint="cs"/>
          <w:sz w:val="24"/>
          <w:szCs w:val="24"/>
          <w:rtl/>
        </w:rPr>
        <w:t>,</w:t>
      </w:r>
      <w:r w:rsidR="00041098" w:rsidRPr="00732562">
        <w:rPr>
          <w:rFonts w:hint="cs"/>
          <w:sz w:val="24"/>
          <w:szCs w:val="24"/>
          <w:rtl/>
        </w:rPr>
        <w:t xml:space="preserve"> </w:t>
      </w:r>
      <w:r w:rsidR="00FF3D0D" w:rsidRPr="00732562">
        <w:rPr>
          <w:rFonts w:hint="cs"/>
          <w:sz w:val="24"/>
          <w:szCs w:val="24"/>
          <w:rtl/>
        </w:rPr>
        <w:t>לכן כימות ה-</w:t>
      </w:r>
      <w:r w:rsidR="00B00442">
        <w:rPr>
          <w:rFonts w:hint="cs"/>
          <w:sz w:val="24"/>
          <w:szCs w:val="24"/>
        </w:rPr>
        <w:t>Lamotrigine</w:t>
      </w:r>
      <w:r w:rsidR="00FF3D0D" w:rsidRPr="00732562">
        <w:rPr>
          <w:rFonts w:hint="cs"/>
          <w:sz w:val="24"/>
          <w:szCs w:val="24"/>
          <w:rtl/>
        </w:rPr>
        <w:t xml:space="preserve"> נעשה על ידי עקומי כיול חיצונים שהוכנו על גבי תמיסות הרקע (מצע </w:t>
      </w:r>
      <w:r w:rsidR="00FF3D0D" w:rsidRPr="00732562">
        <w:rPr>
          <w:rFonts w:hint="cs"/>
          <w:sz w:val="24"/>
          <w:szCs w:val="24"/>
        </w:rPr>
        <w:t>GP</w:t>
      </w:r>
      <w:r w:rsidR="00FF3D0D" w:rsidRPr="00732562">
        <w:rPr>
          <w:rFonts w:hint="cs"/>
          <w:sz w:val="24"/>
          <w:szCs w:val="24"/>
          <w:rtl/>
        </w:rPr>
        <w:t xml:space="preserve"> ללא </w:t>
      </w:r>
      <w:r w:rsidR="00FF3D0D" w:rsidRPr="00732562">
        <w:rPr>
          <w:sz w:val="24"/>
          <w:szCs w:val="24"/>
        </w:rPr>
        <w:t>Yeast Extract</w:t>
      </w:r>
      <w:r w:rsidR="00FF3D0D" w:rsidRPr="00732562">
        <w:rPr>
          <w:rFonts w:hint="cs"/>
          <w:sz w:val="24"/>
          <w:szCs w:val="24"/>
          <w:rtl/>
        </w:rPr>
        <w:t>) בהתאם לימי הדיגום, כאשר עקומי כיול הכנו עבור מצע טרי</w:t>
      </w:r>
      <w:r w:rsidR="00FD6D53" w:rsidRPr="00732562">
        <w:rPr>
          <w:sz w:val="24"/>
          <w:szCs w:val="24"/>
        </w:rPr>
        <w:t xml:space="preserve"> </w:t>
      </w:r>
      <w:r w:rsidR="00CD1D04" w:rsidRPr="00732562">
        <w:rPr>
          <w:rFonts w:hint="cs"/>
          <w:sz w:val="24"/>
          <w:szCs w:val="24"/>
          <w:rtl/>
        </w:rPr>
        <w:t>מ</w:t>
      </w:r>
      <w:r w:rsidR="00FF3D0D" w:rsidRPr="00732562">
        <w:rPr>
          <w:rFonts w:hint="cs"/>
          <w:sz w:val="24"/>
          <w:szCs w:val="24"/>
          <w:rtl/>
        </w:rPr>
        <w:t xml:space="preserve">יום 0, מצע משומש (שגדלה עליו פטריה) </w:t>
      </w:r>
      <w:r w:rsidR="00CD1D04" w:rsidRPr="00732562">
        <w:rPr>
          <w:rFonts w:hint="cs"/>
          <w:sz w:val="24"/>
          <w:szCs w:val="24"/>
          <w:rtl/>
        </w:rPr>
        <w:t>מ</w:t>
      </w:r>
      <w:r w:rsidR="00FF3D0D" w:rsidRPr="00732562">
        <w:rPr>
          <w:rFonts w:hint="cs"/>
          <w:sz w:val="24"/>
          <w:szCs w:val="24"/>
          <w:rtl/>
        </w:rPr>
        <w:t>יום 5, מצע מש</w:t>
      </w:r>
      <w:r w:rsidR="007928F2" w:rsidRPr="00732562">
        <w:rPr>
          <w:rFonts w:hint="cs"/>
          <w:sz w:val="24"/>
          <w:szCs w:val="24"/>
          <w:rtl/>
        </w:rPr>
        <w:t xml:space="preserve">ומש </w:t>
      </w:r>
      <w:r w:rsidR="00CD1D04" w:rsidRPr="00732562">
        <w:rPr>
          <w:rFonts w:hint="cs"/>
          <w:sz w:val="24"/>
          <w:szCs w:val="24"/>
          <w:rtl/>
        </w:rPr>
        <w:t>מ</w:t>
      </w:r>
      <w:r w:rsidR="007928F2" w:rsidRPr="00732562">
        <w:rPr>
          <w:rFonts w:hint="cs"/>
          <w:sz w:val="24"/>
          <w:szCs w:val="24"/>
          <w:rtl/>
        </w:rPr>
        <w:t xml:space="preserve">יום 10 ומצע משומש </w:t>
      </w:r>
      <w:r w:rsidR="00CD1D04" w:rsidRPr="00732562">
        <w:rPr>
          <w:rFonts w:hint="cs"/>
          <w:sz w:val="24"/>
          <w:szCs w:val="24"/>
          <w:rtl/>
        </w:rPr>
        <w:t>מ</w:t>
      </w:r>
      <w:r w:rsidR="007928F2" w:rsidRPr="00732562">
        <w:rPr>
          <w:rFonts w:hint="cs"/>
          <w:sz w:val="24"/>
          <w:szCs w:val="24"/>
          <w:rtl/>
        </w:rPr>
        <w:t>יום 20. כפי</w:t>
      </w:r>
      <w:r w:rsidR="00F952C1" w:rsidRPr="00732562">
        <w:rPr>
          <w:rFonts w:hint="cs"/>
          <w:sz w:val="24"/>
          <w:szCs w:val="24"/>
          <w:rtl/>
        </w:rPr>
        <w:t xml:space="preserve"> שניתן לראות באיור מס' 2 אכן הייתה</w:t>
      </w:r>
      <w:r w:rsidR="007928F2" w:rsidRPr="00732562">
        <w:rPr>
          <w:rFonts w:hint="cs"/>
          <w:sz w:val="24"/>
          <w:szCs w:val="24"/>
          <w:rtl/>
        </w:rPr>
        <w:t xml:space="preserve"> העלמות של 50% מהחומר בניסוי זה.</w:t>
      </w:r>
    </w:p>
    <w:p w14:paraId="6C97CCEB" w14:textId="77777777" w:rsidR="007726F2" w:rsidRPr="00732562" w:rsidRDefault="007928F2" w:rsidP="00406847">
      <w:pPr>
        <w:bidi/>
        <w:spacing w:after="0" w:line="360" w:lineRule="auto"/>
        <w:jc w:val="both"/>
        <w:rPr>
          <w:sz w:val="24"/>
          <w:szCs w:val="24"/>
          <w:rtl/>
        </w:rPr>
      </w:pPr>
      <w:r w:rsidRPr="00732562">
        <w:rPr>
          <w:noProof/>
          <w:sz w:val="24"/>
          <w:szCs w:val="24"/>
        </w:rPr>
        <w:drawing>
          <wp:anchor distT="0" distB="0" distL="114300" distR="114300" simplePos="0" relativeHeight="251659264" behindDoc="0" locked="0" layoutInCell="1" allowOverlap="1" wp14:anchorId="7516CBB8" wp14:editId="48355A18">
            <wp:simplePos x="0" y="0"/>
            <wp:positionH relativeFrom="margin">
              <wp:align>right</wp:align>
            </wp:positionH>
            <wp:positionV relativeFrom="paragraph">
              <wp:posOffset>1270</wp:posOffset>
            </wp:positionV>
            <wp:extent cx="4173855" cy="2576830"/>
            <wp:effectExtent l="0" t="0" r="17145" b="1397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69D3C33" w14:textId="77777777" w:rsidR="00F244B2" w:rsidRPr="00732562" w:rsidRDefault="00F244B2" w:rsidP="00406847">
      <w:pPr>
        <w:bidi/>
        <w:spacing w:after="0" w:line="360" w:lineRule="auto"/>
        <w:jc w:val="both"/>
        <w:rPr>
          <w:b/>
          <w:bCs/>
          <w:sz w:val="24"/>
          <w:szCs w:val="24"/>
          <w:u w:val="single"/>
          <w:rtl/>
        </w:rPr>
      </w:pPr>
    </w:p>
    <w:p w14:paraId="291B2880" w14:textId="77777777" w:rsidR="00F244B2" w:rsidRPr="00732562" w:rsidRDefault="00F244B2" w:rsidP="00406847">
      <w:pPr>
        <w:bidi/>
        <w:spacing w:after="0" w:line="360" w:lineRule="auto"/>
        <w:jc w:val="both"/>
        <w:rPr>
          <w:b/>
          <w:bCs/>
          <w:sz w:val="24"/>
          <w:szCs w:val="24"/>
          <w:u w:val="single"/>
          <w:rtl/>
        </w:rPr>
      </w:pPr>
    </w:p>
    <w:p w14:paraId="11ED8447" w14:textId="77777777" w:rsidR="00F244B2" w:rsidRPr="00732562" w:rsidRDefault="00F244B2" w:rsidP="00406847">
      <w:pPr>
        <w:bidi/>
        <w:spacing w:after="0" w:line="360" w:lineRule="auto"/>
        <w:jc w:val="both"/>
        <w:rPr>
          <w:b/>
          <w:bCs/>
          <w:sz w:val="24"/>
          <w:szCs w:val="24"/>
          <w:u w:val="single"/>
          <w:rtl/>
        </w:rPr>
      </w:pPr>
    </w:p>
    <w:p w14:paraId="5FF86019" w14:textId="77777777" w:rsidR="00E73D8C" w:rsidRPr="00732562" w:rsidRDefault="00E73D8C" w:rsidP="00406847">
      <w:pPr>
        <w:bidi/>
        <w:spacing w:after="0" w:line="360" w:lineRule="auto"/>
        <w:jc w:val="both"/>
        <w:rPr>
          <w:b/>
          <w:bCs/>
          <w:sz w:val="24"/>
          <w:szCs w:val="24"/>
          <w:u w:val="single"/>
          <w:rtl/>
        </w:rPr>
      </w:pPr>
    </w:p>
    <w:p w14:paraId="568B83C9" w14:textId="77777777" w:rsidR="00E73D8C" w:rsidRPr="00732562" w:rsidRDefault="00E73D8C" w:rsidP="00406847">
      <w:pPr>
        <w:bidi/>
        <w:spacing w:after="0" w:line="360" w:lineRule="auto"/>
        <w:jc w:val="both"/>
        <w:rPr>
          <w:sz w:val="24"/>
          <w:szCs w:val="24"/>
          <w:rtl/>
        </w:rPr>
      </w:pPr>
    </w:p>
    <w:p w14:paraId="414B94A7" w14:textId="77777777" w:rsidR="00E73D8C" w:rsidRPr="00732562" w:rsidRDefault="00E73D8C" w:rsidP="00406847">
      <w:pPr>
        <w:bidi/>
        <w:spacing w:after="0" w:line="360" w:lineRule="auto"/>
        <w:jc w:val="both"/>
        <w:rPr>
          <w:sz w:val="24"/>
          <w:szCs w:val="24"/>
          <w:rtl/>
        </w:rPr>
      </w:pPr>
    </w:p>
    <w:p w14:paraId="0B92B452" w14:textId="77777777" w:rsidR="00E73D8C" w:rsidRPr="00732562" w:rsidRDefault="00E73D8C" w:rsidP="00406847">
      <w:pPr>
        <w:bidi/>
        <w:spacing w:after="0" w:line="360" w:lineRule="auto"/>
        <w:jc w:val="both"/>
        <w:rPr>
          <w:sz w:val="24"/>
          <w:szCs w:val="24"/>
          <w:rtl/>
        </w:rPr>
      </w:pPr>
    </w:p>
    <w:p w14:paraId="161C659D" w14:textId="77777777" w:rsidR="00E73D8C" w:rsidRDefault="00E73D8C" w:rsidP="00F32898">
      <w:pPr>
        <w:bidi/>
        <w:spacing w:after="0" w:line="360" w:lineRule="auto"/>
        <w:jc w:val="both"/>
        <w:rPr>
          <w:sz w:val="24"/>
          <w:szCs w:val="24"/>
        </w:rPr>
      </w:pPr>
    </w:p>
    <w:p w14:paraId="08847F7C" w14:textId="77777777" w:rsidR="00A279ED" w:rsidRDefault="00A279ED" w:rsidP="00F32898">
      <w:pPr>
        <w:bidi/>
        <w:spacing w:after="0" w:line="360" w:lineRule="auto"/>
        <w:jc w:val="both"/>
        <w:rPr>
          <w:sz w:val="24"/>
          <w:szCs w:val="24"/>
        </w:rPr>
      </w:pPr>
    </w:p>
    <w:p w14:paraId="5E1B7842" w14:textId="77777777" w:rsidR="00A279ED" w:rsidRDefault="00A279ED" w:rsidP="00F32898">
      <w:pPr>
        <w:bidi/>
        <w:spacing w:after="0" w:line="360" w:lineRule="auto"/>
        <w:jc w:val="both"/>
        <w:rPr>
          <w:sz w:val="24"/>
          <w:szCs w:val="24"/>
        </w:rPr>
      </w:pPr>
    </w:p>
    <w:p w14:paraId="5EE16F5D" w14:textId="77777777" w:rsidR="00A279ED" w:rsidRPr="00732562" w:rsidRDefault="00A279ED" w:rsidP="00F32898">
      <w:pPr>
        <w:bidi/>
        <w:spacing w:after="0" w:line="360" w:lineRule="auto"/>
        <w:jc w:val="both"/>
        <w:rPr>
          <w:sz w:val="24"/>
          <w:szCs w:val="24"/>
          <w:rtl/>
        </w:rPr>
      </w:pPr>
    </w:p>
    <w:p w14:paraId="5A72F7DF" w14:textId="5CC98975" w:rsidR="00E73D8C" w:rsidRPr="00732562" w:rsidRDefault="001E048B" w:rsidP="00F32898">
      <w:pPr>
        <w:bidi/>
        <w:spacing w:after="0" w:line="360" w:lineRule="auto"/>
        <w:jc w:val="both"/>
        <w:rPr>
          <w:rFonts w:cstheme="majorBidi"/>
          <w:sz w:val="24"/>
          <w:szCs w:val="24"/>
          <w:rtl/>
        </w:rPr>
      </w:pPr>
      <w:r w:rsidRPr="00732562">
        <w:rPr>
          <w:rFonts w:hint="cs"/>
          <w:sz w:val="24"/>
          <w:szCs w:val="24"/>
          <w:rtl/>
        </w:rPr>
        <w:t>איור</w:t>
      </w:r>
      <w:r w:rsidR="00F90D85" w:rsidRPr="00732562">
        <w:rPr>
          <w:rFonts w:hint="cs"/>
          <w:sz w:val="24"/>
          <w:szCs w:val="24"/>
          <w:rtl/>
        </w:rPr>
        <w:t xml:space="preserve"> 2. </w:t>
      </w:r>
      <w:r w:rsidR="00F952C1" w:rsidRPr="00732562">
        <w:rPr>
          <w:rFonts w:hint="cs"/>
          <w:sz w:val="24"/>
          <w:szCs w:val="24"/>
          <w:rtl/>
        </w:rPr>
        <w:t xml:space="preserve">העלמות </w:t>
      </w:r>
      <w:r w:rsidR="00B00442">
        <w:rPr>
          <w:rFonts w:hint="cs"/>
          <w:sz w:val="24"/>
          <w:szCs w:val="24"/>
        </w:rPr>
        <w:t>L</w:t>
      </w:r>
      <w:r w:rsidR="00B00442">
        <w:rPr>
          <w:sz w:val="24"/>
          <w:szCs w:val="24"/>
        </w:rPr>
        <w:t>amotrigine</w:t>
      </w:r>
      <w:r w:rsidR="00F952C1" w:rsidRPr="00732562">
        <w:rPr>
          <w:rFonts w:hint="cs"/>
          <w:sz w:val="24"/>
          <w:szCs w:val="24"/>
          <w:rtl/>
        </w:rPr>
        <w:t xml:space="preserve"> על ידי </w:t>
      </w:r>
      <w:r w:rsidR="00F952C1" w:rsidRPr="00732562">
        <w:rPr>
          <w:rFonts w:cstheme="majorBidi"/>
          <w:i/>
          <w:iCs/>
          <w:sz w:val="24"/>
          <w:szCs w:val="24"/>
        </w:rPr>
        <w:t>P. ostreatus</w:t>
      </w:r>
      <w:r w:rsidR="00F952C1" w:rsidRPr="00732562">
        <w:rPr>
          <w:rFonts w:cstheme="majorBidi" w:hint="cs"/>
          <w:i/>
          <w:iCs/>
          <w:sz w:val="24"/>
          <w:szCs w:val="24"/>
          <w:rtl/>
        </w:rPr>
        <w:t xml:space="preserve"> </w:t>
      </w:r>
      <w:r w:rsidR="00F952C1" w:rsidRPr="00732562">
        <w:rPr>
          <w:rFonts w:hint="cs"/>
          <w:sz w:val="24"/>
          <w:szCs w:val="24"/>
          <w:rtl/>
        </w:rPr>
        <w:t xml:space="preserve">במצע גלוקוז פפטון מדולל ללא תמצית שמרים, כאשר </w:t>
      </w:r>
      <w:r w:rsidR="00B00442">
        <w:rPr>
          <w:rFonts w:cstheme="majorBidi"/>
          <w:sz w:val="24"/>
          <w:szCs w:val="24"/>
        </w:rPr>
        <w:t>Lamotrigine</w:t>
      </w:r>
      <w:r w:rsidR="00F952C1" w:rsidRPr="00732562">
        <w:rPr>
          <w:rFonts w:hint="cs"/>
          <w:sz w:val="24"/>
          <w:szCs w:val="24"/>
          <w:rtl/>
        </w:rPr>
        <w:t xml:space="preserve"> בריכוז התחלתי של </w:t>
      </w:r>
      <w:r w:rsidR="00F952C1" w:rsidRPr="00732562">
        <w:rPr>
          <w:rFonts w:cstheme="majorBidi"/>
          <w:sz w:val="24"/>
          <w:szCs w:val="24"/>
        </w:rPr>
        <w:t>100</w:t>
      </w:r>
      <w:r w:rsidR="00F952C1" w:rsidRPr="00732562">
        <w:rPr>
          <w:sz w:val="24"/>
          <w:szCs w:val="24"/>
        </w:rPr>
        <w:t xml:space="preserve"> </w:t>
      </w:r>
      <w:r w:rsidR="00232A9A">
        <w:rPr>
          <w:rFonts w:cstheme="majorBidi"/>
          <w:sz w:val="24"/>
          <w:szCs w:val="24"/>
        </w:rPr>
        <w:t>mg/L</w:t>
      </w:r>
      <w:r w:rsidR="00F952C1" w:rsidRPr="00732562">
        <w:rPr>
          <w:rFonts w:cstheme="majorBidi" w:hint="cs"/>
          <w:sz w:val="24"/>
          <w:szCs w:val="24"/>
          <w:rtl/>
        </w:rPr>
        <w:t>.</w:t>
      </w:r>
    </w:p>
    <w:p w14:paraId="079C1CED" w14:textId="77777777" w:rsidR="00FA0409" w:rsidRPr="00732562" w:rsidRDefault="00FA0409" w:rsidP="00406847">
      <w:pPr>
        <w:bidi/>
        <w:spacing w:after="0" w:line="360" w:lineRule="auto"/>
        <w:jc w:val="both"/>
        <w:rPr>
          <w:sz w:val="24"/>
          <w:szCs w:val="24"/>
          <w:rtl/>
        </w:rPr>
      </w:pPr>
    </w:p>
    <w:p w14:paraId="0B0E6DB1" w14:textId="77777777" w:rsidR="002219B2" w:rsidRPr="00732562" w:rsidRDefault="002219B2" w:rsidP="00406847">
      <w:pPr>
        <w:bidi/>
        <w:spacing w:after="0" w:line="360" w:lineRule="auto"/>
        <w:jc w:val="both"/>
        <w:rPr>
          <w:b/>
          <w:bCs/>
          <w:sz w:val="24"/>
          <w:szCs w:val="24"/>
          <w:u w:val="single"/>
          <w:rtl/>
        </w:rPr>
      </w:pPr>
      <w:r w:rsidRPr="00732562">
        <w:rPr>
          <w:rFonts w:hint="cs"/>
          <w:b/>
          <w:bCs/>
          <w:sz w:val="24"/>
          <w:szCs w:val="24"/>
          <w:u w:val="single"/>
          <w:rtl/>
        </w:rPr>
        <w:t xml:space="preserve">זיהוי מטבוליטים </w:t>
      </w:r>
    </w:p>
    <w:p w14:paraId="4392DE9E" w14:textId="24B6DB24" w:rsidR="002219B2" w:rsidRPr="00732562" w:rsidRDefault="00B00442" w:rsidP="00406847">
      <w:pPr>
        <w:bidi/>
        <w:spacing w:after="0" w:line="360" w:lineRule="auto"/>
        <w:jc w:val="both"/>
        <w:rPr>
          <w:sz w:val="24"/>
          <w:szCs w:val="24"/>
          <w:rtl/>
        </w:rPr>
      </w:pPr>
      <w:r>
        <w:rPr>
          <w:rFonts w:cstheme="majorBidi"/>
          <w:sz w:val="24"/>
          <w:szCs w:val="24"/>
        </w:rPr>
        <w:t>Lamotrigine</w:t>
      </w:r>
      <w:r w:rsidR="002219B2" w:rsidRPr="00732562">
        <w:rPr>
          <w:rFonts w:hint="cs"/>
          <w:sz w:val="24"/>
          <w:szCs w:val="24"/>
          <w:rtl/>
        </w:rPr>
        <w:t xml:space="preserve"> עובר</w:t>
      </w:r>
      <w:r w:rsidR="00FA0409" w:rsidRPr="00732562">
        <w:rPr>
          <w:rFonts w:hint="cs"/>
          <w:sz w:val="24"/>
          <w:szCs w:val="24"/>
          <w:rtl/>
        </w:rPr>
        <w:t xml:space="preserve"> שינוי</w:t>
      </w:r>
      <w:r w:rsidR="002219B2" w:rsidRPr="00732562">
        <w:rPr>
          <w:rFonts w:hint="cs"/>
          <w:sz w:val="24"/>
          <w:szCs w:val="24"/>
          <w:rtl/>
        </w:rPr>
        <w:t xml:space="preserve"> </w:t>
      </w:r>
      <w:r w:rsidR="00FA0409" w:rsidRPr="00732562">
        <w:rPr>
          <w:rFonts w:hint="cs"/>
          <w:sz w:val="24"/>
          <w:szCs w:val="24"/>
          <w:rtl/>
        </w:rPr>
        <w:t>מטבולי</w:t>
      </w:r>
      <w:r w:rsidR="002219B2" w:rsidRPr="00732562">
        <w:rPr>
          <w:rFonts w:hint="cs"/>
          <w:sz w:val="24"/>
          <w:szCs w:val="24"/>
          <w:rtl/>
        </w:rPr>
        <w:t xml:space="preserve"> בגוף האדם</w:t>
      </w:r>
      <w:r w:rsidR="00FA0409" w:rsidRPr="00732562">
        <w:rPr>
          <w:rFonts w:hint="cs"/>
          <w:sz w:val="24"/>
          <w:szCs w:val="24"/>
          <w:rtl/>
        </w:rPr>
        <w:t>.</w:t>
      </w:r>
      <w:r w:rsidR="002219B2" w:rsidRPr="00732562">
        <w:rPr>
          <w:rFonts w:hint="cs"/>
          <w:sz w:val="24"/>
          <w:szCs w:val="24"/>
          <w:rtl/>
        </w:rPr>
        <w:t xml:space="preserve"> כאמור</w:t>
      </w:r>
      <w:r w:rsidR="00FA0409" w:rsidRPr="00732562">
        <w:rPr>
          <w:rFonts w:hint="cs"/>
          <w:sz w:val="24"/>
          <w:szCs w:val="24"/>
          <w:rtl/>
        </w:rPr>
        <w:t>,</w:t>
      </w:r>
      <w:r w:rsidR="002219B2" w:rsidRPr="00732562">
        <w:rPr>
          <w:rFonts w:hint="cs"/>
          <w:sz w:val="24"/>
          <w:szCs w:val="24"/>
          <w:rtl/>
        </w:rPr>
        <w:t xml:space="preserve"> המטבוליט העיקרי של התרופה הוא </w:t>
      </w:r>
      <w:r>
        <w:rPr>
          <w:rFonts w:cs="Times New Roman"/>
          <w:sz w:val="24"/>
          <w:szCs w:val="24"/>
        </w:rPr>
        <w:t>Lamotrigine</w:t>
      </w:r>
      <w:r w:rsidR="002219B2" w:rsidRPr="00732562">
        <w:rPr>
          <w:rFonts w:cs="Times New Roman"/>
          <w:sz w:val="24"/>
          <w:szCs w:val="24"/>
        </w:rPr>
        <w:t>-2NG</w:t>
      </w:r>
      <w:r w:rsidR="002219B2" w:rsidRPr="00732562">
        <w:rPr>
          <w:rFonts w:cs="Times New Roman" w:hint="cs"/>
          <w:sz w:val="24"/>
          <w:szCs w:val="24"/>
          <w:rtl/>
        </w:rPr>
        <w:t xml:space="preserve"> </w:t>
      </w:r>
      <w:r w:rsidR="002219B2" w:rsidRPr="00732562">
        <w:rPr>
          <w:rFonts w:hint="cs"/>
          <w:sz w:val="24"/>
          <w:szCs w:val="24"/>
          <w:rtl/>
        </w:rPr>
        <w:t>כאשר 90% מהתרופה הופכת למטבוליט זה והוא מופרש בשתן. לצד מטבוליט זה נמצאו ביונקים מטבוליטים נוספים אשר חלקם</w:t>
      </w:r>
      <w:r w:rsidR="00FA0409" w:rsidRPr="00732562">
        <w:rPr>
          <w:rFonts w:hint="cs"/>
          <w:sz w:val="24"/>
          <w:szCs w:val="24"/>
          <w:rtl/>
        </w:rPr>
        <w:t>,</w:t>
      </w:r>
      <w:r w:rsidR="002219B2" w:rsidRPr="00732562">
        <w:rPr>
          <w:rFonts w:hint="cs"/>
          <w:sz w:val="24"/>
          <w:szCs w:val="24"/>
          <w:rtl/>
        </w:rPr>
        <w:t xml:space="preserve"> כמו ה-</w:t>
      </w:r>
      <w:r>
        <w:rPr>
          <w:rFonts w:cs="Times New Roman"/>
          <w:sz w:val="24"/>
          <w:szCs w:val="24"/>
        </w:rPr>
        <w:t>Lamotrigine</w:t>
      </w:r>
      <w:r w:rsidR="002219B2" w:rsidRPr="00732562">
        <w:rPr>
          <w:rFonts w:cs="Times New Roman"/>
          <w:sz w:val="24"/>
          <w:szCs w:val="24"/>
        </w:rPr>
        <w:t>-2NG</w:t>
      </w:r>
      <w:r w:rsidR="00FA0409" w:rsidRPr="00732562">
        <w:rPr>
          <w:rFonts w:cs="Times New Roman" w:hint="cs"/>
          <w:sz w:val="24"/>
          <w:szCs w:val="24"/>
          <w:rtl/>
        </w:rPr>
        <w:t>,</w:t>
      </w:r>
      <w:r w:rsidR="002219B2" w:rsidRPr="00732562">
        <w:rPr>
          <w:rFonts w:hint="cs"/>
          <w:sz w:val="24"/>
          <w:szCs w:val="24"/>
          <w:rtl/>
        </w:rPr>
        <w:t xml:space="preserve"> נוצרים על הטבעת הטריאזנית של ה-</w:t>
      </w:r>
      <w:r>
        <w:rPr>
          <w:rFonts w:cstheme="majorBidi"/>
          <w:sz w:val="24"/>
          <w:szCs w:val="24"/>
        </w:rPr>
        <w:t>Lamotrigine</w:t>
      </w:r>
      <w:r w:rsidR="00FA0409" w:rsidRPr="00732562">
        <w:rPr>
          <w:rFonts w:hint="cs"/>
          <w:sz w:val="24"/>
          <w:szCs w:val="24"/>
          <w:rtl/>
        </w:rPr>
        <w:t xml:space="preserve"> וחלקם נוצרים על </w:t>
      </w:r>
      <w:r w:rsidR="00FA1783" w:rsidRPr="00732562">
        <w:rPr>
          <w:rFonts w:hint="cs"/>
          <w:sz w:val="24"/>
          <w:szCs w:val="24"/>
          <w:rtl/>
        </w:rPr>
        <w:t>טבעת הדיכולורו</w:t>
      </w:r>
      <w:r w:rsidR="002219B2" w:rsidRPr="00732562">
        <w:rPr>
          <w:rFonts w:hint="cs"/>
          <w:sz w:val="24"/>
          <w:szCs w:val="24"/>
          <w:rtl/>
        </w:rPr>
        <w:t xml:space="preserve">בנזן, כאשר באחרון ישנו חיבור </w:t>
      </w:r>
      <w:r w:rsidR="00FA0409" w:rsidRPr="00732562">
        <w:rPr>
          <w:rFonts w:hint="cs"/>
          <w:sz w:val="24"/>
          <w:szCs w:val="24"/>
          <w:rtl/>
        </w:rPr>
        <w:t>עם</w:t>
      </w:r>
      <w:r w:rsidR="002219B2" w:rsidRPr="00732562">
        <w:rPr>
          <w:rFonts w:hint="cs"/>
          <w:sz w:val="24"/>
          <w:szCs w:val="24"/>
          <w:rtl/>
        </w:rPr>
        <w:t xml:space="preserve"> מולקולת</w:t>
      </w:r>
      <w:r w:rsidR="00C42E74" w:rsidRPr="00732562">
        <w:rPr>
          <w:rFonts w:hint="cs"/>
          <w:sz w:val="24"/>
          <w:szCs w:val="24"/>
          <w:rtl/>
        </w:rPr>
        <w:t xml:space="preserve"> </w:t>
      </w:r>
      <w:r w:rsidR="00C42E74" w:rsidRPr="00732562">
        <w:rPr>
          <w:sz w:val="24"/>
          <w:szCs w:val="24"/>
        </w:rPr>
        <w:t xml:space="preserve"> </w:t>
      </w:r>
      <w:r w:rsidR="00C42E74" w:rsidRPr="00732562">
        <w:rPr>
          <w:rFonts w:cstheme="majorBidi"/>
          <w:sz w:val="24"/>
          <w:szCs w:val="24"/>
        </w:rPr>
        <w:t>Glutathione</w:t>
      </w:r>
      <w:r w:rsidR="002219B2" w:rsidRPr="00732562">
        <w:rPr>
          <w:rFonts w:hint="cs"/>
          <w:sz w:val="24"/>
          <w:szCs w:val="24"/>
          <w:rtl/>
        </w:rPr>
        <w:t xml:space="preserve"> </w:t>
      </w:r>
      <w:r w:rsidR="00FD6D53" w:rsidRPr="00732562">
        <w:rPr>
          <w:rFonts w:cstheme="majorBidi"/>
          <w:sz w:val="24"/>
          <w:szCs w:val="24"/>
          <w:rtl/>
        </w:rPr>
        <w:fldChar w:fldCharType="begin" w:fldLock="1"/>
      </w:r>
      <w:r w:rsidR="00A223D6" w:rsidRPr="00732562">
        <w:rPr>
          <w:rFonts w:cstheme="majorBidi"/>
          <w:sz w:val="24"/>
          <w:szCs w:val="24"/>
        </w:rPr>
        <w:instrText>ADDIN CSL_CITATION { "citationItems" : [ { "id" : "ITEM-1", "itemData" : { "abstract" : "Lamotrigine (LTG), a diaminotriazine anti-epileptic, is principally metabolized at the 2-position of the\r\ntriazine ring to form a quaternary ammonium glucuronide (LTGG) by uridine glucuronosyl transferease\r\n(UGT) 1A3 and UGT1A4. It has been hypothesized that glucuronidation of anti-epileptic drugs is spared\r\nwith age, despite a known decrease in liver mass, based on older studies with benzodiazepines such as\r\nlorazepam. To examine this, the formation rates of LTGG formation were measured by liquid chromatography-\r\nmass spectrometry (LC-MS) in a bank of human liver microsomes (HLMs) obtained from younger\r\nand elderly donors at therapeutic concentrations.\r\n2. The formation rate of LTGG was not significantly different in HLMs obtained from younger and elderly\r\nsubjects. A four- to five-fold variation for the formation of LTGG was observed within each microsomal\r\nbank obtained from elderly and younger donors, and the range of LTGG formation was observed to\r\nbe 0.15\u20130.78 nmoles min\u22121 mg\u22121 of protein across the entire set of HLMs (n = 36, elderly and younger\r\nHLMs).\r\n3. UGT1A4 and UGT1A3 catalysed the formation of LTGG with an intrinsic clearances of 0.28 and 0.02 \u03bcl\r\nmin\u22121 mg\u22121 protein, respectively. UGT2B7 and UGT2B4 showed no measurable activity. No correlation\r\nwas observed across the HLM bank for glucuronidation of LTG and valproic acid (a substrate for multiple\r\nUGT isoforms including UGT1A4).", "author" : [ { "dropping-particle" : "", "family" : "U. A. Argikar", "given" : "and R. P. Remmel", "non-dropping-particle" : "", "parse-names" : false, "suffix" : "" } ], "container-title" : "Xenobiotica", "id" : "ITEM-1", "issue" : "5", "issued" : { "date-parts" : [ [ "2009" ] ] }, "page" : "355\u2013363", "title" : "Variation in glucuronidation of lamotrigine in human liver microsomes", "type" : "article-journal", "volume" : "39" }, "uris" : [ "http://www.mendeley.com/documents/?uuid=3e5bba93-b96e-3bbd-93c7-dc62b7f994ce", "http://www.mendeley.com/documents/?uuid=06065b3d-bf27-4077-af9f-b3c575a6ad36" ] }, { "id" : "ITEM-2", "itemData" : { "DOI" : "10.1021/tx9003243", "abstract" : "Previous studies suggested that lamotrigene (LTG) underwent bioactivation to a reactive aryl epoxide intermediate in rats. Nevertheless, definitive structures of these thioether conjugates, which are often needed to substantiate the mechanism of bioactivation and identity of reactive intermediate(s), were not fully established. In the present study, GSH, cysteinylglycine, and N-acetyl cysteine conjugates of LTG were isolated from bile of rats orally dosed with LTG (100 mg/kg), and their structures were fully elucidated by LC/MS and NMR. The definitive structural characterization of these metabolites provided evidence for the existence of a reactive aryl epoxide that was trapped as a GSH adduct. In vitro studies using various hepatic cellular and subcellular fractions obtained from human and rat were performed to demonstrate that LTG underwent bioactivation to form a GSH conjugate that was identical to the one initially characterized from in vivo studies. Human P450 2A6 and rat P450 2C11 appeared to be the primary enzymes activating LTG in human and rat liver microsomes, respectively. Interindividual variation in the bioactivation of LTG was demonstrated with 20 individual human liver microsomes. Furthermore, it was shown that human epidermal keratinocytes were capable of forming the same GSH conjugate, suggesting that LTG could be bioactivated in skin cells. The results from these studies suggest that LTG has the potential to undergo hepatic and nonhepatic bioactivation, leading to a reactive aryl epoxide intermediate in human. The bioactivation of LTG in epidermal cells provides a possible explanation for the idiosyncratic cutaneous reactions associated with LTG therapy.", "author" : [ { "dropping-particle" : "", "family" : "Hao Chen, Scott Grover, Linning Yu", "given" : "Gregory Walker and Abdul Mutlib", "non-dropping-particle" : "", "parse-names" : false, "suffix" : "" } ], "container-title" : "Chemical Research in Toxicology", "id" : "ITEM-2", "issue" : "1", "issued" : { "date-parts" : [ [ "2010" ] ] }, "page" : "159-170", "title" : "Bioactivation of Lamotrigine in Vivo in Rat and in Vitro in Human Liver Microsomes, Hepatocytes, and Epidermal Keratinocytes: Characterization of Thioether Conjugates by Liquid Chromatography", "type" : "article-journal", "volume" : "23" }, "uris" : [ "http://www.mendeley.com/documents/?uuid=720322fa-42dd-3711-afab-bd013b84181b", "http://www.mendeley.com/documents/?uuid=0c976057-6cac-49ce-a07d-d5d77e606643" ] } ], "mendeley" : { "formattedCitation" : "(U. A. Argikar 2009; Hao Chen, Scott Grover, Linning Yu 2010)", "plainTextFormattedCitation" : "(U. A. Argikar 2009; Hao Chen, Scott Grover, Linning Yu 2010)", "previouslyFormattedCitation" : "(U. A. Argikar 2009; Hao Chen, Scott Grover, Linning Yu 2010)" }, "properties" : { "noteIndex" : 0 }, "schema" : "https://github.com/citation-style-language/schema/raw/master/csl-citation.json" }</w:instrText>
      </w:r>
      <w:r w:rsidR="00FD6D53" w:rsidRPr="00732562">
        <w:rPr>
          <w:rFonts w:cstheme="majorBidi"/>
          <w:sz w:val="24"/>
          <w:szCs w:val="24"/>
          <w:rtl/>
        </w:rPr>
        <w:fldChar w:fldCharType="separate"/>
      </w:r>
      <w:r w:rsidR="00644CEA" w:rsidRPr="00732562">
        <w:rPr>
          <w:rFonts w:cstheme="majorBidi"/>
          <w:noProof/>
          <w:sz w:val="24"/>
          <w:szCs w:val="24"/>
        </w:rPr>
        <w:t>(U. A. Argikar 2009; Hao Chen, Scott Grover, Linning Yu 2010)</w:t>
      </w:r>
      <w:r w:rsidR="00FD6D53" w:rsidRPr="00732562">
        <w:rPr>
          <w:rFonts w:cstheme="majorBidi"/>
          <w:sz w:val="24"/>
          <w:szCs w:val="24"/>
          <w:rtl/>
        </w:rPr>
        <w:fldChar w:fldCharType="end"/>
      </w:r>
      <w:r w:rsidR="00C42E74" w:rsidRPr="00732562">
        <w:rPr>
          <w:rFonts w:cstheme="majorBidi" w:hint="cs"/>
          <w:sz w:val="24"/>
          <w:szCs w:val="24"/>
          <w:rtl/>
        </w:rPr>
        <w:t>.</w:t>
      </w:r>
    </w:p>
    <w:p w14:paraId="74731987" w14:textId="78D5C459" w:rsidR="002219B2" w:rsidRPr="00732562" w:rsidRDefault="002219B2" w:rsidP="00406847">
      <w:pPr>
        <w:bidi/>
        <w:spacing w:after="0" w:line="360" w:lineRule="auto"/>
        <w:jc w:val="both"/>
        <w:rPr>
          <w:sz w:val="24"/>
          <w:szCs w:val="24"/>
          <w:rtl/>
        </w:rPr>
      </w:pPr>
      <w:r w:rsidRPr="00732562">
        <w:rPr>
          <w:rFonts w:hint="cs"/>
          <w:sz w:val="24"/>
          <w:szCs w:val="24"/>
          <w:rtl/>
        </w:rPr>
        <w:t>תחילה נלקחו דגימות ממצע הגידול של הפטריי</w:t>
      </w:r>
      <w:r w:rsidR="00FA0409" w:rsidRPr="00732562">
        <w:rPr>
          <w:rFonts w:hint="cs"/>
          <w:sz w:val="24"/>
          <w:szCs w:val="24"/>
          <w:rtl/>
        </w:rPr>
        <w:t>ה בחשיפה לתרופה בזמנים שונים (ימים</w:t>
      </w:r>
      <w:r w:rsidRPr="00732562">
        <w:rPr>
          <w:rFonts w:hint="cs"/>
          <w:sz w:val="24"/>
          <w:szCs w:val="24"/>
          <w:rtl/>
        </w:rPr>
        <w:t xml:space="preserve"> 5, 10 ו-20</w:t>
      </w:r>
      <w:r w:rsidR="00FA0409" w:rsidRPr="00732562">
        <w:rPr>
          <w:rFonts w:hint="cs"/>
          <w:sz w:val="24"/>
          <w:szCs w:val="24"/>
          <w:rtl/>
        </w:rPr>
        <w:t>), אך עקב נוכחו</w:t>
      </w:r>
      <w:r w:rsidR="00151193" w:rsidRPr="00732562">
        <w:rPr>
          <w:rFonts w:hint="cs"/>
          <w:sz w:val="24"/>
          <w:szCs w:val="24"/>
          <w:rtl/>
        </w:rPr>
        <w:t>ת נמוכה של מט</w:t>
      </w:r>
      <w:r w:rsidR="00FA0409" w:rsidRPr="00732562">
        <w:rPr>
          <w:rFonts w:hint="cs"/>
          <w:sz w:val="24"/>
          <w:szCs w:val="24"/>
          <w:rtl/>
        </w:rPr>
        <w:t>בוליטים</w:t>
      </w:r>
      <w:r w:rsidRPr="00732562">
        <w:rPr>
          <w:rFonts w:hint="cs"/>
          <w:sz w:val="24"/>
          <w:szCs w:val="24"/>
          <w:rtl/>
        </w:rPr>
        <w:t xml:space="preserve"> אלה במצע הגידול, </w:t>
      </w:r>
      <w:r w:rsidR="005E19DE">
        <w:rPr>
          <w:rFonts w:hint="cs"/>
          <w:sz w:val="24"/>
          <w:szCs w:val="24"/>
          <w:rtl/>
        </w:rPr>
        <w:t>יבדקו</w:t>
      </w:r>
      <w:r w:rsidR="00CC38CC" w:rsidRPr="00732562">
        <w:rPr>
          <w:rFonts w:hint="cs"/>
          <w:sz w:val="24"/>
          <w:szCs w:val="24"/>
          <w:rtl/>
        </w:rPr>
        <w:t xml:space="preserve"> האם חומרים אלו נוכחים ומצטברים בתוך תאי הפטרייה.</w:t>
      </w:r>
    </w:p>
    <w:p w14:paraId="7EA750D7" w14:textId="77777777" w:rsidR="00724730" w:rsidRPr="00732562" w:rsidRDefault="002219B2" w:rsidP="00406847">
      <w:pPr>
        <w:bidi/>
        <w:spacing w:after="0" w:line="360" w:lineRule="auto"/>
        <w:jc w:val="both"/>
        <w:rPr>
          <w:sz w:val="24"/>
          <w:szCs w:val="24"/>
          <w:rtl/>
        </w:rPr>
      </w:pPr>
      <w:r w:rsidRPr="00732562">
        <w:rPr>
          <w:rFonts w:hint="cs"/>
          <w:sz w:val="24"/>
          <w:szCs w:val="24"/>
          <w:rtl/>
        </w:rPr>
        <w:t>שלב זה נמצא כרגע בביצוע.</w:t>
      </w:r>
    </w:p>
    <w:p w14:paraId="73D55199" w14:textId="449874EB" w:rsidR="002219B2" w:rsidRPr="00732562" w:rsidRDefault="002219B2" w:rsidP="00406847">
      <w:pPr>
        <w:bidi/>
        <w:spacing w:after="0" w:line="360" w:lineRule="auto"/>
        <w:jc w:val="both"/>
        <w:rPr>
          <w:b/>
          <w:bCs/>
          <w:sz w:val="24"/>
          <w:szCs w:val="24"/>
          <w:u w:val="single"/>
          <w:rtl/>
        </w:rPr>
      </w:pPr>
      <w:r w:rsidRPr="00732562">
        <w:rPr>
          <w:rFonts w:hint="cs"/>
          <w:b/>
          <w:bCs/>
          <w:sz w:val="24"/>
          <w:szCs w:val="24"/>
          <w:u w:val="single"/>
          <w:rtl/>
        </w:rPr>
        <w:t>הבנת המנגנונים המעורבים בתהליך</w:t>
      </w:r>
      <w:r w:rsidR="00151193" w:rsidRPr="00732562">
        <w:rPr>
          <w:rFonts w:hint="cs"/>
          <w:b/>
          <w:bCs/>
          <w:sz w:val="24"/>
          <w:szCs w:val="24"/>
          <w:u w:val="single"/>
          <w:rtl/>
        </w:rPr>
        <w:t xml:space="preserve"> העלמות </w:t>
      </w:r>
      <w:r w:rsidR="00B00442">
        <w:rPr>
          <w:rFonts w:cstheme="majorBidi"/>
          <w:b/>
          <w:bCs/>
          <w:sz w:val="24"/>
          <w:szCs w:val="24"/>
          <w:u w:val="single"/>
        </w:rPr>
        <w:t>L</w:t>
      </w:r>
      <w:r w:rsidR="00CD03BA">
        <w:rPr>
          <w:rFonts w:cstheme="majorBidi"/>
          <w:b/>
          <w:bCs/>
          <w:sz w:val="24"/>
          <w:szCs w:val="24"/>
          <w:u w:val="single"/>
        </w:rPr>
        <w:t>amotrigine</w:t>
      </w:r>
      <w:r w:rsidR="00151193" w:rsidRPr="00732562">
        <w:rPr>
          <w:rFonts w:hint="cs"/>
          <w:b/>
          <w:bCs/>
          <w:sz w:val="24"/>
          <w:szCs w:val="24"/>
          <w:u w:val="single"/>
          <w:rtl/>
        </w:rPr>
        <w:t xml:space="preserve"> בנוכחות </w:t>
      </w:r>
      <w:r w:rsidR="00151193" w:rsidRPr="00732562">
        <w:rPr>
          <w:rFonts w:cstheme="majorBidi"/>
          <w:b/>
          <w:bCs/>
          <w:i/>
          <w:iCs/>
          <w:sz w:val="24"/>
          <w:szCs w:val="24"/>
          <w:u w:val="single"/>
        </w:rPr>
        <w:t>P. ostreatus</w:t>
      </w:r>
      <w:r w:rsidR="00151193" w:rsidRPr="00732562">
        <w:rPr>
          <w:rFonts w:cstheme="majorBidi"/>
          <w:b/>
          <w:bCs/>
          <w:sz w:val="24"/>
          <w:szCs w:val="24"/>
          <w:u w:val="single"/>
          <w:rtl/>
        </w:rPr>
        <w:t xml:space="preserve"> </w:t>
      </w:r>
    </w:p>
    <w:p w14:paraId="59A84069" w14:textId="45CADA2F" w:rsidR="002219B2" w:rsidRPr="00732562" w:rsidRDefault="002219B2" w:rsidP="00406847">
      <w:pPr>
        <w:bidi/>
        <w:spacing w:after="0" w:line="360" w:lineRule="auto"/>
        <w:jc w:val="both"/>
        <w:rPr>
          <w:sz w:val="24"/>
          <w:szCs w:val="24"/>
          <w:rtl/>
        </w:rPr>
      </w:pPr>
      <w:r w:rsidRPr="00732562">
        <w:rPr>
          <w:rFonts w:hint="cs"/>
          <w:sz w:val="24"/>
          <w:szCs w:val="24"/>
          <w:rtl/>
        </w:rPr>
        <w:t>ביונקים, כאמור</w:t>
      </w:r>
      <w:r w:rsidR="00151193" w:rsidRPr="00732562">
        <w:rPr>
          <w:rFonts w:hint="cs"/>
          <w:sz w:val="24"/>
          <w:szCs w:val="24"/>
          <w:rtl/>
        </w:rPr>
        <w:t>,</w:t>
      </w:r>
      <w:r w:rsidRPr="00732562">
        <w:rPr>
          <w:rFonts w:hint="cs"/>
          <w:sz w:val="24"/>
          <w:szCs w:val="24"/>
          <w:rtl/>
        </w:rPr>
        <w:t xml:space="preserve"> מתבצעת </w:t>
      </w:r>
      <w:r w:rsidR="00FA57F0" w:rsidRPr="00732562">
        <w:rPr>
          <w:rFonts w:hint="cs"/>
          <w:sz w:val="24"/>
          <w:szCs w:val="24"/>
          <w:rtl/>
        </w:rPr>
        <w:t>קוניוגציה</w:t>
      </w:r>
      <w:r w:rsidRPr="00732562">
        <w:rPr>
          <w:rFonts w:hint="cs"/>
          <w:sz w:val="24"/>
          <w:szCs w:val="24"/>
          <w:rtl/>
        </w:rPr>
        <w:t xml:space="preserve"> על ה-</w:t>
      </w:r>
      <w:r w:rsidR="00B00442">
        <w:rPr>
          <w:rFonts w:cstheme="majorBidi"/>
          <w:sz w:val="24"/>
          <w:szCs w:val="24"/>
        </w:rPr>
        <w:t>Lamotrigine</w:t>
      </w:r>
      <w:r w:rsidRPr="00732562">
        <w:rPr>
          <w:rFonts w:hint="cs"/>
          <w:sz w:val="24"/>
          <w:szCs w:val="24"/>
          <w:rtl/>
        </w:rPr>
        <w:t xml:space="preserve"> הן בטבעת הטריאז</w:t>
      </w:r>
      <w:r w:rsidR="002E177D" w:rsidRPr="00732562">
        <w:rPr>
          <w:rFonts w:hint="cs"/>
          <w:sz w:val="24"/>
          <w:szCs w:val="24"/>
          <w:rtl/>
        </w:rPr>
        <w:t>ינ</w:t>
      </w:r>
      <w:r w:rsidRPr="00732562">
        <w:rPr>
          <w:rFonts w:hint="cs"/>
          <w:sz w:val="24"/>
          <w:szCs w:val="24"/>
          <w:rtl/>
        </w:rPr>
        <w:t>ית והן בטבעת הדיכלורובנזן</w:t>
      </w:r>
      <w:r w:rsidR="00151193" w:rsidRPr="00732562">
        <w:rPr>
          <w:rFonts w:hint="cs"/>
          <w:sz w:val="24"/>
          <w:szCs w:val="24"/>
          <w:rtl/>
        </w:rPr>
        <w:t>.</w:t>
      </w:r>
      <w:r w:rsidRPr="00732562">
        <w:rPr>
          <w:rFonts w:hint="cs"/>
          <w:sz w:val="24"/>
          <w:szCs w:val="24"/>
          <w:rtl/>
        </w:rPr>
        <w:t xml:space="preserve"> ריקאציות אלו מתבצעות על ידי אנז</w:t>
      </w:r>
      <w:r w:rsidR="00151193" w:rsidRPr="00732562">
        <w:rPr>
          <w:rFonts w:hint="cs"/>
          <w:sz w:val="24"/>
          <w:szCs w:val="24"/>
          <w:rtl/>
        </w:rPr>
        <w:t>י</w:t>
      </w:r>
      <w:r w:rsidRPr="00732562">
        <w:rPr>
          <w:rFonts w:hint="cs"/>
          <w:sz w:val="24"/>
          <w:szCs w:val="24"/>
          <w:rtl/>
        </w:rPr>
        <w:t>מים שונים</w:t>
      </w:r>
      <w:r w:rsidR="00151193" w:rsidRPr="00732562">
        <w:rPr>
          <w:rFonts w:hint="cs"/>
          <w:sz w:val="24"/>
          <w:szCs w:val="24"/>
          <w:rtl/>
        </w:rPr>
        <w:t>, רק חלקם ידועים בספרות</w:t>
      </w:r>
      <w:r w:rsidRPr="00732562">
        <w:rPr>
          <w:rFonts w:hint="cs"/>
          <w:sz w:val="24"/>
          <w:szCs w:val="24"/>
          <w:rtl/>
        </w:rPr>
        <w:t xml:space="preserve">. המטבוליט העיקרי בגוף האדם </w:t>
      </w:r>
      <w:r w:rsidR="00B00442">
        <w:rPr>
          <w:rFonts w:cs="Times New Roman"/>
          <w:sz w:val="24"/>
          <w:szCs w:val="24"/>
        </w:rPr>
        <w:t>Lamotrigine</w:t>
      </w:r>
      <w:r w:rsidRPr="00732562">
        <w:rPr>
          <w:rFonts w:cs="Times New Roman"/>
          <w:sz w:val="24"/>
          <w:szCs w:val="24"/>
        </w:rPr>
        <w:t>-2NG</w:t>
      </w:r>
      <w:r w:rsidRPr="00732562">
        <w:rPr>
          <w:rFonts w:hint="cs"/>
          <w:sz w:val="24"/>
          <w:szCs w:val="24"/>
          <w:rtl/>
        </w:rPr>
        <w:t xml:space="preserve">, נוצר על ידי אנזימים ממשפחת </w:t>
      </w:r>
      <w:hyperlink r:id="rId9" w:tooltip="Uridine-diphosphate" w:history="1">
        <w:r w:rsidRPr="00732562">
          <w:rPr>
            <w:rStyle w:val="Hyperlink"/>
            <w:rFonts w:cstheme="majorBidi"/>
            <w:color w:val="auto"/>
            <w:sz w:val="24"/>
            <w:szCs w:val="24"/>
            <w:u w:val="none"/>
            <w:shd w:val="clear" w:color="auto" w:fill="FFFFFF"/>
          </w:rPr>
          <w:t>UDP</w:t>
        </w:r>
      </w:hyperlink>
      <w:r w:rsidRPr="00732562">
        <w:rPr>
          <w:rStyle w:val="Hyperlink"/>
          <w:color w:val="auto"/>
          <w:sz w:val="24"/>
          <w:szCs w:val="24"/>
          <w:u w:val="none"/>
        </w:rPr>
        <w:t>-glucuronos</w:t>
      </w:r>
      <w:r w:rsidRPr="00732562">
        <w:rPr>
          <w:rFonts w:cstheme="majorBidi"/>
          <w:color w:val="252525"/>
          <w:sz w:val="24"/>
          <w:szCs w:val="24"/>
          <w:shd w:val="clear" w:color="auto" w:fill="FFFFFF"/>
        </w:rPr>
        <w:t>yltransferase</w:t>
      </w:r>
      <w:r w:rsidR="00151193" w:rsidRPr="00732562">
        <w:rPr>
          <w:rFonts w:cstheme="majorBidi"/>
          <w:color w:val="252525"/>
          <w:sz w:val="24"/>
          <w:szCs w:val="24"/>
          <w:shd w:val="clear" w:color="auto" w:fill="FFFFFF"/>
        </w:rPr>
        <w:t>s</w:t>
      </w:r>
      <w:r w:rsidRPr="00732562">
        <w:rPr>
          <w:rFonts w:hint="cs"/>
          <w:sz w:val="24"/>
          <w:szCs w:val="24"/>
          <w:rtl/>
        </w:rPr>
        <w:t xml:space="preserve"> </w:t>
      </w:r>
      <w:r w:rsidRPr="00732562">
        <w:rPr>
          <w:rFonts w:cstheme="majorBidi"/>
          <w:sz w:val="24"/>
          <w:szCs w:val="24"/>
          <w:rtl/>
        </w:rPr>
        <w:t>(</w:t>
      </w:r>
      <w:r w:rsidRPr="00732562">
        <w:rPr>
          <w:rFonts w:cstheme="majorBidi"/>
          <w:sz w:val="24"/>
          <w:szCs w:val="24"/>
        </w:rPr>
        <w:t>UGT</w:t>
      </w:r>
      <w:r w:rsidRPr="00732562">
        <w:rPr>
          <w:rFonts w:cstheme="majorBidi"/>
          <w:sz w:val="24"/>
          <w:szCs w:val="24"/>
          <w:rtl/>
        </w:rPr>
        <w:t>)</w:t>
      </w:r>
      <w:r w:rsidRPr="00732562">
        <w:rPr>
          <w:sz w:val="24"/>
          <w:szCs w:val="24"/>
          <w:rtl/>
        </w:rPr>
        <w:t>,</w:t>
      </w:r>
      <w:r w:rsidRPr="00732562">
        <w:rPr>
          <w:rFonts w:hint="cs"/>
          <w:sz w:val="24"/>
          <w:szCs w:val="24"/>
          <w:rtl/>
        </w:rPr>
        <w:t xml:space="preserve"> </w:t>
      </w:r>
      <w:r w:rsidRPr="00732562">
        <w:rPr>
          <w:rFonts w:cstheme="majorBidi"/>
          <w:sz w:val="24"/>
          <w:szCs w:val="24"/>
        </w:rPr>
        <w:t>UGTs</w:t>
      </w:r>
      <w:r w:rsidRPr="00732562">
        <w:rPr>
          <w:rFonts w:hint="cs"/>
          <w:sz w:val="24"/>
          <w:szCs w:val="24"/>
          <w:rtl/>
        </w:rPr>
        <w:t xml:space="preserve"> הם האנזימים האחראים לחיבור של חומצה גלוקורונ</w:t>
      </w:r>
      <w:r w:rsidR="0006106B" w:rsidRPr="00732562">
        <w:rPr>
          <w:rFonts w:hint="cs"/>
          <w:sz w:val="24"/>
          <w:szCs w:val="24"/>
          <w:rtl/>
        </w:rPr>
        <w:t>ית לקבוצות פונקצינאליות שונות. ב</w:t>
      </w:r>
      <w:r w:rsidRPr="00732562">
        <w:rPr>
          <w:rFonts w:hint="cs"/>
          <w:sz w:val="24"/>
          <w:szCs w:val="24"/>
          <w:rtl/>
        </w:rPr>
        <w:t xml:space="preserve">אדם ישנה תת- משפחה שנקראת </w:t>
      </w:r>
      <w:r w:rsidRPr="00732562">
        <w:rPr>
          <w:rFonts w:hint="cs"/>
          <w:sz w:val="24"/>
          <w:szCs w:val="24"/>
        </w:rPr>
        <w:t>UGT</w:t>
      </w:r>
      <w:r w:rsidR="0006106B" w:rsidRPr="00732562">
        <w:rPr>
          <w:sz w:val="24"/>
          <w:szCs w:val="24"/>
        </w:rPr>
        <w:t>1A</w:t>
      </w:r>
      <w:r w:rsidR="0006106B" w:rsidRPr="00732562">
        <w:rPr>
          <w:rFonts w:hint="cs"/>
          <w:sz w:val="24"/>
          <w:szCs w:val="24"/>
          <w:rtl/>
        </w:rPr>
        <w:t>.</w:t>
      </w:r>
      <w:r w:rsidRPr="00732562">
        <w:rPr>
          <w:rFonts w:hint="cs"/>
          <w:sz w:val="24"/>
          <w:szCs w:val="24"/>
          <w:rtl/>
        </w:rPr>
        <w:t xml:space="preserve"> בכבד מתבטא האנזים </w:t>
      </w:r>
      <w:r w:rsidRPr="00732562">
        <w:rPr>
          <w:sz w:val="24"/>
          <w:szCs w:val="24"/>
        </w:rPr>
        <w:t>UGT1A4</w:t>
      </w:r>
      <w:r w:rsidRPr="00732562">
        <w:rPr>
          <w:rFonts w:hint="cs"/>
          <w:sz w:val="24"/>
          <w:szCs w:val="24"/>
          <w:rtl/>
        </w:rPr>
        <w:t xml:space="preserve"> אשר פועל</w:t>
      </w:r>
      <w:r w:rsidR="0006106B" w:rsidRPr="00732562">
        <w:rPr>
          <w:rFonts w:hint="cs"/>
          <w:sz w:val="24"/>
          <w:szCs w:val="24"/>
          <w:rtl/>
        </w:rPr>
        <w:t xml:space="preserve"> על</w:t>
      </w:r>
      <w:r w:rsidRPr="00732562">
        <w:rPr>
          <w:rFonts w:hint="cs"/>
          <w:sz w:val="24"/>
          <w:szCs w:val="24"/>
          <w:rtl/>
        </w:rPr>
        <w:t xml:space="preserve"> העמדה ה-</w:t>
      </w:r>
      <w:r w:rsidRPr="00732562">
        <w:rPr>
          <w:rFonts w:hint="cs"/>
          <w:sz w:val="24"/>
          <w:szCs w:val="24"/>
        </w:rPr>
        <w:t>N</w:t>
      </w:r>
      <w:r w:rsidRPr="00732562">
        <w:rPr>
          <w:sz w:val="24"/>
          <w:szCs w:val="24"/>
        </w:rPr>
        <w:t>2</w:t>
      </w:r>
      <w:r w:rsidR="00FD6D53" w:rsidRPr="00732562">
        <w:rPr>
          <w:rFonts w:hint="cs"/>
          <w:sz w:val="24"/>
          <w:szCs w:val="24"/>
          <w:rtl/>
        </w:rPr>
        <w:t xml:space="preserve"> בטבעת הטריאזנית</w:t>
      </w:r>
      <w:r w:rsidR="0006106B" w:rsidRPr="00732562">
        <w:rPr>
          <w:rFonts w:hint="cs"/>
          <w:sz w:val="24"/>
          <w:szCs w:val="24"/>
          <w:rtl/>
        </w:rPr>
        <w:t xml:space="preserve"> </w:t>
      </w:r>
      <w:r w:rsidR="00FD6D53" w:rsidRPr="00732562">
        <w:rPr>
          <w:sz w:val="24"/>
          <w:szCs w:val="24"/>
          <w:rtl/>
        </w:rPr>
        <w:fldChar w:fldCharType="begin" w:fldLock="1"/>
      </w:r>
      <w:r w:rsidR="00A223D6" w:rsidRPr="00732562">
        <w:rPr>
          <w:sz w:val="24"/>
          <w:szCs w:val="24"/>
        </w:rPr>
        <w:instrText>ADDIN CSL_CITATION { "citationItems" : [ { "id" : "ITEM-1", "itemData" : { "abstract" : "Lamotrigine (LTG), a diaminotriazine anti-epileptic, is principally metabolized at the 2-position of the\r\ntriazine ring to form a quaternary ammonium glucuronide (LTGG) by uridine glucuronosyl transferease\r\n(UGT) 1A3 and UGT1A4. It has been hypothesized that glucuronidation of anti-epileptic drugs is spared\r\nwith age, despite a known decrease in liver mass, based on older studies with benzodiazepines such as\r\nlorazepam. To examine this, the formation rates of LTGG formation were measured by liquid chromatography-\r\nmass spectrometry (LC-MS) in a bank of human liver microsomes (HLMs) obtained from younger\r\nand elderly donors at therapeutic concentrations.\r\n2. The formation rate of LTGG was not significantly different in HLMs obtained from younger and elderly\r\nsubjects. A four- to five-fold variation for the formation of LTGG was observed within each microsomal\r\nbank obtained from elderly and younger donors, and the range of LTGG formation was observed to\r\nbe 0.15\u20130.78 nmoles min\u22121 mg\u22121 of protein across the entire set of HLMs (n = 36, elderly and younger\r\nHLMs).\r\n3. UGT1A4 and UGT1A3 catalysed the formation of LTGG with an intrinsic clearances of 0.28 and 0.02 \u03bcl\r\nmin\u22121 mg\u22121 protein, respectively. UGT2B7 and UGT2B4 showed no measurable activity. No correlation\r\nwas observed across the HLM bank for glucuronidation of LTG and valproic acid (a substrate for multiple\r\nUGT isoforms including UGT1A4).", "author" : [ { "dropping-particle" : "", "family" : "U. A. Argikar", "given" : "and R. P. Remmel", "non-dropping-particle" : "", "parse-names" : false, "suffix" : "" } ], "container-title" : "Xenobiotica", "id" : "ITEM-1", "issue" : "5", "issued" : { "date-parts" : [ [ "2009" ] ] }, "page" : "355\u2013363", "title" : "Variation in glucuronidation of lamotrigine in human liver microsomes", "type" : "article-journal", "volume" : "39" }, "uris" : [ "http://www.mendeley.com/documents/?uuid=06065b3d-bf27-4077-af9f-b3c575a6ad36", "http://www.mendeley.com/documents/?uuid=3e5bba93-b96e-3bbd-93c7-dc62b7f994ce" ] } ], "mendeley" : { "formattedCitation" : "(U. A. Argikar 2009)", "plainTextFormattedCitation" : "(U. A. Argikar 2009)", "previouslyFormattedCitation" : "(U. A. Argikar 2009)" }, "properties" : { "noteIndex" : 0 }, "schema" : "https://github.com/citation-style-language/schema/raw/master/csl-citation.json" }</w:instrText>
      </w:r>
      <w:r w:rsidR="00FD6D53" w:rsidRPr="00732562">
        <w:rPr>
          <w:sz w:val="24"/>
          <w:szCs w:val="24"/>
          <w:rtl/>
        </w:rPr>
        <w:fldChar w:fldCharType="separate"/>
      </w:r>
      <w:r w:rsidR="00644CEA" w:rsidRPr="00732562">
        <w:rPr>
          <w:noProof/>
          <w:sz w:val="24"/>
          <w:szCs w:val="24"/>
        </w:rPr>
        <w:t>(U. A. Argikar 2009)</w:t>
      </w:r>
      <w:r w:rsidR="00FD6D53" w:rsidRPr="00732562">
        <w:rPr>
          <w:sz w:val="24"/>
          <w:szCs w:val="24"/>
          <w:rtl/>
        </w:rPr>
        <w:fldChar w:fldCharType="end"/>
      </w:r>
      <w:r w:rsidR="0006106B" w:rsidRPr="00732562">
        <w:rPr>
          <w:rFonts w:hint="cs"/>
          <w:sz w:val="24"/>
          <w:szCs w:val="24"/>
          <w:rtl/>
        </w:rPr>
        <w:t>.</w:t>
      </w:r>
    </w:p>
    <w:p w14:paraId="26BBD04A" w14:textId="47767463" w:rsidR="002219B2" w:rsidRPr="00732562" w:rsidRDefault="002219B2" w:rsidP="00406847">
      <w:pPr>
        <w:bidi/>
        <w:spacing w:after="0" w:line="360" w:lineRule="auto"/>
        <w:jc w:val="both"/>
        <w:rPr>
          <w:sz w:val="24"/>
          <w:szCs w:val="24"/>
          <w:rtl/>
        </w:rPr>
      </w:pPr>
      <w:r w:rsidRPr="00732562">
        <w:rPr>
          <w:rFonts w:hint="cs"/>
          <w:sz w:val="24"/>
          <w:szCs w:val="24"/>
          <w:rtl/>
        </w:rPr>
        <w:t>בנתיב השני</w:t>
      </w:r>
      <w:r w:rsidR="0006106B" w:rsidRPr="00732562">
        <w:rPr>
          <w:rFonts w:hint="cs"/>
          <w:sz w:val="24"/>
          <w:szCs w:val="24"/>
          <w:rtl/>
        </w:rPr>
        <w:t>,</w:t>
      </w:r>
      <w:r w:rsidRPr="00732562">
        <w:rPr>
          <w:rFonts w:hint="cs"/>
          <w:sz w:val="24"/>
          <w:szCs w:val="24"/>
          <w:rtl/>
        </w:rPr>
        <w:t xml:space="preserve"> </w:t>
      </w:r>
      <w:r w:rsidR="00B00442">
        <w:rPr>
          <w:rFonts w:cstheme="majorBidi"/>
          <w:sz w:val="24"/>
          <w:szCs w:val="24"/>
        </w:rPr>
        <w:t>Lamotrigine</w:t>
      </w:r>
      <w:r w:rsidRPr="00732562">
        <w:rPr>
          <w:rFonts w:hint="cs"/>
          <w:sz w:val="24"/>
          <w:szCs w:val="24"/>
          <w:rtl/>
        </w:rPr>
        <w:t xml:space="preserve"> עובר מודיפקציות על טבעת הדיכלורוב</w:t>
      </w:r>
      <w:r w:rsidR="0006106B" w:rsidRPr="00732562">
        <w:rPr>
          <w:rFonts w:hint="cs"/>
          <w:sz w:val="24"/>
          <w:szCs w:val="24"/>
          <w:rtl/>
        </w:rPr>
        <w:t>נ</w:t>
      </w:r>
      <w:r w:rsidRPr="00732562">
        <w:rPr>
          <w:rFonts w:hint="cs"/>
          <w:sz w:val="24"/>
          <w:szCs w:val="24"/>
          <w:rtl/>
        </w:rPr>
        <w:t>זן</w:t>
      </w:r>
      <w:r w:rsidR="0006106B" w:rsidRPr="00732562">
        <w:rPr>
          <w:rFonts w:hint="cs"/>
          <w:sz w:val="24"/>
          <w:szCs w:val="24"/>
          <w:rtl/>
        </w:rPr>
        <w:t>.</w:t>
      </w:r>
      <w:r w:rsidRPr="00732562">
        <w:rPr>
          <w:rFonts w:hint="cs"/>
          <w:sz w:val="24"/>
          <w:szCs w:val="24"/>
          <w:rtl/>
        </w:rPr>
        <w:t xml:space="preserve"> ריאקציה זו </w:t>
      </w:r>
      <w:r w:rsidR="0006106B" w:rsidRPr="00732562">
        <w:rPr>
          <w:rFonts w:hint="cs"/>
          <w:sz w:val="24"/>
          <w:szCs w:val="24"/>
          <w:rtl/>
        </w:rPr>
        <w:t>מתבצעת</w:t>
      </w:r>
      <w:r w:rsidRPr="00732562">
        <w:rPr>
          <w:rFonts w:hint="cs"/>
          <w:sz w:val="24"/>
          <w:szCs w:val="24"/>
          <w:rtl/>
        </w:rPr>
        <w:t xml:space="preserve"> על ידי אנזמים ממשפחת ה-</w:t>
      </w:r>
      <w:r w:rsidRPr="00732562">
        <w:rPr>
          <w:rFonts w:cs="Arial"/>
          <w:b/>
          <w:bCs/>
          <w:color w:val="252525"/>
          <w:sz w:val="24"/>
          <w:szCs w:val="24"/>
          <w:shd w:val="clear" w:color="auto" w:fill="FFFFFF"/>
        </w:rPr>
        <w:t xml:space="preserve"> </w:t>
      </w:r>
      <w:r w:rsidRPr="00732562">
        <w:rPr>
          <w:rFonts w:cstheme="majorBidi"/>
          <w:color w:val="252525"/>
          <w:sz w:val="24"/>
          <w:szCs w:val="24"/>
          <w:shd w:val="clear" w:color="auto" w:fill="FFFFFF"/>
        </w:rPr>
        <w:t xml:space="preserve">Cytochromes </w:t>
      </w:r>
      <w:r w:rsidR="0006106B" w:rsidRPr="00732562">
        <w:rPr>
          <w:rFonts w:cstheme="majorBidi"/>
          <w:color w:val="252525"/>
          <w:sz w:val="24"/>
          <w:szCs w:val="24"/>
          <w:shd w:val="clear" w:color="auto" w:fill="FFFFFF"/>
        </w:rPr>
        <w:t xml:space="preserve">(CYPs) </w:t>
      </w:r>
      <w:r w:rsidRPr="00732562">
        <w:rPr>
          <w:rFonts w:cstheme="majorBidi"/>
          <w:color w:val="252525"/>
          <w:sz w:val="24"/>
          <w:szCs w:val="24"/>
          <w:shd w:val="clear" w:color="auto" w:fill="FFFFFF"/>
        </w:rPr>
        <w:t>P450</w:t>
      </w:r>
      <w:r w:rsidRPr="00732562">
        <w:rPr>
          <w:rStyle w:val="apple-converted-space"/>
          <w:rFonts w:cstheme="majorBidi"/>
          <w:color w:val="252525"/>
          <w:sz w:val="24"/>
          <w:szCs w:val="24"/>
          <w:shd w:val="clear" w:color="auto" w:fill="FFFFFF"/>
        </w:rPr>
        <w:t> </w:t>
      </w:r>
      <w:r w:rsidRPr="00732562">
        <w:rPr>
          <w:rFonts w:hint="cs"/>
          <w:sz w:val="24"/>
          <w:szCs w:val="24"/>
          <w:rtl/>
        </w:rPr>
        <w:t xml:space="preserve">, כאשר בכבד האדם מתבטא האנזים </w:t>
      </w:r>
      <w:r w:rsidRPr="00732562">
        <w:rPr>
          <w:rFonts w:cstheme="majorBidi"/>
          <w:sz w:val="24"/>
          <w:szCs w:val="24"/>
          <w:rtl/>
        </w:rPr>
        <w:t>6</w:t>
      </w:r>
      <w:r w:rsidRPr="00732562">
        <w:rPr>
          <w:rFonts w:cstheme="majorBidi"/>
          <w:sz w:val="24"/>
          <w:szCs w:val="24"/>
        </w:rPr>
        <w:t>A</w:t>
      </w:r>
      <w:r w:rsidRPr="00732562">
        <w:rPr>
          <w:rFonts w:cstheme="majorBidi"/>
          <w:sz w:val="24"/>
          <w:szCs w:val="24"/>
          <w:rtl/>
        </w:rPr>
        <w:t>2 450</w:t>
      </w:r>
      <w:r w:rsidRPr="00732562">
        <w:rPr>
          <w:rFonts w:cstheme="majorBidi"/>
          <w:sz w:val="24"/>
          <w:szCs w:val="24"/>
        </w:rPr>
        <w:t>P</w:t>
      </w:r>
      <w:r w:rsidRPr="00732562">
        <w:rPr>
          <w:rFonts w:hint="cs"/>
          <w:sz w:val="24"/>
          <w:szCs w:val="24"/>
          <w:rtl/>
        </w:rPr>
        <w:t xml:space="preserve">,  בתהליך זה </w:t>
      </w:r>
      <w:r w:rsidR="00B00442">
        <w:rPr>
          <w:rFonts w:cstheme="majorBidi"/>
          <w:sz w:val="24"/>
          <w:szCs w:val="24"/>
        </w:rPr>
        <w:t>L</w:t>
      </w:r>
      <w:r w:rsidR="008F1816">
        <w:rPr>
          <w:rFonts w:cstheme="majorBidi"/>
          <w:sz w:val="24"/>
          <w:szCs w:val="24"/>
        </w:rPr>
        <w:t>amotrigine</w:t>
      </w:r>
      <w:r w:rsidRPr="00732562">
        <w:rPr>
          <w:rFonts w:cstheme="majorBidi"/>
          <w:sz w:val="24"/>
          <w:szCs w:val="24"/>
          <w:rtl/>
        </w:rPr>
        <w:t xml:space="preserve"> </w:t>
      </w:r>
      <w:r w:rsidRPr="00732562">
        <w:rPr>
          <w:rFonts w:hint="cs"/>
          <w:sz w:val="24"/>
          <w:szCs w:val="24"/>
          <w:rtl/>
        </w:rPr>
        <w:t xml:space="preserve">עובר </w:t>
      </w:r>
      <w:r w:rsidR="002E177D" w:rsidRPr="00732562">
        <w:rPr>
          <w:rFonts w:hint="cs"/>
          <w:sz w:val="24"/>
          <w:szCs w:val="24"/>
          <w:rtl/>
        </w:rPr>
        <w:t>חמצון</w:t>
      </w:r>
      <w:r w:rsidRPr="00732562">
        <w:rPr>
          <w:rFonts w:hint="cs"/>
          <w:sz w:val="24"/>
          <w:szCs w:val="24"/>
          <w:rtl/>
        </w:rPr>
        <w:t xml:space="preserve"> כאשר נוצר תוצר ביניים (לא יציב) הנקרא </w:t>
      </w:r>
      <w:r w:rsidRPr="00732562">
        <w:rPr>
          <w:rFonts w:cstheme="majorBidi"/>
          <w:sz w:val="24"/>
          <w:szCs w:val="24"/>
        </w:rPr>
        <w:t>arene- oxide</w:t>
      </w:r>
      <w:r w:rsidR="0006106B" w:rsidRPr="00732562">
        <w:rPr>
          <w:rFonts w:hint="cs"/>
          <w:sz w:val="24"/>
          <w:szCs w:val="24"/>
          <w:rtl/>
        </w:rPr>
        <w:t>.</w:t>
      </w:r>
      <w:r w:rsidRPr="00732562">
        <w:rPr>
          <w:rFonts w:hint="cs"/>
          <w:sz w:val="24"/>
          <w:szCs w:val="24"/>
          <w:rtl/>
        </w:rPr>
        <w:t xml:space="preserve"> לאחר מכן יש חיבור של </w:t>
      </w:r>
      <w:r w:rsidR="002E177D" w:rsidRPr="00732562">
        <w:rPr>
          <w:rFonts w:hint="cs"/>
          <w:sz w:val="24"/>
          <w:szCs w:val="24"/>
          <w:rtl/>
        </w:rPr>
        <w:t>מולקולת</w:t>
      </w:r>
      <w:r w:rsidRPr="00732562">
        <w:rPr>
          <w:rFonts w:hint="cs"/>
          <w:sz w:val="24"/>
          <w:szCs w:val="24"/>
          <w:rtl/>
        </w:rPr>
        <w:t xml:space="preserve"> </w:t>
      </w:r>
      <w:r w:rsidR="002E177D" w:rsidRPr="00732562">
        <w:rPr>
          <w:rFonts w:cstheme="majorBidi"/>
          <w:sz w:val="24"/>
          <w:szCs w:val="24"/>
        </w:rPr>
        <w:t>Glutathione</w:t>
      </w:r>
      <w:r w:rsidRPr="00732562">
        <w:rPr>
          <w:rFonts w:hint="cs"/>
          <w:sz w:val="24"/>
          <w:szCs w:val="24"/>
          <w:rtl/>
        </w:rPr>
        <w:t xml:space="preserve"> על ידי האנזים </w:t>
      </w:r>
      <w:r w:rsidRPr="00732562">
        <w:rPr>
          <w:rFonts w:cstheme="majorBidi"/>
          <w:sz w:val="24"/>
          <w:szCs w:val="24"/>
        </w:rPr>
        <w:t>Glutathione S-transferase</w:t>
      </w:r>
      <w:r w:rsidRPr="00732562">
        <w:rPr>
          <w:rFonts w:hint="cs"/>
          <w:sz w:val="24"/>
          <w:szCs w:val="24"/>
          <w:rtl/>
        </w:rPr>
        <w:t>, המולקולה יכולה להמשיך לעבור מודפיקציות על טבעת הד</w:t>
      </w:r>
      <w:r w:rsidR="00FD6D53" w:rsidRPr="00732562">
        <w:rPr>
          <w:rFonts w:hint="cs"/>
          <w:sz w:val="24"/>
          <w:szCs w:val="24"/>
          <w:rtl/>
        </w:rPr>
        <w:t>יכלורובזן וליצור תוצרים נוספים</w:t>
      </w:r>
      <w:r w:rsidR="00FD6D53" w:rsidRPr="00732562">
        <w:rPr>
          <w:sz w:val="24"/>
          <w:szCs w:val="24"/>
          <w:rtl/>
        </w:rPr>
        <w:fldChar w:fldCharType="begin" w:fldLock="1"/>
      </w:r>
      <w:r w:rsidR="00A223D6" w:rsidRPr="00732562">
        <w:rPr>
          <w:sz w:val="24"/>
          <w:szCs w:val="24"/>
        </w:rPr>
        <w:instrText>ADDIN CSL_CITATION { "citationItems" : [ { "id" : "ITEM-1", "itemData" : { "DOI" : "10.1021/tx9003243", "abstract" : "Previous studies suggested that lamotrigene (LTG) underwent bioactivation to a reactive aryl epoxide intermediate in rats. Nevertheless, definitive structures of these thioether conjugates, which are often needed to substantiate the mechanism of bioactivation and identity of reactive intermediate(s), were not fully established. In the present study, GSH, cysteinylglycine, and N-acetyl cysteine conjugates of LTG were isolated from bile of rats orally dosed with LTG (100 mg/kg), and their structures were fully elucidated by LC/MS and NMR. The definitive structural characterization of these metabolites provided evidence for the existence of a reactive aryl epoxide that was trapped as a GSH adduct. In vitro studies using various hepatic cellular and subcellular fractions obtained from human and rat were performed to demonstrate that LTG underwent bioactivation to form a GSH conjugate that was identical to the one initially characterized from in vivo studies. Human P450 2A6 and rat P450 2C11 appeared to be the primary enzymes activating LTG in human and rat liver microsomes, respectively. Interindividual variation in the bioactivation of LTG was demonstrated with 20 individual human liver microsomes. Furthermore, it was shown that human epidermal keratinocytes were capable of forming the same GSH conjugate, suggesting that LTG could be bioactivated in skin cells. The results from these studies suggest that LTG has the potential to undergo hepatic and nonhepatic bioactivation, leading to a reactive aryl epoxide intermediate in human. The bioactivation of LTG in epidermal cells provides a possible explanation for the idiosyncratic cutaneous reactions associated with LTG therapy.", "author" : [ { "dropping-particle" : "", "family" : "Hao Chen, Scott Grover, Linning Yu", "given" : "Gregory Walker and Abdul Mutlib", "non-dropping-particle" : "", "parse-names" : false, "suffix" : "" } ], "container-title" : "Chemical Research in Toxicology", "id" : "ITEM-1", "issue" : "1", "issued" : { "date-parts" : [ [ "2010" ] ] }, "page" : "159-170", "title" : "Bioactivation of Lamotrigine in Vivo in Rat and in Vitro in Human Liver Microsomes, Hepatocytes, and Epidermal Keratinocytes: Characterization of Thioether Conjugates by Liquid Chromatography", "type" : "article-journal", "volume" : "23" }, "uris" : [ "http://www.mendeley.com/documents/?uuid=0c976057-6cac-49ce-a07d-d5d77e606643", "http://www.mendeley.com/documents/?uuid=720322fa-42dd-3711-afab-bd013b84181b" ] } ], "mendeley" : { "formattedCitation" : "(Hao Chen, Scott Grover, Linning Yu 2010)", "manualFormatting" : "(Hao Chen, Scott Grover, Linning Yu 2010", "plainTextFormattedCitation" : "(Hao Chen, Scott Grover, Linning Yu 2010)", "previouslyFormattedCitation" : "(Hao Chen, Scott Grover, Linning Yu 2010)" }, "properties" : { "noteIndex" : 0 }, "schema" : "https://github.com/citation-style-language/schema/raw/master/csl-citation.json" }</w:instrText>
      </w:r>
      <w:r w:rsidR="00FD6D53" w:rsidRPr="00732562">
        <w:rPr>
          <w:sz w:val="24"/>
          <w:szCs w:val="24"/>
          <w:rtl/>
        </w:rPr>
        <w:fldChar w:fldCharType="separate"/>
      </w:r>
      <w:r w:rsidR="00FD6D53" w:rsidRPr="00732562">
        <w:rPr>
          <w:rFonts w:cstheme="majorBidi"/>
          <w:noProof/>
          <w:sz w:val="24"/>
          <w:szCs w:val="24"/>
        </w:rPr>
        <w:t>(Hao Chen, Scott</w:t>
      </w:r>
      <w:r w:rsidR="00FD6D53" w:rsidRPr="00732562">
        <w:rPr>
          <w:noProof/>
          <w:sz w:val="24"/>
          <w:szCs w:val="24"/>
        </w:rPr>
        <w:t xml:space="preserve"> </w:t>
      </w:r>
      <w:r w:rsidR="00FD6D53" w:rsidRPr="00732562">
        <w:rPr>
          <w:rFonts w:cstheme="majorBidi"/>
          <w:noProof/>
          <w:sz w:val="24"/>
          <w:szCs w:val="24"/>
        </w:rPr>
        <w:t>Grover, Linning Yu 2010</w:t>
      </w:r>
      <w:r w:rsidR="00FD6D53" w:rsidRPr="00732562">
        <w:rPr>
          <w:sz w:val="24"/>
          <w:szCs w:val="24"/>
          <w:rtl/>
        </w:rPr>
        <w:fldChar w:fldCharType="end"/>
      </w:r>
      <w:r w:rsidR="002E177D" w:rsidRPr="00732562">
        <w:rPr>
          <w:rFonts w:hint="cs"/>
          <w:sz w:val="24"/>
          <w:szCs w:val="24"/>
          <w:rtl/>
        </w:rPr>
        <w:t>).</w:t>
      </w:r>
    </w:p>
    <w:p w14:paraId="0E32800D" w14:textId="0E66874A" w:rsidR="005929BA" w:rsidRPr="00732562" w:rsidRDefault="002219B2" w:rsidP="00406847">
      <w:pPr>
        <w:bidi/>
        <w:spacing w:after="0" w:line="360" w:lineRule="auto"/>
        <w:jc w:val="both"/>
        <w:rPr>
          <w:sz w:val="24"/>
          <w:szCs w:val="24"/>
          <w:rtl/>
        </w:rPr>
      </w:pPr>
      <w:r w:rsidRPr="00732562">
        <w:rPr>
          <w:rFonts w:hint="cs"/>
          <w:sz w:val="24"/>
          <w:szCs w:val="24"/>
          <w:rtl/>
        </w:rPr>
        <w:t xml:space="preserve">תחילה, בדקתי את המעכב </w:t>
      </w:r>
      <w:r w:rsidRPr="00732562">
        <w:rPr>
          <w:rFonts w:cs="Times New Roman"/>
          <w:sz w:val="24"/>
          <w:szCs w:val="24"/>
        </w:rPr>
        <w:t>1-Aminobenzotriazole</w:t>
      </w:r>
      <w:r w:rsidRPr="00732562">
        <w:rPr>
          <w:rFonts w:cs="Times New Roman" w:hint="cs"/>
          <w:sz w:val="24"/>
          <w:szCs w:val="24"/>
          <w:rtl/>
        </w:rPr>
        <w:t xml:space="preserve"> </w:t>
      </w:r>
      <w:r w:rsidRPr="00732562">
        <w:rPr>
          <w:rFonts w:cs="Times New Roman"/>
          <w:sz w:val="24"/>
          <w:szCs w:val="24"/>
        </w:rPr>
        <w:t>(1-ABT)</w:t>
      </w:r>
      <w:r w:rsidR="00E80857" w:rsidRPr="00732562">
        <w:rPr>
          <w:rFonts w:cs="Times New Roman" w:hint="cs"/>
          <w:sz w:val="24"/>
          <w:szCs w:val="24"/>
          <w:rtl/>
        </w:rPr>
        <w:t xml:space="preserve">, </w:t>
      </w:r>
      <w:r w:rsidR="007353FC" w:rsidRPr="00732562">
        <w:rPr>
          <w:rFonts w:hint="cs"/>
          <w:sz w:val="24"/>
          <w:szCs w:val="24"/>
          <w:rtl/>
        </w:rPr>
        <w:t xml:space="preserve">שהוא מעכב לא </w:t>
      </w:r>
      <w:r w:rsidR="005929BA" w:rsidRPr="00732562">
        <w:rPr>
          <w:rFonts w:hint="cs"/>
          <w:sz w:val="24"/>
          <w:szCs w:val="24"/>
          <w:rtl/>
        </w:rPr>
        <w:t>ספציפי, בלתי הפיך</w:t>
      </w:r>
      <w:r w:rsidR="00C4511F" w:rsidRPr="00732562">
        <w:rPr>
          <w:rFonts w:hint="cs"/>
          <w:sz w:val="24"/>
          <w:szCs w:val="24"/>
          <w:rtl/>
        </w:rPr>
        <w:t>,</w:t>
      </w:r>
      <w:r w:rsidR="005929BA" w:rsidRPr="00732562">
        <w:rPr>
          <w:rFonts w:hint="cs"/>
          <w:sz w:val="24"/>
          <w:szCs w:val="24"/>
          <w:rtl/>
        </w:rPr>
        <w:t xml:space="preserve"> </w:t>
      </w:r>
      <w:r w:rsidR="00E80857" w:rsidRPr="00732562">
        <w:rPr>
          <w:rFonts w:hint="cs"/>
          <w:sz w:val="24"/>
          <w:szCs w:val="24"/>
          <w:rtl/>
        </w:rPr>
        <w:t xml:space="preserve">הפועל על ציטוכרום </w:t>
      </w:r>
      <w:r w:rsidR="00DF093B" w:rsidRPr="00732562">
        <w:rPr>
          <w:sz w:val="24"/>
          <w:szCs w:val="24"/>
        </w:rPr>
        <w:t>P</w:t>
      </w:r>
      <w:r w:rsidR="00E80857" w:rsidRPr="00732562">
        <w:rPr>
          <w:sz w:val="24"/>
          <w:szCs w:val="24"/>
        </w:rPr>
        <w:t>450</w:t>
      </w:r>
      <w:r w:rsidR="00C4511F" w:rsidRPr="00732562">
        <w:rPr>
          <w:rFonts w:hint="cs"/>
          <w:sz w:val="24"/>
          <w:szCs w:val="24"/>
          <w:rtl/>
        </w:rPr>
        <w:t>,</w:t>
      </w:r>
      <w:r w:rsidR="00E80857" w:rsidRPr="00732562">
        <w:rPr>
          <w:rFonts w:hint="cs"/>
          <w:sz w:val="24"/>
          <w:szCs w:val="24"/>
          <w:rtl/>
        </w:rPr>
        <w:t xml:space="preserve"> </w:t>
      </w:r>
      <w:r w:rsidR="007353FC" w:rsidRPr="00732562">
        <w:rPr>
          <w:rFonts w:hint="cs"/>
          <w:sz w:val="24"/>
          <w:szCs w:val="24"/>
          <w:rtl/>
        </w:rPr>
        <w:t>אנושי ולא אנושי</w:t>
      </w:r>
      <w:r w:rsidR="00C4511F" w:rsidRPr="00732562">
        <w:rPr>
          <w:rFonts w:hint="cs"/>
          <w:sz w:val="24"/>
          <w:szCs w:val="24"/>
          <w:rtl/>
        </w:rPr>
        <w:t xml:space="preserve">, </w:t>
      </w:r>
      <w:r w:rsidR="005929BA" w:rsidRPr="00732562">
        <w:rPr>
          <w:rFonts w:hint="cs"/>
          <w:sz w:val="24"/>
          <w:szCs w:val="24"/>
          <w:rtl/>
        </w:rPr>
        <w:t xml:space="preserve">נבדק רבות בהקשר של מטבוליזם של תרופות </w:t>
      </w:r>
      <w:r w:rsidR="005929BA" w:rsidRPr="00732562">
        <w:rPr>
          <w:sz w:val="24"/>
          <w:szCs w:val="24"/>
          <w:rtl/>
        </w:rPr>
        <w:fldChar w:fldCharType="begin" w:fldLock="1"/>
      </w:r>
      <w:r w:rsidR="00A223D6" w:rsidRPr="00732562">
        <w:rPr>
          <w:sz w:val="24"/>
          <w:szCs w:val="24"/>
        </w:rPr>
        <w:instrText>ADDIN CSL_CITATION { "citationItems" : [ { "id" : "ITEM-1", "itemData" : { "DOI" : "10.1124/dmd.111.039834", "ISBN" : "1521-009X (Electronic)\\r0090-9556 (Linking)", "PMID" : "21677062", "abstract" : "1-Aminobenzotriazole (ABT) has been used widely as a nonselective in vitro and in vivo inhibitor of cytochrome P450 enzymes. To date, however, it has not been evaluated as an inhibitor of UDP-glucuronosyltransferase (UGT), sulfotransferase (SULT), and N-acetyltransferase (NAT). In the present study, ABT was shown not to inhibit UGT and SULT activity (acetaminophen and 7-hydroxycoumarin as substrates) in rat liver microsomes and rat liver 9000g supernatant fraction (RLS9), respectively. However, it did inhibit the RLS9-catalyzed N-acetylation of procainamide (IC(50) \u223c 30 \u03bcM), and no preincubation time dependence was evident. In agreement, oral ABT (100 mg/kg, 2 h predose) decreased the clearance of intravenous procainamide (45%) in rats, accompanied by a decreased N-acetylprocainamide-to-procainamide ratio in urine (0.74 versus 0.21) and plasma (area under the curve ratio 0.59 versus 0.11). Additional studies with human forms of NAT (hNAT1 and hNAT2) revealed that ABT is a more potent inhibitor of hNAT2 compared with hNAT1 (IC(50) 158 \u03bcM versus &gt; 1 mM). Consistent with the IC(50) estimate, formal inhibition studies revealed that inhibition of hNAT2 was competitive with an inhibition constant of 67 \u03bcM. In accordance with the competitive inhibition, ABT was shown to undergo N-acetylation in the presence of both human NAT forms, with hNAT1 exhibiting less activity under the same assay conditions (\u223c40% of hNAT2). In summary, the results described herein indicate that ABT is a substrate and inhibitor of NAT. Such an interaction should be considered when using ABT as a nonselective inhibitor of P450, especially when NAT-dependent metabolism is also involved.", "author" : [ { "dropping-particle" : "", "family" : "Sun", "given" : "Qin", "non-dropping-particle" : "", "parse-names" : false, "suffix" : "" }, { "dropping-particle" : "", "family" : "Harper", "given" : "T. W.", "non-dropping-particle" : "", "parse-names" : false, "suffix" : "" }, { "dropping-particle" : "", "family" : "Dierks", "given" : "E. A.", "non-dropping-particle" : "", "parse-names" : false, "suffix" : "" }, { "dropping-particle" : "", "family" : "Zhang", "given" : "L.", "non-dropping-particle" : "", "parse-names" : false, "suffix" : "" }, { "dropping-particle" : "", "family" : "Chang", "given" : "S.", "non-dropping-particle" : "", "parse-names" : false, "suffix" : "" }, { "dropping-particle" : "", "family" : "Rodrigues", "given" : "A. D.", "non-dropping-particle" : "", "parse-names" : false, "suffix" : "" }, { "dropping-particle" : "", "family" : "Marathe", "given" : "P.", "non-dropping-particle" : "", "parse-names" : false, "suffix" : "" } ], "container-title" : "Drug Metabolism and Disposition", "id" : "ITEM-1", "issued" : { "date-parts" : [ [ "2011" ] ] }, "page" : "1674-1679", "title" : "1-Aminobenzotriazole, a known cytochrome P450 inhibitor, is a substrate and inhibitor of N-acetyltransferase", "type" : "article-journal", "volume" : "39" }, "uris" : [ "http://www.mendeley.com/documents/?uuid=cce0fb7e-f705-31a9-8731-23512e2af1ea", "http://www.mendeley.com/documents/?uuid=abccbf53-aa21-421a-9b50-0a0a88d9b90f" ] } ], "mendeley" : { "formattedCitation" : "(Sun et al. 2011)", "plainTextFormattedCitation" : "(Sun et al. 2011)", "previouslyFormattedCitation" : "(Sun et al. 2011)" }, "properties" : { "noteIndex" : 0 }, "schema" : "https://github.com/citation-style-language/schema/raw/master/csl-citation.json" }</w:instrText>
      </w:r>
      <w:r w:rsidR="005929BA" w:rsidRPr="00732562">
        <w:rPr>
          <w:sz w:val="24"/>
          <w:szCs w:val="24"/>
          <w:rtl/>
        </w:rPr>
        <w:fldChar w:fldCharType="separate"/>
      </w:r>
      <w:r w:rsidR="00644CEA" w:rsidRPr="00732562">
        <w:rPr>
          <w:noProof/>
          <w:sz w:val="24"/>
          <w:szCs w:val="24"/>
        </w:rPr>
        <w:t>(Sun et al. 2011)</w:t>
      </w:r>
      <w:r w:rsidR="005929BA" w:rsidRPr="00732562">
        <w:rPr>
          <w:sz w:val="24"/>
          <w:szCs w:val="24"/>
          <w:rtl/>
        </w:rPr>
        <w:fldChar w:fldCharType="end"/>
      </w:r>
      <w:r w:rsidR="005929BA" w:rsidRPr="00732562">
        <w:rPr>
          <w:rFonts w:hint="cs"/>
          <w:sz w:val="24"/>
          <w:szCs w:val="24"/>
          <w:rtl/>
        </w:rPr>
        <w:t xml:space="preserve"> ונמצא כמעכב את הריאקציה בפירוק החומר הרפואי </w:t>
      </w:r>
      <w:r w:rsidR="008F1816">
        <w:rPr>
          <w:rFonts w:hint="cs"/>
          <w:sz w:val="24"/>
          <w:szCs w:val="24"/>
        </w:rPr>
        <w:t>C</w:t>
      </w:r>
      <w:r w:rsidR="005929BA" w:rsidRPr="00732562">
        <w:rPr>
          <w:rFonts w:cs="Times New Roman"/>
          <w:sz w:val="24"/>
          <w:szCs w:val="24"/>
        </w:rPr>
        <w:t>arbamazepine</w:t>
      </w:r>
      <w:r w:rsidR="005929BA" w:rsidRPr="00732562">
        <w:rPr>
          <w:rFonts w:hint="cs"/>
          <w:sz w:val="24"/>
          <w:szCs w:val="24"/>
          <w:rtl/>
        </w:rPr>
        <w:t xml:space="preserve"> </w:t>
      </w:r>
      <w:r w:rsidR="005929BA" w:rsidRPr="00732562">
        <w:rPr>
          <w:sz w:val="24"/>
          <w:szCs w:val="24"/>
          <w:rtl/>
        </w:rPr>
        <w:fldChar w:fldCharType="begin" w:fldLock="1"/>
      </w:r>
      <w:r w:rsidR="00A223D6" w:rsidRPr="00732562">
        <w:rPr>
          <w:sz w:val="24"/>
          <w:szCs w:val="24"/>
        </w:rPr>
        <w:instrText>ADDIN CSL_CITATION { "citationItems" : [ { "id" : "ITEM-1", "itemData" : { "DOI" : "10.1021/es200298t", "ISBN" : "0013-936X", "PMID" : "21744850", "abstract" : "Carbamazepine (CBZ) is an environmentally recalcitrant compound highly stable in soil and during wastewater treatment. In this study, we examined the mechanisms by which the white-rot fungus Pleurotus ostreatus metabolizes CBZ in liquid culture using a physiological approach. P. ostreatus PC9 was grown in media known to support different levels of a multiplicity of enzyme systems such as cytochrome P450 (CYP450) and manganese peroxidase (MnP). When both CYP450 and MnP systems were active, 99% of the added CBZ was eliminated from the solution and transformed to 10,11-epoxycarbamazepine. High removal of CBZ was also obtained when either MnP or CYP450 was active. When both CYP450 and MnP were inactivated, only 10 to 30% of the added CBZ was removed. In this latter system, removal of CBZ might be partially attributed to the activity of versatile peroxidase. P. ostreatus was able to eliminate CBZ in liquid culture even when CBZ was added at an environmentally relevant concentration (1 \u03bcg L(-1)). On the basis of our study, we suggest that two families of enzymes are involved in the oxidation of CBZ in liquid culture: MnP in a Mn(2+)-dependent or independent manner and CYP450. Our study also highlights the potential of using P. ostreatus for bioremediation systems.", "author" : [ { "dropping-particle" : "", "family" : "Golan-Rozen", "given" : "Naama", "non-dropping-particle" : "", "parse-names" : false, "suffix" : "" }, { "dropping-particle" : "", "family" : "Chefetz", "given" : "Benny", "non-dropping-particle" : "", "parse-names" : false, "suffix" : "" }, { "dropping-particle" : "", "family" : "Ben-Ari", "given" : "Julius", "non-dropping-particle" : "", "parse-names" : false, "suffix" : "" }, { "dropping-particle" : "", "family" : "Geva", "given" : "Joseph", "non-dropping-particle" : "", "parse-names" : false, "suffix" : "" }, { "dropping-particle" : "", "family" : "Hadar", "given" : "Yitzhak", "non-dropping-particle" : "", "parse-names" : false, "suffix" : "" } ], "container-title" : "Environmental Science and Technology", "id" : "ITEM-1", "issued" : { "date-parts" : [ [ "2011" ] ] }, "page" : "6800-6805", "title" : "Transformation of the recalcitrant pharmaceutical compound carbamazepine by pleurotus ostreatus: Role of cytochrome P450 monooxygenase and manganese peroxidase", "type" : "article-journal", "volume" : "45" }, "uris" : [ "http://www.mendeley.com/documents/?uuid=6572bbae-e724-46ee-9ac6-740d9fc2ccf3", "http://www.mendeley.com/documents/?uuid=a2d817c3-779c-3c87-b001-1b1e85c5b15c" ] } ], "mendeley" : { "formattedCitation" : "(Golan-Rozen et al. 2011)", "plainTextFormattedCitation" : "(Golan-Rozen et al. 2011)", "previouslyFormattedCitation" : "(Golan-Rozen et al. 2011)" }, "properties" : { "noteIndex" : 0 }, "schema" : "https://github.com/citation-style-language/schema/raw/master/csl-citation.json" }</w:instrText>
      </w:r>
      <w:r w:rsidR="005929BA" w:rsidRPr="00732562">
        <w:rPr>
          <w:sz w:val="24"/>
          <w:szCs w:val="24"/>
          <w:rtl/>
        </w:rPr>
        <w:fldChar w:fldCharType="separate"/>
      </w:r>
      <w:r w:rsidR="00644CEA" w:rsidRPr="00732562">
        <w:rPr>
          <w:noProof/>
          <w:sz w:val="24"/>
          <w:szCs w:val="24"/>
        </w:rPr>
        <w:t>(Golan-Rozen et al. 2011)</w:t>
      </w:r>
      <w:r w:rsidR="005929BA" w:rsidRPr="00732562">
        <w:rPr>
          <w:sz w:val="24"/>
          <w:szCs w:val="24"/>
          <w:rtl/>
        </w:rPr>
        <w:fldChar w:fldCharType="end"/>
      </w:r>
      <w:r w:rsidR="005929BA" w:rsidRPr="00732562">
        <w:rPr>
          <w:rFonts w:hint="cs"/>
          <w:sz w:val="24"/>
          <w:szCs w:val="24"/>
          <w:rtl/>
        </w:rPr>
        <w:t xml:space="preserve">. </w:t>
      </w:r>
      <w:r w:rsidR="00C4511F" w:rsidRPr="00732562">
        <w:rPr>
          <w:rFonts w:hint="cs"/>
          <w:sz w:val="24"/>
          <w:szCs w:val="24"/>
          <w:rtl/>
        </w:rPr>
        <w:t xml:space="preserve">זאת </w:t>
      </w:r>
      <w:r w:rsidR="005929BA" w:rsidRPr="00732562">
        <w:rPr>
          <w:rFonts w:hint="cs"/>
          <w:sz w:val="24"/>
          <w:szCs w:val="24"/>
          <w:rtl/>
        </w:rPr>
        <w:t>כדי לבדוק האם משפחת אנזימים אלו מעורבים בריאקציה של פירוק ה-</w:t>
      </w:r>
      <w:r w:rsidR="00B00442">
        <w:rPr>
          <w:rFonts w:hint="cs"/>
          <w:sz w:val="24"/>
          <w:szCs w:val="24"/>
        </w:rPr>
        <w:t>L</w:t>
      </w:r>
      <w:r w:rsidR="008F1816" w:rsidRPr="008F1816">
        <w:rPr>
          <w:sz w:val="24"/>
          <w:szCs w:val="24"/>
        </w:rPr>
        <w:t>amotrigine</w:t>
      </w:r>
      <w:r w:rsidR="00C4511F" w:rsidRPr="00732562">
        <w:rPr>
          <w:rFonts w:hint="cs"/>
          <w:sz w:val="24"/>
          <w:szCs w:val="24"/>
          <w:rtl/>
        </w:rPr>
        <w:t>.</w:t>
      </w:r>
      <w:r w:rsidR="00452450" w:rsidRPr="00732562">
        <w:rPr>
          <w:rFonts w:hint="cs"/>
          <w:sz w:val="24"/>
          <w:szCs w:val="24"/>
          <w:rtl/>
        </w:rPr>
        <w:t xml:space="preserve"> בניסוי זה נמצא </w:t>
      </w:r>
      <w:r w:rsidR="00C4511F" w:rsidRPr="00732562">
        <w:rPr>
          <w:rFonts w:hint="cs"/>
          <w:sz w:val="24"/>
          <w:szCs w:val="24"/>
          <w:rtl/>
        </w:rPr>
        <w:t>עיכוב מלא של הריאקציה, אשר יכול</w:t>
      </w:r>
      <w:r w:rsidR="002C72B2" w:rsidRPr="00732562">
        <w:rPr>
          <w:rFonts w:hint="cs"/>
          <w:sz w:val="24"/>
          <w:szCs w:val="24"/>
          <w:rtl/>
        </w:rPr>
        <w:t xml:space="preserve"> לנבוע מריכוז גבוה של המעכב.</w:t>
      </w:r>
      <w:r w:rsidR="00452450" w:rsidRPr="00732562">
        <w:rPr>
          <w:rFonts w:hint="cs"/>
          <w:sz w:val="24"/>
          <w:szCs w:val="24"/>
          <w:rtl/>
        </w:rPr>
        <w:t xml:space="preserve"> עיכוב זה יכול לרמז שמשפחת </w:t>
      </w:r>
      <w:r w:rsidR="008E3940" w:rsidRPr="00732562">
        <w:rPr>
          <w:rFonts w:hint="cs"/>
          <w:sz w:val="24"/>
          <w:szCs w:val="24"/>
          <w:rtl/>
        </w:rPr>
        <w:t>אנזימי</w:t>
      </w:r>
      <w:r w:rsidR="00452450" w:rsidRPr="00732562">
        <w:rPr>
          <w:rFonts w:hint="cs"/>
          <w:sz w:val="24"/>
          <w:szCs w:val="24"/>
          <w:rtl/>
        </w:rPr>
        <w:t xml:space="preserve"> </w:t>
      </w:r>
      <w:r w:rsidR="008E3940" w:rsidRPr="00732562">
        <w:rPr>
          <w:rFonts w:hint="cs"/>
          <w:sz w:val="24"/>
          <w:szCs w:val="24"/>
        </w:rPr>
        <w:t>P</w:t>
      </w:r>
      <w:r w:rsidR="00452450" w:rsidRPr="00732562">
        <w:rPr>
          <w:sz w:val="24"/>
          <w:szCs w:val="24"/>
        </w:rPr>
        <w:t>40</w:t>
      </w:r>
      <w:r w:rsidR="00452450" w:rsidRPr="00732562">
        <w:rPr>
          <w:rFonts w:hint="cs"/>
          <w:sz w:val="24"/>
          <w:szCs w:val="24"/>
          <w:rtl/>
        </w:rPr>
        <w:t xml:space="preserve">  מעורב</w:t>
      </w:r>
      <w:r w:rsidR="008E3940" w:rsidRPr="00732562">
        <w:rPr>
          <w:rFonts w:hint="cs"/>
          <w:sz w:val="24"/>
          <w:szCs w:val="24"/>
          <w:rtl/>
        </w:rPr>
        <w:t>ים בריאקציה</w:t>
      </w:r>
      <w:r w:rsidR="002C72B2" w:rsidRPr="00732562">
        <w:rPr>
          <w:sz w:val="24"/>
          <w:szCs w:val="24"/>
        </w:rPr>
        <w:t xml:space="preserve"> </w:t>
      </w:r>
      <w:r w:rsidR="008E3940" w:rsidRPr="00732562">
        <w:rPr>
          <w:rFonts w:hint="cs"/>
          <w:sz w:val="24"/>
          <w:szCs w:val="24"/>
          <w:rtl/>
        </w:rPr>
        <w:t>(איור 3). ניסויים נוספים יעשו בנושא כאשר ייבדק המעכב בריכוזים שונים ויבדקו התוצרים המתקבלים בריאקציה.</w:t>
      </w:r>
    </w:p>
    <w:p w14:paraId="42672C0B" w14:textId="354B066A" w:rsidR="00553F81" w:rsidRPr="00732562" w:rsidRDefault="0056468E" w:rsidP="00406847">
      <w:pPr>
        <w:bidi/>
        <w:spacing w:after="0" w:line="360" w:lineRule="auto"/>
        <w:jc w:val="both"/>
        <w:rPr>
          <w:sz w:val="24"/>
          <w:szCs w:val="24"/>
          <w:rtl/>
        </w:rPr>
      </w:pPr>
      <w:r>
        <w:rPr>
          <w:rFonts w:hint="cs"/>
          <w:sz w:val="24"/>
          <w:szCs w:val="24"/>
          <w:rtl/>
        </w:rPr>
        <w:t xml:space="preserve">שנית, נבדק </w:t>
      </w:r>
      <w:r w:rsidR="008E3940" w:rsidRPr="00732562">
        <w:rPr>
          <w:rFonts w:hint="cs"/>
          <w:sz w:val="24"/>
          <w:szCs w:val="24"/>
          <w:rtl/>
        </w:rPr>
        <w:t xml:space="preserve">המעכב </w:t>
      </w:r>
      <w:r w:rsidR="00904D19" w:rsidRPr="00732562">
        <w:rPr>
          <w:sz w:val="24"/>
          <w:szCs w:val="24"/>
        </w:rPr>
        <w:t>8-Methoxypsoralen</w:t>
      </w:r>
      <w:r w:rsidR="00AA667D" w:rsidRPr="00732562">
        <w:rPr>
          <w:sz w:val="24"/>
          <w:szCs w:val="24"/>
        </w:rPr>
        <w:t xml:space="preserve"> (8-mop)</w:t>
      </w:r>
      <w:r w:rsidR="00904D19" w:rsidRPr="00732562">
        <w:rPr>
          <w:rFonts w:hint="cs"/>
          <w:sz w:val="24"/>
          <w:szCs w:val="24"/>
          <w:rtl/>
        </w:rPr>
        <w:t xml:space="preserve">, שהוא מעכב ספציפי </w:t>
      </w:r>
      <w:r w:rsidR="002C72B2" w:rsidRPr="00732562">
        <w:rPr>
          <w:rFonts w:hint="cs"/>
          <w:sz w:val="24"/>
          <w:szCs w:val="24"/>
          <w:rtl/>
        </w:rPr>
        <w:t>של</w:t>
      </w:r>
      <w:r w:rsidR="00553F81" w:rsidRPr="00732562">
        <w:rPr>
          <w:rFonts w:hint="cs"/>
          <w:sz w:val="24"/>
          <w:szCs w:val="24"/>
          <w:rtl/>
        </w:rPr>
        <w:t xml:space="preserve"> ה</w:t>
      </w:r>
      <w:r w:rsidR="00904D19" w:rsidRPr="00732562">
        <w:rPr>
          <w:rFonts w:hint="cs"/>
          <w:sz w:val="24"/>
          <w:szCs w:val="24"/>
          <w:rtl/>
        </w:rPr>
        <w:t>איזומר</w:t>
      </w:r>
      <w:r w:rsidR="00553F81" w:rsidRPr="00732562">
        <w:rPr>
          <w:rFonts w:hint="cs"/>
          <w:sz w:val="24"/>
          <w:szCs w:val="24"/>
          <w:rtl/>
        </w:rPr>
        <w:t xml:space="preserve"> בתת-משפחה של האנזים</w:t>
      </w:r>
      <w:r w:rsidR="00904D19" w:rsidRPr="00732562">
        <w:rPr>
          <w:rFonts w:hint="cs"/>
          <w:sz w:val="24"/>
          <w:szCs w:val="24"/>
          <w:rtl/>
        </w:rPr>
        <w:t xml:space="preserve"> </w:t>
      </w:r>
      <w:r w:rsidR="00553F81" w:rsidRPr="00732562">
        <w:rPr>
          <w:rFonts w:hint="cs"/>
          <w:sz w:val="24"/>
          <w:szCs w:val="24"/>
        </w:rPr>
        <w:t>P</w:t>
      </w:r>
      <w:r w:rsidR="00904D19" w:rsidRPr="00732562">
        <w:rPr>
          <w:sz w:val="24"/>
          <w:szCs w:val="24"/>
        </w:rPr>
        <w:t>450-2A6</w:t>
      </w:r>
      <w:r w:rsidR="00553F81" w:rsidRPr="00732562">
        <w:rPr>
          <w:rFonts w:hint="cs"/>
          <w:sz w:val="24"/>
          <w:szCs w:val="24"/>
          <w:rtl/>
        </w:rPr>
        <w:t xml:space="preserve"> </w:t>
      </w:r>
      <w:r w:rsidR="00553F81" w:rsidRPr="00732562">
        <w:rPr>
          <w:sz w:val="24"/>
          <w:szCs w:val="24"/>
          <w:rtl/>
        </w:rPr>
        <w:fldChar w:fldCharType="begin" w:fldLock="1"/>
      </w:r>
      <w:r w:rsidR="00A223D6" w:rsidRPr="00732562">
        <w:rPr>
          <w:sz w:val="24"/>
          <w:szCs w:val="24"/>
        </w:rPr>
        <w:instrText>ADDIN CSL_CITATION { "citationItems" : [ { "id" : "ITEM-1", "itemData" : { "DOI" : "10.1371/journal.pone.0086230", "PMID" : "24475091", "abstract" : "Human cytochrome P450 2A6 (CYP2A6) is a highly polymorphic isoform of CYP2A subfamily. Our previous kinetic study on four CYP2A6 allelic variants (CYP2A6 15, CYP2A6 16, CYP2A6 21 and CYP2A6 22) have unveiled the functional significance of sequence mutations in these variants on coumarin 7-hydroxylation activity. In the present study, we further explored the ability of a typical CYP2A6 inhibitor, 8-methoxypsoralen (8-MOP), in inhibition of these alleles and we hypothesized that translational mutations in these variants are likely to give impact on 8-MOP inhibitory potency. The CYP2A6 variant and the wild type proteins were subjected to 8-MOP inhibition to yield IC50 values. In general, a similar trend of change in the IC50 and Km values was noted among the four mutants towards coumarin oxidation. With the exception of CYP2A6 16, differences in IC50 values were highly significant which implied compromised interaction of the mutants with 8-MOP. Molecular models of CYP2A6 were subsequently constructed and ligand-docking experiments were performed to rationalize experimental data. Our docking study has shown that mutations have induced enlargement of the active site volume in all mutants with the exception of CYP2A6 16. Furthermore, loss of hydrogen bond between 8-MOP and active site residue Asn297 was evidenced in all mutants. Our data indicate that the structural changes elicited by the sequence mutations could affect 8-MOP binding to yield differential enzymatic activities in the mutant CYP2A6 proteins.", "author" : [ { "dropping-particle" : "", "family" : "Tiong", "given" : "Kai Hung", "non-dropping-particle" : "", "parse-names" : false, "suffix" : "" }, { "dropping-particle" : "", "family" : "Yunus", "given" : "Nafees Ahemad Mohammed", "non-dropping-particle" : "", "parse-names" : false, "suffix" : "" }, { "dropping-particle" : "", "family" : "Yiap", "given" : "Beow Chin", "non-dropping-particle" : "", "parse-names" : false, "suffix" : "" }, { "dropping-particle" : "", "family" : "Tan", "given" : "Eng Lai", "non-dropping-particle" : "", "parse-names" : false, "suffix" : "" }, { "dropping-particle" : "", "family" : "Ismail", "given" : "Rusli", "non-dropping-particle" : "", "parse-names" : false, "suffix" : "" }, { "dropping-particle" : "", "family" : "Ong", "given" : "Chin Eng", "non-dropping-particle" : "", "parse-names" : false, "suffix" : "" } ], "container-title" : "PLoS ONE", "id" : "ITEM-1", "issue" : "1", "issued" : { "date-parts" : [ [ "2014" ] ] }, "page" : "e86230", "title" : "Inhibitory potency of 8-methoxypsoralen on cytochrome P450 2A6 (CYP2A6) allelic variants CYP2A6*15, CYP2A6*16, CYP2A6*21 and CYP2A6*22: Differential susceptibility due to different sequence locations of the mutations", "type" : "article-journal", "volume" : "9" }, "uris" : [ "http://www.mendeley.com/documents/?uuid=80538715-a865-373b-866b-3defc1ec9fc0", "http://www.mendeley.com/documents/?uuid=c018706b-eefe-40fc-98a8-82cdda95ac2f" ] } ], "mendeley" : { "formattedCitation" : "(Tiong et al. 2014)", "plainTextFormattedCitation" : "(Tiong et al. 2014)", "previouslyFormattedCitation" : "(Tiong et al. 2014)" }, "properties" : { "noteIndex" : 0 }, "schema" : "https://github.com/citation-style-language/schema/raw/master/csl-citation.json" }</w:instrText>
      </w:r>
      <w:r w:rsidR="00553F81" w:rsidRPr="00732562">
        <w:rPr>
          <w:sz w:val="24"/>
          <w:szCs w:val="24"/>
          <w:rtl/>
        </w:rPr>
        <w:fldChar w:fldCharType="separate"/>
      </w:r>
      <w:r w:rsidR="00644CEA" w:rsidRPr="00732562">
        <w:rPr>
          <w:noProof/>
          <w:sz w:val="24"/>
          <w:szCs w:val="24"/>
        </w:rPr>
        <w:t>(Tiong et al. 2014)</w:t>
      </w:r>
      <w:r w:rsidR="00553F81" w:rsidRPr="00732562">
        <w:rPr>
          <w:sz w:val="24"/>
          <w:szCs w:val="24"/>
          <w:rtl/>
        </w:rPr>
        <w:fldChar w:fldCharType="end"/>
      </w:r>
      <w:r w:rsidR="00553F81" w:rsidRPr="00732562">
        <w:rPr>
          <w:rFonts w:hint="cs"/>
          <w:sz w:val="24"/>
          <w:szCs w:val="24"/>
          <w:rtl/>
        </w:rPr>
        <w:t xml:space="preserve">, אשר נמצא מעורב במסלול המטבוליטים של </w:t>
      </w:r>
      <w:r w:rsidR="00B00442">
        <w:rPr>
          <w:rFonts w:hint="cs"/>
          <w:sz w:val="24"/>
          <w:szCs w:val="24"/>
        </w:rPr>
        <w:t>L</w:t>
      </w:r>
      <w:r w:rsidR="00B00442">
        <w:rPr>
          <w:sz w:val="24"/>
          <w:szCs w:val="24"/>
        </w:rPr>
        <w:t>amotrigine</w:t>
      </w:r>
      <w:r w:rsidR="00553F81" w:rsidRPr="00732562">
        <w:rPr>
          <w:rFonts w:hint="cs"/>
          <w:sz w:val="24"/>
          <w:szCs w:val="24"/>
          <w:rtl/>
        </w:rPr>
        <w:t xml:space="preserve"> ביונקים </w:t>
      </w:r>
      <w:r w:rsidR="00553F81" w:rsidRPr="00732562">
        <w:rPr>
          <w:sz w:val="24"/>
          <w:szCs w:val="24"/>
          <w:rtl/>
        </w:rPr>
        <w:fldChar w:fldCharType="begin" w:fldLock="1"/>
      </w:r>
      <w:r w:rsidR="00A223D6" w:rsidRPr="00732562">
        <w:rPr>
          <w:sz w:val="24"/>
          <w:szCs w:val="24"/>
        </w:rPr>
        <w:instrText>ADDIN CSL_CITATION { "citationItems" : [ { "id" : "ITEM-1", "itemData" : { "DOI" : "10.1021/tx9003243", "abstract" : "Previous studies suggested that lamotrigene (LTG) underwent bioactivation to a reactive aryl epoxide intermediate in rats. Nevertheless, definitive structures of these thioether conjugates, which are often needed to substantiate the mechanism of bioactivation and identity of reactive intermediate(s), were not fully established. In the present study, GSH, cysteinylglycine, and N-acetyl cysteine conjugates of LTG were isolated from bile of rats orally dosed with LTG (100 mg/kg), and their structures were fully elucidated by LC/MS and NMR. The definitive structural characterization of these metabolites provided evidence for the existence of a reactive aryl epoxide that was trapped as a GSH adduct. In vitro studies using various hepatic cellular and subcellular fractions obtained from human and rat were performed to demonstrate that LTG underwent bioactivation to form a GSH conjugate that was identical to the one initially characterized from in vivo studies. Human P450 2A6 and rat P450 2C11 appeared to be the primary enzymes activating LTG in human and rat liver microsomes, respectively. Interindividual variation in the bioactivation of LTG was demonstrated with 20 individual human liver microsomes. Furthermore, it was shown that human epidermal keratinocytes were capable of forming the same GSH conjugate, suggesting that LTG could be bioactivated in skin cells. The results from these studies suggest that LTG has the potential to undergo hepatic and nonhepatic bioactivation, leading to a reactive aryl epoxide intermediate in human. The bioactivation of LTG in epidermal cells provides a possible explanation for the idiosyncratic cutaneous reactions associated with LTG therapy.", "author" : [ { "dropping-particle" : "", "family" : "Hao Chen, Scott Grover, Linning Yu", "given" : "Gregory Walker and Abdul Mutlib", "non-dropping-particle" : "", "parse-names" : false, "suffix" : "" } ], "container-title" : "Chemical Research in Toxicology", "id" : "ITEM-1", "issue" : "1", "issued" : { "date-parts" : [ [ "2010" ] ] }, "page" : "159-170", "title" : "Bioactivation of Lamotrigine in Vivo in Rat and in Vitro in Human Liver Microsomes, Hepatocytes, and Epidermal Keratinocytes: Characterization of Thioether Conjugates by Liquid Chromatography", "type" : "article-journal", "volume" : "23" }, "uris" : [ "http://www.mendeley.com/documents/?uuid=0c976057-6cac-49ce-a07d-d5d77e606643", "http://www.mendeley.com/documents/?uuid=720322fa-42dd-3711-afab-bd013b84181b" ] } ], "mendeley" : { "formattedCitation" : "(Hao Chen, Scott Grover, Linning Yu 2010)", "plainTextFormattedCitation" : "(Hao Chen, Scott Grover, Linning Yu 2010)", "previouslyFormattedCitation" : "(Hao Chen, Scott Grover, Linning Yu 2010)" }, "properties" : { "noteIndex" : 0 }, "schema" : "https://github.com/citation-style-language/schema/raw/master/csl-citation.json" }</w:instrText>
      </w:r>
      <w:r w:rsidR="00553F81" w:rsidRPr="00732562">
        <w:rPr>
          <w:sz w:val="24"/>
          <w:szCs w:val="24"/>
          <w:rtl/>
        </w:rPr>
        <w:fldChar w:fldCharType="separate"/>
      </w:r>
      <w:r w:rsidR="00644CEA" w:rsidRPr="00732562">
        <w:rPr>
          <w:noProof/>
          <w:sz w:val="24"/>
          <w:szCs w:val="24"/>
        </w:rPr>
        <w:t>(Hao Chen, Scott Grover, Linning Yu 2010)</w:t>
      </w:r>
      <w:r w:rsidR="00553F81" w:rsidRPr="00732562">
        <w:rPr>
          <w:sz w:val="24"/>
          <w:szCs w:val="24"/>
          <w:rtl/>
        </w:rPr>
        <w:fldChar w:fldCharType="end"/>
      </w:r>
      <w:r w:rsidR="002C72B2" w:rsidRPr="00732562">
        <w:rPr>
          <w:rFonts w:hint="cs"/>
          <w:sz w:val="24"/>
          <w:szCs w:val="24"/>
          <w:rtl/>
        </w:rPr>
        <w:t>. בניסוי זה נמצא גם כ</w:t>
      </w:r>
      <w:r w:rsidR="00553F81" w:rsidRPr="00732562">
        <w:rPr>
          <w:rFonts w:hint="cs"/>
          <w:sz w:val="24"/>
          <w:szCs w:val="24"/>
          <w:rtl/>
        </w:rPr>
        <w:t>ן עיכוב משמעותי בפירוק ה-</w:t>
      </w:r>
      <w:r w:rsidR="00B00442">
        <w:rPr>
          <w:rFonts w:hint="cs"/>
          <w:sz w:val="24"/>
          <w:szCs w:val="24"/>
        </w:rPr>
        <w:t>L</w:t>
      </w:r>
      <w:r w:rsidR="00B00442">
        <w:rPr>
          <w:sz w:val="24"/>
          <w:szCs w:val="24"/>
        </w:rPr>
        <w:t>amotrigine</w:t>
      </w:r>
      <w:r w:rsidR="00553F81" w:rsidRPr="00732562">
        <w:rPr>
          <w:rFonts w:hint="cs"/>
          <w:sz w:val="24"/>
          <w:szCs w:val="24"/>
          <w:rtl/>
        </w:rPr>
        <w:t xml:space="preserve"> כאשר המעכב נבדק בשני ריכוזים שונים (איור 3)</w:t>
      </w:r>
      <w:r w:rsidR="002C72B2" w:rsidRPr="00732562">
        <w:rPr>
          <w:rFonts w:hint="cs"/>
          <w:sz w:val="24"/>
          <w:szCs w:val="24"/>
          <w:rtl/>
        </w:rPr>
        <w:t>.</w:t>
      </w:r>
      <w:r w:rsidR="00553F81" w:rsidRPr="00732562">
        <w:rPr>
          <w:rFonts w:hint="cs"/>
          <w:sz w:val="24"/>
          <w:szCs w:val="24"/>
          <w:rtl/>
        </w:rPr>
        <w:t xml:space="preserve"> גם כאן ישנו רמז </w:t>
      </w:r>
      <w:r w:rsidR="0012240E" w:rsidRPr="00732562">
        <w:rPr>
          <w:rFonts w:hint="cs"/>
          <w:sz w:val="24"/>
          <w:szCs w:val="24"/>
          <w:rtl/>
        </w:rPr>
        <w:t>למעורבות</w:t>
      </w:r>
      <w:r w:rsidR="002C72B2" w:rsidRPr="00732562">
        <w:rPr>
          <w:rFonts w:hint="cs"/>
          <w:sz w:val="24"/>
          <w:szCs w:val="24"/>
          <w:rtl/>
        </w:rPr>
        <w:t>ה של תת משפחת אנזימים זו. בהמשך</w:t>
      </w:r>
      <w:r w:rsidR="0012240E" w:rsidRPr="00732562">
        <w:rPr>
          <w:rFonts w:hint="cs"/>
          <w:sz w:val="24"/>
          <w:szCs w:val="24"/>
          <w:rtl/>
        </w:rPr>
        <w:t xml:space="preserve"> </w:t>
      </w:r>
      <w:r w:rsidR="00DF30FE">
        <w:rPr>
          <w:rFonts w:hint="cs"/>
          <w:sz w:val="24"/>
          <w:szCs w:val="24"/>
          <w:rtl/>
        </w:rPr>
        <w:t>ייבדק</w:t>
      </w:r>
      <w:r w:rsidR="002D58F3">
        <w:rPr>
          <w:rFonts w:hint="cs"/>
          <w:sz w:val="24"/>
          <w:szCs w:val="24"/>
          <w:rtl/>
        </w:rPr>
        <w:t xml:space="preserve"> </w:t>
      </w:r>
      <w:r w:rsidR="0012240E" w:rsidRPr="00732562">
        <w:rPr>
          <w:rFonts w:hint="cs"/>
          <w:sz w:val="24"/>
          <w:szCs w:val="24"/>
          <w:rtl/>
        </w:rPr>
        <w:t>האם יש שוני בתוצרים המתקבלים תחת מעכב זה.</w:t>
      </w:r>
    </w:p>
    <w:p w14:paraId="0B117A1E" w14:textId="3443F0A4" w:rsidR="007B68FC" w:rsidRPr="00732562" w:rsidRDefault="002C72B2" w:rsidP="00406847">
      <w:pPr>
        <w:bidi/>
        <w:spacing w:after="0" w:line="360" w:lineRule="auto"/>
        <w:jc w:val="both"/>
        <w:rPr>
          <w:sz w:val="24"/>
          <w:szCs w:val="24"/>
          <w:rtl/>
        </w:rPr>
      </w:pPr>
      <w:r w:rsidRPr="00732562">
        <w:rPr>
          <w:rFonts w:hint="cs"/>
          <w:sz w:val="24"/>
          <w:szCs w:val="24"/>
          <w:rtl/>
        </w:rPr>
        <w:t>בנוסף,</w:t>
      </w:r>
      <w:r w:rsidR="007B68FC" w:rsidRPr="00732562">
        <w:rPr>
          <w:rFonts w:hint="cs"/>
          <w:sz w:val="24"/>
          <w:szCs w:val="24"/>
          <w:rtl/>
        </w:rPr>
        <w:t xml:space="preserve"> </w:t>
      </w:r>
      <w:r w:rsidR="0056468E">
        <w:rPr>
          <w:rFonts w:hint="cs"/>
          <w:sz w:val="24"/>
          <w:szCs w:val="24"/>
          <w:rtl/>
        </w:rPr>
        <w:t>נבדק</w:t>
      </w:r>
      <w:r w:rsidR="007B68FC" w:rsidRPr="00732562">
        <w:rPr>
          <w:rFonts w:hint="cs"/>
          <w:sz w:val="24"/>
          <w:szCs w:val="24"/>
          <w:rtl/>
        </w:rPr>
        <w:t xml:space="preserve"> האם הכנסה של </w:t>
      </w:r>
      <w:r w:rsidR="007B68FC" w:rsidRPr="00732562">
        <w:rPr>
          <w:rFonts w:cstheme="majorBidi"/>
          <w:sz w:val="24"/>
          <w:szCs w:val="24"/>
        </w:rPr>
        <w:t>benzoic acid</w:t>
      </w:r>
      <w:r w:rsidR="007B68FC" w:rsidRPr="00732562">
        <w:rPr>
          <w:rFonts w:cstheme="majorBidi"/>
          <w:sz w:val="24"/>
          <w:szCs w:val="24"/>
          <w:rtl/>
        </w:rPr>
        <w:t xml:space="preserve"> (</w:t>
      </w:r>
      <w:r w:rsidR="007B68FC" w:rsidRPr="00732562">
        <w:rPr>
          <w:rFonts w:cstheme="majorBidi"/>
          <w:sz w:val="24"/>
          <w:szCs w:val="24"/>
        </w:rPr>
        <w:t>A</w:t>
      </w:r>
      <w:r w:rsidR="007B68FC" w:rsidRPr="00732562">
        <w:rPr>
          <w:rFonts w:cstheme="majorBidi"/>
          <w:sz w:val="24"/>
          <w:szCs w:val="24"/>
          <w:rtl/>
        </w:rPr>
        <w:t>.</w:t>
      </w:r>
      <w:r w:rsidR="007B68FC" w:rsidRPr="00732562">
        <w:rPr>
          <w:rFonts w:cstheme="majorBidi"/>
          <w:sz w:val="24"/>
          <w:szCs w:val="24"/>
        </w:rPr>
        <w:t>B</w:t>
      </w:r>
      <w:r w:rsidR="007B68FC" w:rsidRPr="00732562">
        <w:rPr>
          <w:rFonts w:cstheme="majorBidi"/>
          <w:sz w:val="24"/>
          <w:szCs w:val="24"/>
          <w:rtl/>
        </w:rPr>
        <w:t>)</w:t>
      </w:r>
      <w:r w:rsidR="00232165" w:rsidRPr="00732562">
        <w:rPr>
          <w:rFonts w:cstheme="majorBidi" w:hint="cs"/>
          <w:sz w:val="24"/>
          <w:szCs w:val="24"/>
          <w:rtl/>
        </w:rPr>
        <w:t xml:space="preserve"> </w:t>
      </w:r>
      <w:r w:rsidR="00232165" w:rsidRPr="00732562">
        <w:rPr>
          <w:rFonts w:hint="cs"/>
          <w:sz w:val="24"/>
          <w:szCs w:val="24"/>
          <w:rtl/>
        </w:rPr>
        <w:t>לאינקובציה של</w:t>
      </w:r>
      <w:r w:rsidR="00232165" w:rsidRPr="00732562">
        <w:rPr>
          <w:rFonts w:cstheme="majorBidi" w:hint="cs"/>
          <w:sz w:val="24"/>
          <w:szCs w:val="24"/>
          <w:rtl/>
        </w:rPr>
        <w:t xml:space="preserve"> </w:t>
      </w:r>
      <w:r w:rsidR="00232165" w:rsidRPr="00732562">
        <w:rPr>
          <w:rFonts w:cstheme="majorBidi"/>
          <w:i/>
          <w:iCs/>
          <w:sz w:val="24"/>
          <w:szCs w:val="24"/>
        </w:rPr>
        <w:t>P. ostreatus</w:t>
      </w:r>
      <w:r w:rsidR="00232165" w:rsidRPr="00732562">
        <w:rPr>
          <w:rFonts w:cstheme="majorBidi" w:hint="cs"/>
          <w:i/>
          <w:iCs/>
          <w:sz w:val="24"/>
          <w:szCs w:val="24"/>
          <w:rtl/>
        </w:rPr>
        <w:t xml:space="preserve"> </w:t>
      </w:r>
      <w:r w:rsidR="00232165" w:rsidRPr="00732562">
        <w:rPr>
          <w:rFonts w:hint="cs"/>
          <w:sz w:val="24"/>
          <w:szCs w:val="24"/>
          <w:rtl/>
        </w:rPr>
        <w:t xml:space="preserve">עם </w:t>
      </w:r>
      <w:r w:rsidR="00B00442">
        <w:rPr>
          <w:rFonts w:hint="cs"/>
          <w:sz w:val="24"/>
          <w:szCs w:val="24"/>
        </w:rPr>
        <w:t>L</w:t>
      </w:r>
      <w:r w:rsidR="00B00442">
        <w:rPr>
          <w:sz w:val="24"/>
          <w:szCs w:val="24"/>
        </w:rPr>
        <w:t>amotrigine</w:t>
      </w:r>
      <w:r w:rsidRPr="00732562">
        <w:rPr>
          <w:rFonts w:hint="cs"/>
          <w:sz w:val="24"/>
          <w:szCs w:val="24"/>
          <w:rtl/>
        </w:rPr>
        <w:t>,</w:t>
      </w:r>
      <w:r w:rsidR="00232165" w:rsidRPr="00732562">
        <w:rPr>
          <w:rFonts w:cstheme="majorBidi" w:hint="cs"/>
          <w:i/>
          <w:iCs/>
          <w:sz w:val="24"/>
          <w:szCs w:val="24"/>
          <w:rtl/>
        </w:rPr>
        <w:t xml:space="preserve"> </w:t>
      </w:r>
      <w:r w:rsidR="007B68FC" w:rsidRPr="00732562">
        <w:rPr>
          <w:rFonts w:hint="cs"/>
          <w:sz w:val="24"/>
          <w:szCs w:val="24"/>
          <w:rtl/>
        </w:rPr>
        <w:t xml:space="preserve">אשר דווחה כמבצעת אינדוקציה לאנזימי </w:t>
      </w:r>
      <w:r w:rsidR="007B68FC" w:rsidRPr="00732562">
        <w:rPr>
          <w:rFonts w:cstheme="majorBidi"/>
          <w:sz w:val="24"/>
          <w:szCs w:val="24"/>
        </w:rPr>
        <w:t>P450</w:t>
      </w:r>
      <w:r w:rsidR="007B68FC" w:rsidRPr="00732562">
        <w:rPr>
          <w:rFonts w:hint="cs"/>
          <w:sz w:val="24"/>
          <w:szCs w:val="24"/>
          <w:rtl/>
        </w:rPr>
        <w:t xml:space="preserve"> </w:t>
      </w:r>
      <w:r w:rsidR="00232165" w:rsidRPr="00732562">
        <w:rPr>
          <w:rFonts w:cstheme="majorBidi"/>
          <w:sz w:val="24"/>
          <w:szCs w:val="24"/>
          <w:rtl/>
        </w:rPr>
        <w:fldChar w:fldCharType="begin" w:fldLock="1"/>
      </w:r>
      <w:r w:rsidR="00A223D6" w:rsidRPr="00732562">
        <w:rPr>
          <w:rFonts w:cstheme="majorBidi"/>
          <w:sz w:val="24"/>
          <w:szCs w:val="24"/>
        </w:rPr>
        <w:instrText>ADDIN CSL_CITATION { "citationItems" : [ { "id" : "ITEM-1", "itemData" : { "DOI" : "10.1007/s10532-009-9301-z", "ISBN" : "0923-9820", "PMID" : "19787435", "abstract" : "The white rot fungus Phanerochaete chrysosporium has the largest cytochrome P450 contingent known to date in fungi, but the study on the function of these P450s is limited. In this study, induction of functional P450 in P. chrysosporium was first shown and P450-mediate degradation of benzoic acid was demonstrated in this fungus. Carbon monoxide difference spectra indicated significant induction of P450 by benzoic acid, m-chlorobenzoic acid, p-chlorobenzoic acid and n-hexane, and showed the effect of inducer concentration and nutrient condition on the induction of P450. The high contents of P450 in the microsomal fractions facilitated the study on the function of P450. While the n-hexane-induced P450 could not interact with benzoic acid, the microsomal P450 induced by benzoic acid produced type I substrate binding spectra upon the addition of benzoic acid. The benzoic acid degradation by the microsomal P450 was NADPH-dependent at a specific rate of 194 +/- 14 min(-1), and significantly inhibited by piperonyl butoxide (a P450 inhibitor). However, inhibition of benzoic acid degradation by piperonyl butoxide was slight or not detectable in the cultures of this fungus, suggesting presumable involvement of other enzyme in benzoic acid degradation. The extracellular ligninolytic enzymes, lignin peroxidase and manganese-dependent peroxidase, were not involved in initial metabolism of benzoic acid under the test conditions.", "author" : [ { "dropping-particle" : "", "family" : "Ning", "given" : "Daliang", "non-dropping-particle" : "", "parse-names" : false, "suffix" : "" }, { "dropping-particle" : "", "family" : "Wang", "given" : "Hui", "non-dropping-particle" : "", "parse-names" : false, "suffix" : "" }, { "dropping-particle" : "", "family" : "Zhuang", "given" : "Yuan", "non-dropping-particle" : "", "parse-names" : false, "suffix" : "" } ], "container-title" : "Biodegradation", "id" : "ITEM-1", "issued" : { "date-parts" : [ [ "2010" ] ] }, "page" : "297-308", "title" : "Induction of functional cytochrome P450 and its involvement in degradation of benzoic acid by Phanerochaete chrysosporium", "type" : "article-journal", "volume" : "21" }, "uris" : [ "http://www.mendeley.com/documents/?uuid=578c5d33-2242-39af-bae0-db57f18443d2", "http://www.mendeley.com/documents/?uuid=0a2980e9-3164-4271-8acc-70ace7355695" ] } ], "mendeley" : { "formattedCitation" : "(Ning et al. 2010)", "plainTextFormattedCitation" : "(Ning et al. 2010)", "previouslyFormattedCitation" : "(Ning et al. 2010)" }, "properties" : { "noteIndex" : 0 }, "schema" : "https://github.com/citation-style-language/schema/raw/master/csl-citation.json" }</w:instrText>
      </w:r>
      <w:r w:rsidR="00232165" w:rsidRPr="00732562">
        <w:rPr>
          <w:rFonts w:cstheme="majorBidi"/>
          <w:sz w:val="24"/>
          <w:szCs w:val="24"/>
          <w:rtl/>
        </w:rPr>
        <w:fldChar w:fldCharType="separate"/>
      </w:r>
      <w:r w:rsidR="00644CEA" w:rsidRPr="00732562">
        <w:rPr>
          <w:rFonts w:cstheme="majorBidi"/>
          <w:noProof/>
          <w:sz w:val="24"/>
          <w:szCs w:val="24"/>
        </w:rPr>
        <w:t>(Ning et al. 2010)</w:t>
      </w:r>
      <w:r w:rsidR="00232165" w:rsidRPr="00732562">
        <w:rPr>
          <w:rFonts w:cstheme="majorBidi"/>
          <w:sz w:val="24"/>
          <w:szCs w:val="24"/>
          <w:rtl/>
        </w:rPr>
        <w:fldChar w:fldCharType="end"/>
      </w:r>
      <w:r w:rsidR="00A71B36" w:rsidRPr="00732562">
        <w:rPr>
          <w:sz w:val="24"/>
          <w:szCs w:val="24"/>
          <w:rtl/>
        </w:rPr>
        <w:t>,</w:t>
      </w:r>
      <w:r w:rsidR="00232165" w:rsidRPr="00732562">
        <w:rPr>
          <w:rFonts w:hint="cs"/>
          <w:sz w:val="24"/>
          <w:szCs w:val="24"/>
          <w:rtl/>
        </w:rPr>
        <w:t xml:space="preserve"> תגרום</w:t>
      </w:r>
      <w:r w:rsidR="007B68FC" w:rsidRPr="00732562">
        <w:rPr>
          <w:rFonts w:hint="cs"/>
          <w:sz w:val="24"/>
          <w:szCs w:val="24"/>
          <w:rtl/>
        </w:rPr>
        <w:t xml:space="preserve"> </w:t>
      </w:r>
      <w:r w:rsidR="00232165" w:rsidRPr="00732562">
        <w:rPr>
          <w:rFonts w:hint="cs"/>
          <w:sz w:val="24"/>
          <w:szCs w:val="24"/>
          <w:rtl/>
        </w:rPr>
        <w:t>ל</w:t>
      </w:r>
      <w:r w:rsidR="007B68FC" w:rsidRPr="00732562">
        <w:rPr>
          <w:rFonts w:hint="cs"/>
          <w:sz w:val="24"/>
          <w:szCs w:val="24"/>
          <w:rtl/>
        </w:rPr>
        <w:t>פירוק מוגבר</w:t>
      </w:r>
      <w:r w:rsidR="00232165" w:rsidRPr="00732562">
        <w:rPr>
          <w:rFonts w:hint="cs"/>
          <w:sz w:val="24"/>
          <w:szCs w:val="24"/>
          <w:rtl/>
        </w:rPr>
        <w:t xml:space="preserve">. בניסוי זה נמצא כי </w:t>
      </w:r>
      <w:r w:rsidR="00232165" w:rsidRPr="00732562">
        <w:rPr>
          <w:rFonts w:cstheme="majorBidi"/>
          <w:sz w:val="24"/>
          <w:szCs w:val="24"/>
        </w:rPr>
        <w:t>A</w:t>
      </w:r>
      <w:r w:rsidR="00232165" w:rsidRPr="00732562">
        <w:rPr>
          <w:rFonts w:cstheme="majorBidi"/>
          <w:sz w:val="24"/>
          <w:szCs w:val="24"/>
          <w:rtl/>
        </w:rPr>
        <w:t>.</w:t>
      </w:r>
      <w:r w:rsidR="00232165" w:rsidRPr="00732562">
        <w:rPr>
          <w:rFonts w:cstheme="majorBidi"/>
          <w:sz w:val="24"/>
          <w:szCs w:val="24"/>
        </w:rPr>
        <w:t>B</w:t>
      </w:r>
      <w:r w:rsidR="00232165" w:rsidRPr="00732562">
        <w:rPr>
          <w:rFonts w:hint="cs"/>
          <w:sz w:val="24"/>
          <w:szCs w:val="24"/>
          <w:rtl/>
        </w:rPr>
        <w:t xml:space="preserve"> שימשה כמעכב לריאקציה, דבר היכול לנבוע מהוספה של </w:t>
      </w:r>
      <w:r w:rsidR="00232165" w:rsidRPr="00732562">
        <w:rPr>
          <w:rFonts w:cstheme="majorBidi"/>
          <w:sz w:val="24"/>
          <w:szCs w:val="24"/>
        </w:rPr>
        <w:t>A</w:t>
      </w:r>
      <w:r w:rsidR="00232165" w:rsidRPr="00732562">
        <w:rPr>
          <w:rFonts w:cstheme="majorBidi"/>
          <w:sz w:val="24"/>
          <w:szCs w:val="24"/>
          <w:rtl/>
        </w:rPr>
        <w:t>.</w:t>
      </w:r>
      <w:r w:rsidR="00232165" w:rsidRPr="00732562">
        <w:rPr>
          <w:rFonts w:cstheme="majorBidi"/>
          <w:sz w:val="24"/>
          <w:szCs w:val="24"/>
        </w:rPr>
        <w:t>B</w:t>
      </w:r>
      <w:r w:rsidR="00232165" w:rsidRPr="00732562">
        <w:rPr>
          <w:rFonts w:hint="cs"/>
          <w:sz w:val="24"/>
          <w:szCs w:val="24"/>
          <w:rtl/>
        </w:rPr>
        <w:t xml:space="preserve"> בריכוז גבוה. אמשיך לבדוק האם ישנה השפעה של </w:t>
      </w:r>
      <w:r w:rsidR="00232165" w:rsidRPr="00732562">
        <w:rPr>
          <w:sz w:val="24"/>
          <w:szCs w:val="24"/>
          <w:rtl/>
        </w:rPr>
        <w:t>ה</w:t>
      </w:r>
      <w:r w:rsidR="00232165" w:rsidRPr="00732562">
        <w:rPr>
          <w:rFonts w:cstheme="majorBidi"/>
          <w:sz w:val="24"/>
          <w:szCs w:val="24"/>
        </w:rPr>
        <w:t>A</w:t>
      </w:r>
      <w:r w:rsidR="00A71B36" w:rsidRPr="00732562">
        <w:rPr>
          <w:rFonts w:cstheme="majorBidi"/>
          <w:sz w:val="24"/>
          <w:szCs w:val="24"/>
        </w:rPr>
        <w:t xml:space="preserve"> -</w:t>
      </w:r>
      <w:r w:rsidR="00232165" w:rsidRPr="00732562">
        <w:rPr>
          <w:rFonts w:cstheme="majorBidi"/>
          <w:sz w:val="24"/>
          <w:szCs w:val="24"/>
          <w:rtl/>
        </w:rPr>
        <w:t>.</w:t>
      </w:r>
      <w:r w:rsidR="00232165" w:rsidRPr="00732562">
        <w:rPr>
          <w:rFonts w:cstheme="majorBidi"/>
          <w:sz w:val="24"/>
          <w:szCs w:val="24"/>
        </w:rPr>
        <w:t>B</w:t>
      </w:r>
      <w:r w:rsidR="00232165" w:rsidRPr="00732562">
        <w:rPr>
          <w:sz w:val="24"/>
          <w:szCs w:val="24"/>
          <w:rtl/>
        </w:rPr>
        <w:t xml:space="preserve"> </w:t>
      </w:r>
      <w:r w:rsidR="00232165" w:rsidRPr="00732562">
        <w:rPr>
          <w:rFonts w:hint="cs"/>
          <w:sz w:val="24"/>
          <w:szCs w:val="24"/>
          <w:rtl/>
        </w:rPr>
        <w:t xml:space="preserve">על פירוק </w:t>
      </w:r>
      <w:r w:rsidR="00B00442">
        <w:rPr>
          <w:rFonts w:cstheme="majorBidi"/>
          <w:sz w:val="24"/>
          <w:szCs w:val="24"/>
        </w:rPr>
        <w:t>Lamotrigine</w:t>
      </w:r>
      <w:r w:rsidR="00232165" w:rsidRPr="00732562">
        <w:rPr>
          <w:rFonts w:hint="cs"/>
          <w:sz w:val="24"/>
          <w:szCs w:val="24"/>
          <w:rtl/>
        </w:rPr>
        <w:t xml:space="preserve"> כאשר </w:t>
      </w:r>
      <w:r w:rsidR="00560092">
        <w:rPr>
          <w:rFonts w:hint="cs"/>
          <w:sz w:val="24"/>
          <w:szCs w:val="24"/>
          <w:rtl/>
        </w:rPr>
        <w:t>תיבדק</w:t>
      </w:r>
      <w:r w:rsidR="0056468E">
        <w:rPr>
          <w:rFonts w:hint="cs"/>
          <w:sz w:val="24"/>
          <w:szCs w:val="24"/>
          <w:rtl/>
        </w:rPr>
        <w:t xml:space="preserve"> </w:t>
      </w:r>
      <w:r w:rsidR="00232165" w:rsidRPr="00732562">
        <w:rPr>
          <w:rFonts w:hint="cs"/>
          <w:sz w:val="24"/>
          <w:szCs w:val="24"/>
          <w:rtl/>
        </w:rPr>
        <w:t>החומצה בריכוז זהה לריכוז ה-</w:t>
      </w:r>
      <w:r w:rsidR="00B00442">
        <w:rPr>
          <w:rFonts w:cstheme="majorBidi"/>
          <w:sz w:val="24"/>
          <w:szCs w:val="24"/>
        </w:rPr>
        <w:t>L</w:t>
      </w:r>
      <w:r w:rsidR="00E27E7F">
        <w:rPr>
          <w:rFonts w:cstheme="majorBidi"/>
          <w:sz w:val="24"/>
          <w:szCs w:val="24"/>
        </w:rPr>
        <w:t>amotrigine</w:t>
      </w:r>
      <w:r w:rsidRPr="00732562">
        <w:rPr>
          <w:rFonts w:hint="cs"/>
          <w:sz w:val="24"/>
          <w:szCs w:val="24"/>
          <w:rtl/>
        </w:rPr>
        <w:t>,</w:t>
      </w:r>
      <w:r w:rsidR="002235D3" w:rsidRPr="00732562">
        <w:rPr>
          <w:rFonts w:hint="cs"/>
          <w:sz w:val="24"/>
          <w:szCs w:val="24"/>
          <w:rtl/>
        </w:rPr>
        <w:t xml:space="preserve"> או לחילופין, </w:t>
      </w:r>
      <w:r w:rsidR="0056468E">
        <w:rPr>
          <w:rFonts w:hint="cs"/>
          <w:sz w:val="24"/>
          <w:szCs w:val="24"/>
          <w:rtl/>
        </w:rPr>
        <w:t xml:space="preserve">תוסף </w:t>
      </w:r>
      <w:r w:rsidR="00232165" w:rsidRPr="00732562">
        <w:rPr>
          <w:rFonts w:hint="cs"/>
          <w:sz w:val="24"/>
          <w:szCs w:val="24"/>
          <w:rtl/>
        </w:rPr>
        <w:t>לפטרייה לאחר שכבר נחשפה ל</w:t>
      </w:r>
      <w:r w:rsidR="00B00442">
        <w:rPr>
          <w:rFonts w:hint="cs"/>
          <w:sz w:val="24"/>
          <w:szCs w:val="24"/>
        </w:rPr>
        <w:t>L</w:t>
      </w:r>
      <w:r w:rsidR="00B00442">
        <w:rPr>
          <w:sz w:val="24"/>
          <w:szCs w:val="24"/>
        </w:rPr>
        <w:t>amotrigine</w:t>
      </w:r>
      <w:r w:rsidR="00232165" w:rsidRPr="00732562">
        <w:rPr>
          <w:rFonts w:hint="cs"/>
          <w:sz w:val="24"/>
          <w:szCs w:val="24"/>
          <w:rtl/>
        </w:rPr>
        <w:t>.</w:t>
      </w:r>
    </w:p>
    <w:p w14:paraId="38867564" w14:textId="28000262" w:rsidR="00FD0919" w:rsidRPr="00732562" w:rsidRDefault="006310D0" w:rsidP="00406847">
      <w:pPr>
        <w:bidi/>
        <w:spacing w:after="0" w:line="360" w:lineRule="auto"/>
        <w:jc w:val="both"/>
        <w:rPr>
          <w:sz w:val="24"/>
          <w:szCs w:val="24"/>
          <w:rtl/>
        </w:rPr>
      </w:pPr>
      <w:r w:rsidRPr="00732562">
        <w:rPr>
          <w:rFonts w:hint="cs"/>
          <w:sz w:val="24"/>
          <w:szCs w:val="24"/>
          <w:rtl/>
        </w:rPr>
        <w:t xml:space="preserve">כמו כן </w:t>
      </w:r>
      <w:r w:rsidR="0056468E">
        <w:rPr>
          <w:rFonts w:hint="cs"/>
          <w:sz w:val="24"/>
          <w:szCs w:val="24"/>
          <w:rtl/>
        </w:rPr>
        <w:t>יבדקו</w:t>
      </w:r>
      <w:r w:rsidRPr="00732562">
        <w:rPr>
          <w:rFonts w:hint="cs"/>
          <w:sz w:val="24"/>
          <w:szCs w:val="24"/>
          <w:rtl/>
        </w:rPr>
        <w:t xml:space="preserve"> מעכבים לריאקציה בה משתתפים אנזימים ממשפחת </w:t>
      </w:r>
      <w:r w:rsidRPr="00732562">
        <w:rPr>
          <w:rFonts w:hint="cs"/>
          <w:sz w:val="24"/>
          <w:szCs w:val="24"/>
        </w:rPr>
        <w:t>UGT</w:t>
      </w:r>
      <w:r w:rsidRPr="00732562">
        <w:rPr>
          <w:rFonts w:hint="cs"/>
          <w:sz w:val="24"/>
          <w:szCs w:val="24"/>
          <w:rtl/>
        </w:rPr>
        <w:t xml:space="preserve"> כגון המעכב </w:t>
      </w:r>
      <w:r w:rsidRPr="00732562">
        <w:rPr>
          <w:rFonts w:cstheme="majorBidi"/>
          <w:sz w:val="24"/>
          <w:szCs w:val="24"/>
        </w:rPr>
        <w:t>Sodium valproate</w:t>
      </w:r>
      <w:r w:rsidRPr="00732562">
        <w:rPr>
          <w:rFonts w:cstheme="majorBidi" w:hint="cs"/>
          <w:sz w:val="24"/>
          <w:szCs w:val="24"/>
          <w:rtl/>
        </w:rPr>
        <w:t xml:space="preserve">, </w:t>
      </w:r>
      <w:r w:rsidRPr="00732562">
        <w:rPr>
          <w:rFonts w:hint="cs"/>
          <w:sz w:val="24"/>
          <w:szCs w:val="24"/>
          <w:rtl/>
        </w:rPr>
        <w:t>המשמש כתרופה הניתנת לחולים יחד עם ה-</w:t>
      </w:r>
      <w:r w:rsidR="00B00442">
        <w:rPr>
          <w:rFonts w:hint="cs"/>
          <w:sz w:val="24"/>
          <w:szCs w:val="24"/>
        </w:rPr>
        <w:t>L</w:t>
      </w:r>
      <w:r w:rsidR="00B00442">
        <w:rPr>
          <w:sz w:val="24"/>
          <w:szCs w:val="24"/>
        </w:rPr>
        <w:t>amotrigine</w:t>
      </w:r>
      <w:r w:rsidRPr="00732562">
        <w:rPr>
          <w:rFonts w:hint="cs"/>
          <w:sz w:val="24"/>
          <w:szCs w:val="24"/>
          <w:rtl/>
        </w:rPr>
        <w:t xml:space="preserve"> </w:t>
      </w:r>
      <w:r w:rsidR="00922CB0" w:rsidRPr="00732562">
        <w:rPr>
          <w:rFonts w:hint="cs"/>
          <w:sz w:val="24"/>
          <w:szCs w:val="24"/>
          <w:rtl/>
        </w:rPr>
        <w:t>ו</w:t>
      </w:r>
      <w:r w:rsidRPr="00732562">
        <w:rPr>
          <w:rFonts w:hint="cs"/>
          <w:sz w:val="24"/>
          <w:szCs w:val="24"/>
          <w:rtl/>
        </w:rPr>
        <w:t xml:space="preserve">גורם בגוף האדם לעיכוב מסלול יצירת המטבוליט </w:t>
      </w:r>
      <w:r w:rsidR="00B00442">
        <w:rPr>
          <w:rFonts w:cs="Times New Roman"/>
          <w:sz w:val="24"/>
          <w:szCs w:val="24"/>
        </w:rPr>
        <w:t>Lamotrigine</w:t>
      </w:r>
      <w:r w:rsidRPr="00732562">
        <w:rPr>
          <w:rFonts w:cs="Times New Roman"/>
          <w:sz w:val="24"/>
          <w:szCs w:val="24"/>
        </w:rPr>
        <w:t>-2NG</w:t>
      </w:r>
      <w:r w:rsidR="00922CB0" w:rsidRPr="00732562">
        <w:rPr>
          <w:rFonts w:cs="Times New Roman" w:hint="cs"/>
          <w:sz w:val="24"/>
          <w:szCs w:val="24"/>
          <w:rtl/>
        </w:rPr>
        <w:t>,</w:t>
      </w:r>
      <w:r w:rsidRPr="00732562">
        <w:rPr>
          <w:rFonts w:cs="Times New Roman" w:hint="cs"/>
          <w:sz w:val="24"/>
          <w:szCs w:val="24"/>
          <w:rtl/>
        </w:rPr>
        <w:t xml:space="preserve"> </w:t>
      </w:r>
      <w:r w:rsidR="00922CB0" w:rsidRPr="00732562">
        <w:rPr>
          <w:rFonts w:hint="cs"/>
          <w:sz w:val="24"/>
          <w:szCs w:val="24"/>
          <w:rtl/>
        </w:rPr>
        <w:t>כך שה</w:t>
      </w:r>
      <w:r w:rsidRPr="00732562">
        <w:rPr>
          <w:rFonts w:hint="cs"/>
          <w:sz w:val="24"/>
          <w:szCs w:val="24"/>
          <w:rtl/>
        </w:rPr>
        <w:t xml:space="preserve">מערכת </w:t>
      </w:r>
      <w:r w:rsidR="00922CB0" w:rsidRPr="00732562">
        <w:rPr>
          <w:rFonts w:hint="cs"/>
          <w:sz w:val="24"/>
          <w:szCs w:val="24"/>
          <w:rtl/>
        </w:rPr>
        <w:t>מובלת</w:t>
      </w:r>
      <w:r w:rsidRPr="00732562">
        <w:rPr>
          <w:rFonts w:hint="cs"/>
          <w:sz w:val="24"/>
          <w:szCs w:val="24"/>
          <w:rtl/>
        </w:rPr>
        <w:t xml:space="preserve"> לכיוון יצירת המטבוליט</w:t>
      </w:r>
      <w:r w:rsidR="00A71B36" w:rsidRPr="00732562">
        <w:rPr>
          <w:rFonts w:hint="cs"/>
          <w:sz w:val="24"/>
          <w:szCs w:val="24"/>
          <w:rtl/>
        </w:rPr>
        <w:t xml:space="preserve"> </w:t>
      </w:r>
      <w:r w:rsidR="00A71B36" w:rsidRPr="00732562">
        <w:rPr>
          <w:rFonts w:cstheme="majorBidi"/>
          <w:sz w:val="24"/>
          <w:szCs w:val="24"/>
        </w:rPr>
        <w:t>arene- oxide</w:t>
      </w:r>
      <w:r w:rsidRPr="00732562">
        <w:rPr>
          <w:rFonts w:hint="cs"/>
          <w:sz w:val="24"/>
          <w:szCs w:val="24"/>
          <w:rtl/>
        </w:rPr>
        <w:t xml:space="preserve"> במסלול ה-</w:t>
      </w:r>
      <w:r w:rsidRPr="00732562">
        <w:rPr>
          <w:sz w:val="24"/>
          <w:szCs w:val="24"/>
        </w:rPr>
        <w:t xml:space="preserve">P450 </w:t>
      </w:r>
      <w:r w:rsidRPr="00732562">
        <w:rPr>
          <w:rFonts w:hint="cs"/>
          <w:sz w:val="24"/>
          <w:szCs w:val="24"/>
          <w:rtl/>
        </w:rPr>
        <w:t xml:space="preserve"> </w:t>
      </w:r>
      <w:r w:rsidR="0071462C" w:rsidRPr="00732562">
        <w:rPr>
          <w:rFonts w:cstheme="majorBidi"/>
          <w:sz w:val="24"/>
          <w:szCs w:val="24"/>
          <w:rtl/>
        </w:rPr>
        <w:fldChar w:fldCharType="begin" w:fldLock="1"/>
      </w:r>
      <w:r w:rsidR="00A223D6" w:rsidRPr="00732562">
        <w:rPr>
          <w:rFonts w:cstheme="majorBidi"/>
          <w:sz w:val="24"/>
          <w:szCs w:val="24"/>
        </w:rPr>
        <w:instrText>ADDIN CSL_CITATION { "citationItems" : [ { "id" : "ITEM-1", "itemData" : { "DOI" : "10.1046/j.1528-1157.43.s.3.5.x", "ISBN" : "0013-9580", "PMID" : "12060006", "abstract" : "Pharmacokinetic differences may play a part in the age-related differences in the incidence of adverse effects. The most common idiosyncratic reaction to lamotrigine (LTG) is rash, affecting 10-20% of patients. Risk factors are young age, concurrent valproate (VPA), high starting dose, and rapid escalation. In children, cytochrome P450 (CYP)-catalyzed metabolism is increased, and uridine diphosphate (UDP)-glucuronosyltransferase (UGT)-catalyzed metabolism is not significantly different from that in adults. A CYP-catalyzed arene oxide intermediate of LTG has been identified. The increase CYP metabolism of LTG in children could result in increased formation of the reactive metabolite and a higher incident of rash. Children often received higher milligram per kilogram doses compared with adults. The higher dose would cause an increased amount of LTG metabolized to the reactive arene oxide intermediate. VPA therapy is associated with a transient elevation in liver-function tests in 15-30% of patients and a rare, fatal hepatotoxicity. Most cases of VPA hepatotoxicity occurred in children younger than 2 years who had preexisting neurologic or other physical defects. Hypotheses regarding the pathogenesis of the hepatotoxicity include preexisting mitochondrial disease or inborn errors of metabolism, VPA inhibition of beta-oxidation, and toxicity from VPA metabolites VPA, 4-ene-VPA, and 2,4-diene-VPA. Infants and children have higher concentration ratios of 4-ene-VPA to VPA. Polytherapy with enzyme inducers increases the formation of the hepatotoxic metabolites. The role of underlying metabolic disorders associated with hepatodegeneration and intractable seizures without VPA is a major confounder in identifying risk factors and demonstrates the difficulty in separating underlying disease factors in rare idiosyncratic reactions.", "author" : [ { "dropping-particle" : "", "family" : "Anderson", "given" : "Gail D.", "non-dropping-particle" : "", "parse-names" : false, "suffix" : "" } ], "container-title" : "Epilepsia", "id" : "ITEM-1", "issued" : { "date-parts" : [ [ "2002" ] ] }, "page" : "53-59", "title" : "Children versus adults: Pharmacokinetic and adverse-effect differences", "type" : "article-journal", "volume" : "43" }, "uris" : [ "http://www.mendeley.com/documents/?uuid=2332698f-2ba7-383a-9fc6-2f4f1f47b5cf", "http://www.mendeley.com/documents/?uuid=7033ccd6-3106-4b7b-8f83-f416d70f16a2" ] } ], "mendeley" : { "formattedCitation" : "(Anderson 2002)", "plainTextFormattedCitation" : "(Anderson 2002)", "previouslyFormattedCitation" : "(Anderson 2002)" }, "properties" : { "noteIndex" : 0 }, "schema" : "https://github.com/citation-style-language/schema/raw/master/csl-citation.json" }</w:instrText>
      </w:r>
      <w:r w:rsidR="0071462C" w:rsidRPr="00732562">
        <w:rPr>
          <w:rFonts w:cstheme="majorBidi"/>
          <w:sz w:val="24"/>
          <w:szCs w:val="24"/>
          <w:rtl/>
        </w:rPr>
        <w:fldChar w:fldCharType="separate"/>
      </w:r>
      <w:r w:rsidR="00644CEA" w:rsidRPr="00732562">
        <w:rPr>
          <w:rFonts w:cstheme="majorBidi"/>
          <w:noProof/>
          <w:sz w:val="24"/>
          <w:szCs w:val="24"/>
        </w:rPr>
        <w:t>(Anderson 2002)</w:t>
      </w:r>
      <w:r w:rsidR="0071462C" w:rsidRPr="00732562">
        <w:rPr>
          <w:rFonts w:cstheme="majorBidi"/>
          <w:sz w:val="24"/>
          <w:szCs w:val="24"/>
          <w:rtl/>
        </w:rPr>
        <w:fldChar w:fldCharType="end"/>
      </w:r>
      <w:r w:rsidR="0071462C" w:rsidRPr="00732562">
        <w:rPr>
          <w:rFonts w:cstheme="majorBidi" w:hint="cs"/>
          <w:sz w:val="24"/>
          <w:szCs w:val="24"/>
          <w:rtl/>
        </w:rPr>
        <w:t>.</w:t>
      </w:r>
    </w:p>
    <w:p w14:paraId="1952426A" w14:textId="77777777" w:rsidR="00B25B06" w:rsidRPr="00732562" w:rsidRDefault="00B25B06" w:rsidP="00406847">
      <w:pPr>
        <w:bidi/>
        <w:spacing w:after="0" w:line="360" w:lineRule="auto"/>
        <w:jc w:val="both"/>
        <w:rPr>
          <w:sz w:val="24"/>
          <w:szCs w:val="24"/>
          <w:rtl/>
        </w:rPr>
      </w:pPr>
      <w:r w:rsidRPr="00732562">
        <w:rPr>
          <w:noProof/>
          <w:sz w:val="24"/>
          <w:szCs w:val="24"/>
        </w:rPr>
        <w:drawing>
          <wp:inline distT="0" distB="0" distL="0" distR="0" wp14:anchorId="372B9F0E" wp14:editId="1F81A884">
            <wp:extent cx="4979835" cy="1901687"/>
            <wp:effectExtent l="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CAA21F" w14:textId="6F59854B" w:rsidR="000D3C1F" w:rsidRPr="00732562" w:rsidRDefault="00B25B06" w:rsidP="00F32898">
      <w:pPr>
        <w:bidi/>
        <w:spacing w:after="0" w:line="360" w:lineRule="auto"/>
        <w:jc w:val="both"/>
        <w:rPr>
          <w:sz w:val="24"/>
          <w:szCs w:val="24"/>
          <w:rtl/>
        </w:rPr>
      </w:pPr>
      <w:r w:rsidRPr="00732562">
        <w:rPr>
          <w:rFonts w:hint="cs"/>
          <w:sz w:val="24"/>
          <w:szCs w:val="24"/>
          <w:rtl/>
        </w:rPr>
        <w:t xml:space="preserve">איור </w:t>
      </w:r>
      <w:r w:rsidR="00AA667D" w:rsidRPr="00732562">
        <w:rPr>
          <w:rFonts w:hint="cs"/>
          <w:sz w:val="24"/>
          <w:szCs w:val="24"/>
          <w:rtl/>
        </w:rPr>
        <w:t>3</w:t>
      </w:r>
      <w:r w:rsidR="00F90D85" w:rsidRPr="00732562">
        <w:rPr>
          <w:rFonts w:hint="cs"/>
          <w:sz w:val="24"/>
          <w:szCs w:val="24"/>
          <w:rtl/>
        </w:rPr>
        <w:t>.</w:t>
      </w:r>
      <w:r w:rsidR="00AA667D" w:rsidRPr="00732562">
        <w:rPr>
          <w:rFonts w:hint="cs"/>
          <w:sz w:val="24"/>
          <w:szCs w:val="24"/>
          <w:rtl/>
        </w:rPr>
        <w:t xml:space="preserve"> העלמות </w:t>
      </w:r>
      <w:r w:rsidR="00B00442">
        <w:rPr>
          <w:rFonts w:hint="cs"/>
          <w:sz w:val="24"/>
          <w:szCs w:val="24"/>
        </w:rPr>
        <w:t>L</w:t>
      </w:r>
      <w:r w:rsidR="00E27E7F">
        <w:rPr>
          <w:sz w:val="24"/>
          <w:szCs w:val="24"/>
        </w:rPr>
        <w:t>amotrigine</w:t>
      </w:r>
      <w:r w:rsidR="00AA667D" w:rsidRPr="00732562">
        <w:rPr>
          <w:rFonts w:hint="cs"/>
          <w:sz w:val="24"/>
          <w:szCs w:val="24"/>
          <w:rtl/>
        </w:rPr>
        <w:t xml:space="preserve"> על ידי </w:t>
      </w:r>
      <w:r w:rsidR="00AA667D" w:rsidRPr="00732562">
        <w:rPr>
          <w:rFonts w:cstheme="majorBidi"/>
          <w:i/>
          <w:iCs/>
          <w:sz w:val="24"/>
          <w:szCs w:val="24"/>
        </w:rPr>
        <w:t>P. ostreatus</w:t>
      </w:r>
      <w:r w:rsidR="00AA667D" w:rsidRPr="00732562">
        <w:rPr>
          <w:rFonts w:cstheme="majorBidi" w:hint="cs"/>
          <w:i/>
          <w:iCs/>
          <w:sz w:val="24"/>
          <w:szCs w:val="24"/>
          <w:rtl/>
        </w:rPr>
        <w:t xml:space="preserve"> </w:t>
      </w:r>
      <w:r w:rsidR="00AA667D" w:rsidRPr="00732562">
        <w:rPr>
          <w:rFonts w:hint="cs"/>
          <w:sz w:val="24"/>
          <w:szCs w:val="24"/>
          <w:rtl/>
        </w:rPr>
        <w:t xml:space="preserve">במצע גלוקוז פפטון מדולל ללא תמצית שמרים, כאשר </w:t>
      </w:r>
      <w:r w:rsidR="00B00442">
        <w:rPr>
          <w:rFonts w:cstheme="majorBidi"/>
          <w:sz w:val="24"/>
          <w:szCs w:val="24"/>
        </w:rPr>
        <w:t>L</w:t>
      </w:r>
      <w:r w:rsidR="00E27E7F">
        <w:rPr>
          <w:rFonts w:cstheme="majorBidi"/>
          <w:sz w:val="24"/>
          <w:szCs w:val="24"/>
        </w:rPr>
        <w:t>amotrigine</w:t>
      </w:r>
      <w:r w:rsidR="00AA667D" w:rsidRPr="00732562">
        <w:rPr>
          <w:rFonts w:hint="cs"/>
          <w:sz w:val="24"/>
          <w:szCs w:val="24"/>
          <w:rtl/>
        </w:rPr>
        <w:t xml:space="preserve"> בריכוז התחלתי של </w:t>
      </w:r>
      <w:r w:rsidR="00AA667D" w:rsidRPr="00732562">
        <w:rPr>
          <w:sz w:val="24"/>
          <w:szCs w:val="24"/>
        </w:rPr>
        <w:t xml:space="preserve"> 100</w:t>
      </w:r>
      <w:r w:rsidR="00437E4D" w:rsidRPr="00732562">
        <w:rPr>
          <w:rFonts w:hint="cs"/>
          <w:sz w:val="24"/>
          <w:szCs w:val="24"/>
          <w:rtl/>
        </w:rPr>
        <w:t xml:space="preserve">   </w:t>
      </w:r>
      <w:r w:rsidR="00232A9A">
        <w:rPr>
          <w:rFonts w:cstheme="majorBidi"/>
          <w:sz w:val="24"/>
          <w:szCs w:val="24"/>
        </w:rPr>
        <w:t>mg/L</w:t>
      </w:r>
      <w:r w:rsidR="00437E4D" w:rsidRPr="00732562">
        <w:rPr>
          <w:rFonts w:cstheme="majorBidi" w:hint="cs"/>
          <w:sz w:val="24"/>
          <w:szCs w:val="24"/>
          <w:rtl/>
        </w:rPr>
        <w:t xml:space="preserve"> </w:t>
      </w:r>
      <w:r w:rsidR="00AA667D" w:rsidRPr="00732562">
        <w:rPr>
          <w:rFonts w:hint="cs"/>
          <w:sz w:val="24"/>
          <w:szCs w:val="24"/>
          <w:rtl/>
        </w:rPr>
        <w:t xml:space="preserve">(כחול), העלמות </w:t>
      </w:r>
      <w:r w:rsidR="00B00442">
        <w:rPr>
          <w:rFonts w:hint="cs"/>
          <w:sz w:val="24"/>
          <w:szCs w:val="24"/>
        </w:rPr>
        <w:t>L</w:t>
      </w:r>
      <w:r w:rsidR="00E27E7F">
        <w:rPr>
          <w:sz w:val="24"/>
          <w:szCs w:val="24"/>
        </w:rPr>
        <w:t>amotrigine</w:t>
      </w:r>
      <w:r w:rsidR="00AA667D" w:rsidRPr="00732562">
        <w:rPr>
          <w:rFonts w:hint="cs"/>
          <w:sz w:val="24"/>
          <w:szCs w:val="24"/>
          <w:rtl/>
        </w:rPr>
        <w:t xml:space="preserve"> בנוכחות מעכב </w:t>
      </w:r>
      <w:r w:rsidR="00AA667D" w:rsidRPr="00732562">
        <w:rPr>
          <w:sz w:val="24"/>
          <w:szCs w:val="24"/>
        </w:rPr>
        <w:t>–ABT</w:t>
      </w:r>
      <w:r w:rsidR="00AA667D" w:rsidRPr="00732562">
        <w:rPr>
          <w:rFonts w:hint="cs"/>
          <w:sz w:val="24"/>
          <w:szCs w:val="24"/>
          <w:rtl/>
        </w:rPr>
        <w:t xml:space="preserve">1 (כתום), בנוכחות מעכב </w:t>
      </w:r>
      <w:r w:rsidR="00AA667D" w:rsidRPr="00732562">
        <w:rPr>
          <w:sz w:val="24"/>
          <w:szCs w:val="24"/>
        </w:rPr>
        <w:t>8-mop</w:t>
      </w:r>
      <w:r w:rsidR="00AA667D" w:rsidRPr="00732562">
        <w:rPr>
          <w:rFonts w:hint="cs"/>
          <w:sz w:val="24"/>
          <w:szCs w:val="24"/>
          <w:rtl/>
        </w:rPr>
        <w:t xml:space="preserve"> בריכוז </w:t>
      </w:r>
      <w:r w:rsidR="00AA667D" w:rsidRPr="00732562">
        <w:rPr>
          <w:sz w:val="24"/>
          <w:szCs w:val="24"/>
        </w:rPr>
        <w:t>mM</w:t>
      </w:r>
      <w:r w:rsidR="00AA667D" w:rsidRPr="00732562">
        <w:rPr>
          <w:rFonts w:hint="cs"/>
          <w:sz w:val="24"/>
          <w:szCs w:val="24"/>
          <w:rtl/>
        </w:rPr>
        <w:t xml:space="preserve"> 0.8 (אפור), בנוכחות מעכב </w:t>
      </w:r>
      <w:r w:rsidR="00AA667D" w:rsidRPr="00732562">
        <w:rPr>
          <w:sz w:val="24"/>
          <w:szCs w:val="24"/>
        </w:rPr>
        <w:t>8-mop</w:t>
      </w:r>
      <w:r w:rsidR="00AA667D" w:rsidRPr="00732562">
        <w:rPr>
          <w:rFonts w:hint="cs"/>
          <w:sz w:val="24"/>
          <w:szCs w:val="24"/>
          <w:rtl/>
        </w:rPr>
        <w:t xml:space="preserve"> בריכוז </w:t>
      </w:r>
      <w:r w:rsidR="00AA667D" w:rsidRPr="00732562">
        <w:rPr>
          <w:sz w:val="24"/>
          <w:szCs w:val="24"/>
        </w:rPr>
        <w:t>mM</w:t>
      </w:r>
      <w:r w:rsidR="00AA667D" w:rsidRPr="00732562">
        <w:rPr>
          <w:rFonts w:hint="cs"/>
          <w:sz w:val="24"/>
          <w:szCs w:val="24"/>
          <w:rtl/>
        </w:rPr>
        <w:t xml:space="preserve"> 0.4 (צהוב).</w:t>
      </w:r>
    </w:p>
    <w:p w14:paraId="0FBA28ED" w14:textId="77777777" w:rsidR="00F90D85" w:rsidRPr="00732562" w:rsidRDefault="00F90D85" w:rsidP="00406847">
      <w:pPr>
        <w:bidi/>
        <w:spacing w:after="0" w:line="360" w:lineRule="auto"/>
        <w:jc w:val="both"/>
        <w:rPr>
          <w:sz w:val="24"/>
          <w:szCs w:val="24"/>
          <w:rtl/>
        </w:rPr>
      </w:pPr>
    </w:p>
    <w:p w14:paraId="4476BC97" w14:textId="3AAB38F4" w:rsidR="00243850" w:rsidRPr="00732562" w:rsidRDefault="005D0BBE" w:rsidP="00F32898">
      <w:pPr>
        <w:bidi/>
        <w:spacing w:after="0" w:line="360" w:lineRule="auto"/>
        <w:jc w:val="both"/>
        <w:rPr>
          <w:sz w:val="24"/>
          <w:szCs w:val="24"/>
          <w:rtl/>
        </w:rPr>
      </w:pPr>
      <w:r w:rsidRPr="00732562">
        <w:rPr>
          <w:rFonts w:hint="cs"/>
          <w:sz w:val="24"/>
          <w:szCs w:val="24"/>
          <w:rtl/>
        </w:rPr>
        <w:t>שלב זה נמצא כרגע בביצוע.</w:t>
      </w:r>
      <w:r w:rsidR="00F90D85" w:rsidRPr="00732562">
        <w:rPr>
          <w:rFonts w:hint="cs"/>
          <w:sz w:val="24"/>
          <w:szCs w:val="24"/>
          <w:rtl/>
        </w:rPr>
        <w:t xml:space="preserve"> </w:t>
      </w:r>
      <w:r w:rsidRPr="00732562">
        <w:rPr>
          <w:rFonts w:hint="cs"/>
          <w:sz w:val="24"/>
          <w:szCs w:val="24"/>
          <w:rtl/>
        </w:rPr>
        <w:t>זמן ביצוע משוער</w:t>
      </w:r>
      <w:r w:rsidR="00577F59" w:rsidRPr="00732562">
        <w:rPr>
          <w:rFonts w:hint="cs"/>
          <w:sz w:val="24"/>
          <w:szCs w:val="24"/>
          <w:rtl/>
        </w:rPr>
        <w:t xml:space="preserve"> של שני השלבים האחרונים </w:t>
      </w:r>
      <w:r w:rsidRPr="00732562">
        <w:rPr>
          <w:rFonts w:hint="cs"/>
          <w:sz w:val="24"/>
          <w:szCs w:val="24"/>
          <w:rtl/>
        </w:rPr>
        <w:t>הוא כ-8 חודשים.</w:t>
      </w:r>
    </w:p>
    <w:p w14:paraId="1A2DD6E2" w14:textId="77777777" w:rsidR="00054D70" w:rsidRPr="00732562" w:rsidRDefault="00054D70" w:rsidP="00406847">
      <w:pPr>
        <w:bidi/>
        <w:spacing w:after="0" w:line="360" w:lineRule="auto"/>
        <w:jc w:val="both"/>
        <w:rPr>
          <w:sz w:val="24"/>
          <w:szCs w:val="24"/>
          <w:rtl/>
        </w:rPr>
      </w:pPr>
    </w:p>
    <w:p w14:paraId="6B995066" w14:textId="77777777" w:rsidR="00243850" w:rsidRPr="00732562" w:rsidRDefault="00243850" w:rsidP="00406847">
      <w:pPr>
        <w:shd w:val="clear" w:color="auto" w:fill="FFFFFF"/>
        <w:bidi/>
        <w:spacing w:after="0" w:line="360" w:lineRule="auto"/>
        <w:ind w:left="480"/>
        <w:jc w:val="both"/>
        <w:outlineLvl w:val="3"/>
        <w:rPr>
          <w:rFonts w:eastAsia="Times New Roman" w:cs="Arial"/>
          <w:b/>
          <w:bCs/>
          <w:sz w:val="24"/>
          <w:szCs w:val="24"/>
          <w:u w:val="single"/>
          <w:rtl/>
        </w:rPr>
      </w:pPr>
      <w:r w:rsidRPr="00732562">
        <w:rPr>
          <w:rFonts w:eastAsia="Times New Roman" w:cs="Arial" w:hint="cs"/>
          <w:b/>
          <w:bCs/>
          <w:sz w:val="24"/>
          <w:szCs w:val="24"/>
          <w:u w:val="single"/>
          <w:rtl/>
        </w:rPr>
        <w:t>רשימת ספרות</w:t>
      </w:r>
    </w:p>
    <w:p w14:paraId="6997CB84" w14:textId="0D0A8B9F" w:rsidR="00C3410C" w:rsidRPr="00C3410C" w:rsidRDefault="00243850" w:rsidP="00F32898">
      <w:pPr>
        <w:widowControl w:val="0"/>
        <w:autoSpaceDE w:val="0"/>
        <w:autoSpaceDN w:val="0"/>
        <w:adjustRightInd w:val="0"/>
        <w:spacing w:after="0" w:line="360" w:lineRule="auto"/>
        <w:ind w:left="480" w:hanging="480"/>
        <w:jc w:val="both"/>
        <w:rPr>
          <w:rFonts w:cs="Times New Roman"/>
          <w:noProof/>
          <w:sz w:val="24"/>
          <w:szCs w:val="24"/>
        </w:rPr>
      </w:pPr>
      <w:r w:rsidRPr="00732562">
        <w:rPr>
          <w:rFonts w:eastAsia="Times New Roman" w:cstheme="majorBidi"/>
          <w:sz w:val="24"/>
          <w:szCs w:val="24"/>
        </w:rPr>
        <w:fldChar w:fldCharType="begin" w:fldLock="1"/>
      </w:r>
      <w:r w:rsidRPr="00732562">
        <w:rPr>
          <w:rFonts w:eastAsia="Times New Roman" w:cstheme="majorBidi"/>
          <w:sz w:val="24"/>
          <w:szCs w:val="24"/>
        </w:rPr>
        <w:instrText xml:space="preserve">ADDIN Mendeley Bibliography CSL_BIBLIOGRAPHY </w:instrText>
      </w:r>
      <w:r w:rsidRPr="00732562">
        <w:rPr>
          <w:rFonts w:eastAsia="Times New Roman" w:cstheme="majorBidi"/>
          <w:sz w:val="24"/>
          <w:szCs w:val="24"/>
        </w:rPr>
        <w:fldChar w:fldCharType="separate"/>
      </w:r>
      <w:r w:rsidR="00C3410C" w:rsidRPr="00C3410C">
        <w:rPr>
          <w:rFonts w:cs="Times New Roman"/>
          <w:noProof/>
          <w:sz w:val="24"/>
          <w:szCs w:val="24"/>
        </w:rPr>
        <w:t xml:space="preserve">Anderson, G.D., 2002. Children versus adults: Pharmacokinetic and adverse-effect differences. </w:t>
      </w:r>
      <w:r w:rsidR="00C3410C" w:rsidRPr="00C3410C">
        <w:rPr>
          <w:rFonts w:cs="Times New Roman"/>
          <w:i/>
          <w:iCs/>
          <w:noProof/>
          <w:sz w:val="24"/>
          <w:szCs w:val="24"/>
        </w:rPr>
        <w:t>Epilepsia</w:t>
      </w:r>
      <w:r w:rsidR="00C3410C" w:rsidRPr="00C3410C">
        <w:rPr>
          <w:rFonts w:cs="Times New Roman"/>
          <w:noProof/>
          <w:sz w:val="24"/>
          <w:szCs w:val="24"/>
        </w:rPr>
        <w:t>, 43, pp.53–59.</w:t>
      </w:r>
    </w:p>
    <w:p w14:paraId="7F676DE7"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Ferrer, I. &amp; Thurman, E.M., 2010. Identification of a new antidepressant and its glucuronide metabolite in water samples using liquid chromatography/quadrupole time-of-flight mass spectrometry. </w:t>
      </w:r>
      <w:r w:rsidRPr="00C3410C">
        <w:rPr>
          <w:rFonts w:cs="Times New Roman"/>
          <w:i/>
          <w:iCs/>
          <w:noProof/>
          <w:sz w:val="24"/>
          <w:szCs w:val="24"/>
        </w:rPr>
        <w:t>Analytical Chemistry</w:t>
      </w:r>
      <w:r w:rsidRPr="00C3410C">
        <w:rPr>
          <w:rFonts w:cs="Times New Roman"/>
          <w:noProof/>
          <w:sz w:val="24"/>
          <w:szCs w:val="24"/>
        </w:rPr>
        <w:t>, 82(19), pp.8161–8168.</w:t>
      </w:r>
    </w:p>
    <w:p w14:paraId="3DF026C9"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Golan-Rozen, N. et al., 2011. Transformation of the recalcitrant pharmaceutical compound carbamazepine by pleurotus ostreatus: Role of cytochrome P450 monooxygenase and manganese peroxidase. </w:t>
      </w:r>
      <w:r w:rsidRPr="00C3410C">
        <w:rPr>
          <w:rFonts w:cs="Times New Roman"/>
          <w:i/>
          <w:iCs/>
          <w:noProof/>
          <w:sz w:val="24"/>
          <w:szCs w:val="24"/>
        </w:rPr>
        <w:t>Environmental Science and Technology</w:t>
      </w:r>
      <w:r w:rsidRPr="00C3410C">
        <w:rPr>
          <w:rFonts w:cs="Times New Roman"/>
          <w:noProof/>
          <w:sz w:val="24"/>
          <w:szCs w:val="24"/>
        </w:rPr>
        <w:t>, 45, pp.6800–6805.</w:t>
      </w:r>
    </w:p>
    <w:p w14:paraId="410CCE34"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Golan-Rozen, N. et al., 2015. Transformation Pathways of the Recalcitrant Pharmaceutical Compound Carbamazepine by the White-Rot Fungus Pleurotus ostreatus: Effects of Growth Conditions. </w:t>
      </w:r>
      <w:r w:rsidRPr="00C3410C">
        <w:rPr>
          <w:rFonts w:cs="Times New Roman"/>
          <w:i/>
          <w:iCs/>
          <w:noProof/>
          <w:sz w:val="24"/>
          <w:szCs w:val="24"/>
        </w:rPr>
        <w:t>Environmental Science and Technology</w:t>
      </w:r>
      <w:r w:rsidRPr="00C3410C">
        <w:rPr>
          <w:rFonts w:cs="Times New Roman"/>
          <w:noProof/>
          <w:sz w:val="24"/>
          <w:szCs w:val="24"/>
        </w:rPr>
        <w:t>, 49(20), pp.12351–12362.</w:t>
      </w:r>
    </w:p>
    <w:p w14:paraId="234F6AEC"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Goldstein, M., Shenker, M. &amp; Chefetz, B., 2014. Insights into the uptake processes of wastewater-borne pharmaceuticals by vegetables. </w:t>
      </w:r>
      <w:r w:rsidRPr="00C3410C">
        <w:rPr>
          <w:rFonts w:cs="Times New Roman"/>
          <w:i/>
          <w:iCs/>
          <w:noProof/>
          <w:sz w:val="24"/>
          <w:szCs w:val="24"/>
        </w:rPr>
        <w:t>Environmental Science and Technology</w:t>
      </w:r>
      <w:r w:rsidRPr="00C3410C">
        <w:rPr>
          <w:rFonts w:cs="Times New Roman"/>
          <w:noProof/>
          <w:sz w:val="24"/>
          <w:szCs w:val="24"/>
        </w:rPr>
        <w:t>, 48(10), pp.5593–5600.</w:t>
      </w:r>
    </w:p>
    <w:p w14:paraId="38C5A4E5"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Grossberger, A. et al., 2014. Biodegradability of pharmaceutical compounds in agricultural soils irrigated with treated wastewater. </w:t>
      </w:r>
      <w:r w:rsidRPr="00C3410C">
        <w:rPr>
          <w:rFonts w:cs="Times New Roman"/>
          <w:i/>
          <w:iCs/>
          <w:noProof/>
          <w:sz w:val="24"/>
          <w:szCs w:val="24"/>
        </w:rPr>
        <w:t>Environmental Pollution</w:t>
      </w:r>
      <w:r w:rsidRPr="00C3410C">
        <w:rPr>
          <w:rFonts w:cs="Times New Roman"/>
          <w:noProof/>
          <w:sz w:val="24"/>
          <w:szCs w:val="24"/>
        </w:rPr>
        <w:t>, 185, pp.168–177. Available at: http://dx.doi.org/10.1016/j.envpol.2013.10.038.</w:t>
      </w:r>
    </w:p>
    <w:p w14:paraId="1153B1C5"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Gurke, R. et al., 2015. Occurrence and removal of frequently prescribed pharmaceuticals and corresponding metabolites in wastewater of a sewage treatment plant. </w:t>
      </w:r>
      <w:r w:rsidRPr="00C3410C">
        <w:rPr>
          <w:rFonts w:cs="Times New Roman"/>
          <w:i/>
          <w:iCs/>
          <w:noProof/>
          <w:sz w:val="24"/>
          <w:szCs w:val="24"/>
        </w:rPr>
        <w:t>Science of the Total Environment</w:t>
      </w:r>
      <w:r w:rsidRPr="00C3410C">
        <w:rPr>
          <w:rFonts w:cs="Times New Roman"/>
          <w:noProof/>
          <w:sz w:val="24"/>
          <w:szCs w:val="24"/>
        </w:rPr>
        <w:t>, 532, pp.762–770.</w:t>
      </w:r>
    </w:p>
    <w:p w14:paraId="52D79E78" w14:textId="4FF31FE1"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Hao Chen, Scott Grover, Linning Yu, G.W. and A.M., 2010. Bioactivation of </w:t>
      </w:r>
      <w:r w:rsidR="00B00442">
        <w:rPr>
          <w:rFonts w:cs="Times New Roman"/>
          <w:noProof/>
          <w:sz w:val="24"/>
          <w:szCs w:val="24"/>
        </w:rPr>
        <w:t>Lamotrigine</w:t>
      </w:r>
      <w:r w:rsidRPr="00C3410C">
        <w:rPr>
          <w:rFonts w:cs="Times New Roman"/>
          <w:noProof/>
          <w:sz w:val="24"/>
          <w:szCs w:val="24"/>
        </w:rPr>
        <w:t xml:space="preserve"> in Vivo in Rat and in Vitro in Human Liver Microsomes, Hepatocytes, and Epidermal Keratinocytes: Characterization of Thioether Conjugates by Liquid Chromatography. </w:t>
      </w:r>
      <w:r w:rsidRPr="00C3410C">
        <w:rPr>
          <w:rFonts w:cs="Times New Roman"/>
          <w:i/>
          <w:iCs/>
          <w:noProof/>
          <w:sz w:val="24"/>
          <w:szCs w:val="24"/>
        </w:rPr>
        <w:t>Chemical Research in Toxicology</w:t>
      </w:r>
      <w:r w:rsidRPr="00C3410C">
        <w:rPr>
          <w:rFonts w:cs="Times New Roman"/>
          <w:noProof/>
          <w:sz w:val="24"/>
          <w:szCs w:val="24"/>
        </w:rPr>
        <w:t>, 23(1), pp.159–170.</w:t>
      </w:r>
    </w:p>
    <w:p w14:paraId="34E73B82"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Harms, H., Schlosser, D. &amp; Wick, L.Y., 2011. Untapped potential: exploiting fungi in bioremediation of hazardous chemicals. </w:t>
      </w:r>
      <w:r w:rsidRPr="00C3410C">
        <w:rPr>
          <w:rFonts w:cs="Times New Roman"/>
          <w:i/>
          <w:iCs/>
          <w:noProof/>
          <w:sz w:val="24"/>
          <w:szCs w:val="24"/>
        </w:rPr>
        <w:t>Nature Publishing Group</w:t>
      </w:r>
      <w:r w:rsidRPr="00C3410C">
        <w:rPr>
          <w:rFonts w:cs="Times New Roman"/>
          <w:noProof/>
          <w:sz w:val="24"/>
          <w:szCs w:val="24"/>
        </w:rPr>
        <w:t>, 9, pp.177–192.</w:t>
      </w:r>
    </w:p>
    <w:p w14:paraId="25E2C2DE"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Leonowicz, A. et al., 1999. REVIEW Biodegradation of Lignin by White Rot Fungi. </w:t>
      </w:r>
      <w:r w:rsidRPr="00C3410C">
        <w:rPr>
          <w:rFonts w:cs="Times New Roman"/>
          <w:i/>
          <w:iCs/>
          <w:noProof/>
          <w:sz w:val="24"/>
          <w:szCs w:val="24"/>
        </w:rPr>
        <w:t>Fungal Genetics and Biology</w:t>
      </w:r>
      <w:r w:rsidRPr="00C3410C">
        <w:rPr>
          <w:rFonts w:cs="Times New Roman"/>
          <w:noProof/>
          <w:sz w:val="24"/>
          <w:szCs w:val="24"/>
        </w:rPr>
        <w:t>, 27, pp.175–185.</w:t>
      </w:r>
    </w:p>
    <w:p w14:paraId="075A93EC"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Malchi, T. et al., 2014. Irrigation of root vegetables with treated wastewater: Evaluating uptake of pharmaceuticals and the associated human health risks. </w:t>
      </w:r>
      <w:r w:rsidRPr="00C3410C">
        <w:rPr>
          <w:rFonts w:cs="Times New Roman"/>
          <w:i/>
          <w:iCs/>
          <w:noProof/>
          <w:sz w:val="24"/>
          <w:szCs w:val="24"/>
        </w:rPr>
        <w:t>Environmental Science and Technology</w:t>
      </w:r>
      <w:r w:rsidRPr="00C3410C">
        <w:rPr>
          <w:rFonts w:cs="Times New Roman"/>
          <w:noProof/>
          <w:sz w:val="24"/>
          <w:szCs w:val="24"/>
        </w:rPr>
        <w:t>, 48, pp.9325–9333.</w:t>
      </w:r>
    </w:p>
    <w:p w14:paraId="38E96CF9"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Ning, D., Wang, H. &amp; Zhuang, Y., 2010. Induction of functional cytochrome P450 and its involvement in degradation of benzoic acid by Phanerochaete chrysosporium. </w:t>
      </w:r>
      <w:r w:rsidRPr="00C3410C">
        <w:rPr>
          <w:rFonts w:cs="Times New Roman"/>
          <w:i/>
          <w:iCs/>
          <w:noProof/>
          <w:sz w:val="24"/>
          <w:szCs w:val="24"/>
        </w:rPr>
        <w:t>Biodegradation</w:t>
      </w:r>
      <w:r w:rsidRPr="00C3410C">
        <w:rPr>
          <w:rFonts w:cs="Times New Roman"/>
          <w:noProof/>
          <w:sz w:val="24"/>
          <w:szCs w:val="24"/>
        </w:rPr>
        <w:t>, 21, pp.297–308.</w:t>
      </w:r>
    </w:p>
    <w:p w14:paraId="6E0654AF"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Paltiel, O. et al., 2016. Human Exposure to Wastewater-Derived Pharmaceuticals in Fresh Produce: A Randomized Controlled Trial Focusing on Carbamazepine. </w:t>
      </w:r>
      <w:r w:rsidRPr="00C3410C">
        <w:rPr>
          <w:rFonts w:cs="Times New Roman"/>
          <w:i/>
          <w:iCs/>
          <w:noProof/>
          <w:sz w:val="24"/>
          <w:szCs w:val="24"/>
        </w:rPr>
        <w:t>Environmental Science and Technology</w:t>
      </w:r>
      <w:r w:rsidRPr="00C3410C">
        <w:rPr>
          <w:rFonts w:cs="Times New Roman"/>
          <w:noProof/>
          <w:sz w:val="24"/>
          <w:szCs w:val="24"/>
        </w:rPr>
        <w:t>, 50(8), pp.4476–4482.</w:t>
      </w:r>
    </w:p>
    <w:p w14:paraId="03EBC1AD" w14:textId="4A59D7ED"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Paz, A. et al., 2016. Fate of carbamazepine, its metabolites, and </w:t>
      </w:r>
      <w:r w:rsidR="00B00442">
        <w:rPr>
          <w:rFonts w:cs="Times New Roman"/>
          <w:noProof/>
          <w:sz w:val="24"/>
          <w:szCs w:val="24"/>
        </w:rPr>
        <w:t>Lamotrigine</w:t>
      </w:r>
      <w:r w:rsidRPr="00C3410C">
        <w:rPr>
          <w:rFonts w:cs="Times New Roman"/>
          <w:noProof/>
          <w:sz w:val="24"/>
          <w:szCs w:val="24"/>
        </w:rPr>
        <w:t xml:space="preserve"> in soils irrigated with reclaimed wastewater: Sorption, leaching and plant uptake. </w:t>
      </w:r>
      <w:r w:rsidRPr="00C3410C">
        <w:rPr>
          <w:rFonts w:cs="Times New Roman"/>
          <w:i/>
          <w:iCs/>
          <w:noProof/>
          <w:sz w:val="24"/>
          <w:szCs w:val="24"/>
        </w:rPr>
        <w:t>Chemosphere</w:t>
      </w:r>
      <w:r w:rsidRPr="00C3410C">
        <w:rPr>
          <w:rFonts w:cs="Times New Roman"/>
          <w:noProof/>
          <w:sz w:val="24"/>
          <w:szCs w:val="24"/>
        </w:rPr>
        <w:t>, 160, pp.22–29. Available at: http://dx.doi.org/10.1016/j.chemosphere.2016.06.048.</w:t>
      </w:r>
    </w:p>
    <w:p w14:paraId="0671C652"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Sun, Q. et al., 2011. 1-Aminobenzotriazole, a known cytochrome P450 inhibitor, is a substrate and inhibitor of N-acetyltransferase. </w:t>
      </w:r>
      <w:r w:rsidRPr="00C3410C">
        <w:rPr>
          <w:rFonts w:cs="Times New Roman"/>
          <w:i/>
          <w:iCs/>
          <w:noProof/>
          <w:sz w:val="24"/>
          <w:szCs w:val="24"/>
        </w:rPr>
        <w:t>Drug Metabolism and Disposition</w:t>
      </w:r>
      <w:r w:rsidRPr="00C3410C">
        <w:rPr>
          <w:rFonts w:cs="Times New Roman"/>
          <w:noProof/>
          <w:sz w:val="24"/>
          <w:szCs w:val="24"/>
        </w:rPr>
        <w:t>, 39, pp.1674–1679.</w:t>
      </w:r>
    </w:p>
    <w:p w14:paraId="55D1DB4E"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Tiong, K.H. et al., 2014. Inhibitory potency of 8-methoxypsoralen on cytochrome P450 2A6 (CYP2A6) allelic variants CYP2A6*15, CYP2A6*16, CYP2A6*21 and CYP2A6*22: Differential susceptibility due to different sequence locations of the mutations. </w:t>
      </w:r>
      <w:r w:rsidRPr="00C3410C">
        <w:rPr>
          <w:rFonts w:cs="Times New Roman"/>
          <w:i/>
          <w:iCs/>
          <w:noProof/>
          <w:sz w:val="24"/>
          <w:szCs w:val="24"/>
        </w:rPr>
        <w:t>PLoS ONE</w:t>
      </w:r>
      <w:r w:rsidRPr="00C3410C">
        <w:rPr>
          <w:rFonts w:cs="Times New Roman"/>
          <w:noProof/>
          <w:sz w:val="24"/>
          <w:szCs w:val="24"/>
        </w:rPr>
        <w:t>, 9(1), p.e86230.</w:t>
      </w:r>
    </w:p>
    <w:p w14:paraId="6ED71CEB" w14:textId="494AE489"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U. A. Argikar,  and R.P.R., 2009. Variation in glucuronidation of </w:t>
      </w:r>
      <w:r w:rsidR="00B00442">
        <w:rPr>
          <w:rFonts w:cs="Times New Roman"/>
          <w:noProof/>
          <w:sz w:val="24"/>
          <w:szCs w:val="24"/>
        </w:rPr>
        <w:t>Lamotrigine</w:t>
      </w:r>
      <w:r w:rsidRPr="00C3410C">
        <w:rPr>
          <w:rFonts w:cs="Times New Roman"/>
          <w:noProof/>
          <w:sz w:val="24"/>
          <w:szCs w:val="24"/>
        </w:rPr>
        <w:t xml:space="preserve"> in human liver microsomes. </w:t>
      </w:r>
      <w:r w:rsidRPr="00C3410C">
        <w:rPr>
          <w:rFonts w:cs="Times New Roman"/>
          <w:i/>
          <w:iCs/>
          <w:noProof/>
          <w:sz w:val="24"/>
          <w:szCs w:val="24"/>
        </w:rPr>
        <w:t>Xenobiotica</w:t>
      </w:r>
      <w:r w:rsidRPr="00C3410C">
        <w:rPr>
          <w:rFonts w:cs="Times New Roman"/>
          <w:noProof/>
          <w:sz w:val="24"/>
          <w:szCs w:val="24"/>
        </w:rPr>
        <w:t>, 39(5), pp.355–363.</w:t>
      </w:r>
    </w:p>
    <w:p w14:paraId="4D7D5E8D" w14:textId="5F779490"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szCs w:val="24"/>
        </w:rPr>
      </w:pPr>
      <w:r w:rsidRPr="00C3410C">
        <w:rPr>
          <w:rFonts w:cs="Times New Roman"/>
          <w:noProof/>
          <w:sz w:val="24"/>
          <w:szCs w:val="24"/>
        </w:rPr>
        <w:t xml:space="preserve">Vajda, F.J.E., Dodd, S. &amp; Horgan, D., 2013. </w:t>
      </w:r>
      <w:r w:rsidR="00B00442">
        <w:rPr>
          <w:rFonts w:cs="Times New Roman"/>
          <w:noProof/>
          <w:sz w:val="24"/>
          <w:szCs w:val="24"/>
        </w:rPr>
        <w:t>Lamotrigine</w:t>
      </w:r>
      <w:r w:rsidRPr="00C3410C">
        <w:rPr>
          <w:rFonts w:cs="Times New Roman"/>
          <w:noProof/>
          <w:sz w:val="24"/>
          <w:szCs w:val="24"/>
        </w:rPr>
        <w:t xml:space="preserve"> in epilepsy, pregnancy and psychiatry-a drug for all seasons? </w:t>
      </w:r>
      <w:r w:rsidRPr="00C3410C">
        <w:rPr>
          <w:rFonts w:cs="Times New Roman"/>
          <w:i/>
          <w:iCs/>
          <w:noProof/>
          <w:sz w:val="24"/>
          <w:szCs w:val="24"/>
        </w:rPr>
        <w:t>Journal of Clinical Neuroscience</w:t>
      </w:r>
      <w:r w:rsidRPr="00C3410C">
        <w:rPr>
          <w:rFonts w:cs="Times New Roman"/>
          <w:noProof/>
          <w:sz w:val="24"/>
          <w:szCs w:val="24"/>
        </w:rPr>
        <w:t>, 20(1), pp.13–16.</w:t>
      </w:r>
    </w:p>
    <w:p w14:paraId="5DA138BD" w14:textId="77777777" w:rsidR="00C3410C" w:rsidRPr="00C3410C" w:rsidRDefault="00C3410C" w:rsidP="00F32898">
      <w:pPr>
        <w:widowControl w:val="0"/>
        <w:autoSpaceDE w:val="0"/>
        <w:autoSpaceDN w:val="0"/>
        <w:adjustRightInd w:val="0"/>
        <w:spacing w:after="0" w:line="360" w:lineRule="auto"/>
        <w:ind w:left="480" w:hanging="480"/>
        <w:jc w:val="both"/>
        <w:rPr>
          <w:rFonts w:cs="Times New Roman"/>
          <w:noProof/>
          <w:sz w:val="24"/>
        </w:rPr>
      </w:pPr>
      <w:r w:rsidRPr="00C3410C">
        <w:rPr>
          <w:rFonts w:cs="Times New Roman"/>
          <w:noProof/>
          <w:sz w:val="24"/>
          <w:szCs w:val="24"/>
        </w:rPr>
        <w:t xml:space="preserve">Writer, H. et al., 2013. In-Stream Attenuation of Neuro-Active Pharmaceuticals and Their Metabolites. </w:t>
      </w:r>
      <w:r w:rsidRPr="00C3410C">
        <w:rPr>
          <w:rFonts w:cs="Times New Roman"/>
          <w:i/>
          <w:iCs/>
          <w:noProof/>
          <w:sz w:val="24"/>
          <w:szCs w:val="24"/>
        </w:rPr>
        <w:t>Environmental Science and Technology</w:t>
      </w:r>
      <w:r w:rsidRPr="00C3410C">
        <w:rPr>
          <w:rFonts w:cs="Times New Roman"/>
          <w:noProof/>
          <w:sz w:val="24"/>
          <w:szCs w:val="24"/>
        </w:rPr>
        <w:t>, 47, pp.9781–9790.</w:t>
      </w:r>
    </w:p>
    <w:p w14:paraId="600588FB" w14:textId="77777777" w:rsidR="00243850" w:rsidRPr="00732562" w:rsidRDefault="00243850" w:rsidP="00406847">
      <w:pPr>
        <w:shd w:val="clear" w:color="auto" w:fill="FFFFFF"/>
        <w:bidi/>
        <w:spacing w:after="0" w:line="360" w:lineRule="auto"/>
        <w:jc w:val="both"/>
        <w:outlineLvl w:val="3"/>
        <w:rPr>
          <w:rFonts w:eastAsia="Times New Roman" w:cstheme="majorBidi"/>
          <w:sz w:val="24"/>
          <w:szCs w:val="24"/>
          <w:rtl/>
        </w:rPr>
      </w:pPr>
      <w:r w:rsidRPr="00732562">
        <w:rPr>
          <w:rFonts w:eastAsia="Times New Roman" w:cstheme="majorBidi"/>
          <w:sz w:val="24"/>
          <w:szCs w:val="24"/>
        </w:rPr>
        <w:fldChar w:fldCharType="end"/>
      </w:r>
      <w:r w:rsidR="00FD2BCB" w:rsidRPr="00732562">
        <w:rPr>
          <w:sz w:val="24"/>
          <w:szCs w:val="24"/>
          <w:rtl/>
        </w:rPr>
        <w:t xml:space="preserve"> כהן, א., פיימן, ד., קולר, נ., רשות הטבע והגנים. איסוף וטיפול בשפכים וניצול קולחים להשקיה חקלאית</w:t>
      </w:r>
      <w:r w:rsidR="00FD2BCB" w:rsidRPr="00732562">
        <w:rPr>
          <w:sz w:val="24"/>
          <w:szCs w:val="24"/>
        </w:rPr>
        <w:t xml:space="preserve">. </w:t>
      </w:r>
      <w:r w:rsidR="00FD2BCB" w:rsidRPr="00732562">
        <w:rPr>
          <w:sz w:val="24"/>
          <w:szCs w:val="24"/>
          <w:rtl/>
        </w:rPr>
        <w:t>סקר ארצי- 201</w:t>
      </w:r>
      <w:r w:rsidR="00FD2BCB" w:rsidRPr="00732562">
        <w:rPr>
          <w:rFonts w:hint="cs"/>
          <w:sz w:val="24"/>
          <w:szCs w:val="24"/>
          <w:rtl/>
        </w:rPr>
        <w:t>2</w:t>
      </w:r>
      <w:r w:rsidR="00FD2BCB" w:rsidRPr="00732562">
        <w:rPr>
          <w:sz w:val="24"/>
          <w:szCs w:val="24"/>
          <w:rtl/>
        </w:rPr>
        <w:t>,</w:t>
      </w:r>
      <w:r w:rsidR="00FD2BCB" w:rsidRPr="00732562">
        <w:rPr>
          <w:rFonts w:hint="cs"/>
          <w:sz w:val="24"/>
          <w:szCs w:val="24"/>
          <w:rtl/>
        </w:rPr>
        <w:t xml:space="preserve"> דצמבר</w:t>
      </w:r>
      <w:r w:rsidR="00FD2BCB" w:rsidRPr="00732562">
        <w:rPr>
          <w:sz w:val="24"/>
          <w:szCs w:val="24"/>
          <w:rtl/>
        </w:rPr>
        <w:t xml:space="preserve"> 201</w:t>
      </w:r>
      <w:r w:rsidR="00FD2BCB" w:rsidRPr="00732562">
        <w:rPr>
          <w:rFonts w:hint="cs"/>
          <w:sz w:val="24"/>
          <w:szCs w:val="24"/>
          <w:rtl/>
        </w:rPr>
        <w:t>4</w:t>
      </w:r>
      <w:r w:rsidR="00FD2BCB" w:rsidRPr="00732562">
        <w:rPr>
          <w:sz w:val="24"/>
          <w:szCs w:val="24"/>
          <w:rtl/>
        </w:rPr>
        <w:t>,אגף איכות מים, רשות המים</w:t>
      </w:r>
      <w:r w:rsidR="00FD2BCB" w:rsidRPr="00732562">
        <w:rPr>
          <w:rFonts w:eastAsia="Times New Roman" w:cstheme="majorBidi" w:hint="cs"/>
          <w:sz w:val="24"/>
          <w:szCs w:val="24"/>
          <w:rtl/>
        </w:rPr>
        <w:t>.</w:t>
      </w:r>
    </w:p>
    <w:p w14:paraId="4F64F2BA" w14:textId="160395EF" w:rsidR="00287D2F" w:rsidRPr="00732562" w:rsidRDefault="004A5B91" w:rsidP="00406847">
      <w:pPr>
        <w:pStyle w:val="Heading3"/>
        <w:shd w:val="clear" w:color="auto" w:fill="FFFFFF"/>
        <w:bidi/>
        <w:spacing w:before="0" w:line="360" w:lineRule="auto"/>
        <w:jc w:val="both"/>
        <w:rPr>
          <w:rFonts w:ascii="Arial" w:hAnsi="Arial" w:cs="David"/>
          <w:color w:val="auto"/>
        </w:rPr>
      </w:pPr>
      <w:hyperlink r:id="rId11" w:history="1">
        <w:r w:rsidR="00287D2F" w:rsidRPr="00732562">
          <w:rPr>
            <w:rStyle w:val="Hyperlink"/>
            <w:rFonts w:ascii="Arial" w:hAnsi="Arial" w:cs="David"/>
            <w:color w:val="auto"/>
            <w:u w:val="none"/>
            <w:rtl/>
          </w:rPr>
          <w:t xml:space="preserve">דוח סיכום פעילות </w:t>
        </w:r>
        <w:r w:rsidR="00B00442" w:rsidRPr="00732562">
          <w:rPr>
            <w:rStyle w:val="Hyperlink"/>
            <w:rFonts w:ascii="Arial" w:hAnsi="Arial" w:cs="David" w:hint="cs"/>
            <w:color w:val="auto"/>
            <w:u w:val="none"/>
            <w:rtl/>
          </w:rPr>
          <w:t>ההשקיה</w:t>
        </w:r>
        <w:r w:rsidR="00287D2F" w:rsidRPr="00732562">
          <w:rPr>
            <w:rStyle w:val="Hyperlink"/>
            <w:rFonts w:ascii="Arial" w:hAnsi="Arial" w:cs="David"/>
            <w:color w:val="auto"/>
            <w:u w:val="none"/>
            <w:rtl/>
          </w:rPr>
          <w:t xml:space="preserve"> בקולחים לשנת</w:t>
        </w:r>
      </w:hyperlink>
      <w:r w:rsidR="00287D2F" w:rsidRPr="00732562">
        <w:rPr>
          <w:rFonts w:ascii="Arial" w:hAnsi="Arial" w:cs="David" w:hint="cs"/>
          <w:color w:val="auto"/>
          <w:rtl/>
        </w:rPr>
        <w:t xml:space="preserve"> 2014, יוני 2015 המחלקה לבריאות הסביבה, משרד הבריאות.</w:t>
      </w:r>
    </w:p>
    <w:p w14:paraId="6EC0B8D6" w14:textId="77777777" w:rsidR="00FD2BCB" w:rsidRPr="00732562" w:rsidRDefault="00FD2BCB" w:rsidP="00406847">
      <w:pPr>
        <w:shd w:val="clear" w:color="auto" w:fill="FFFFFF"/>
        <w:bidi/>
        <w:spacing w:after="0" w:line="360" w:lineRule="auto"/>
        <w:jc w:val="both"/>
        <w:outlineLvl w:val="3"/>
        <w:rPr>
          <w:rFonts w:eastAsia="Times New Roman" w:cstheme="majorBidi"/>
          <w:sz w:val="24"/>
          <w:szCs w:val="24"/>
          <w:rtl/>
        </w:rPr>
      </w:pPr>
    </w:p>
    <w:p w14:paraId="727FDFD4" w14:textId="77777777" w:rsidR="00047D8C" w:rsidRPr="00732562" w:rsidRDefault="00047D8C" w:rsidP="00406847">
      <w:pPr>
        <w:shd w:val="clear" w:color="auto" w:fill="FFFFFF"/>
        <w:spacing w:after="0" w:line="360" w:lineRule="auto"/>
        <w:jc w:val="both"/>
        <w:outlineLvl w:val="3"/>
        <w:rPr>
          <w:rFonts w:eastAsia="Times New Roman" w:cs="Arial"/>
          <w:b/>
          <w:bCs/>
          <w:sz w:val="24"/>
          <w:szCs w:val="24"/>
          <w:u w:val="single"/>
          <w:rtl/>
        </w:rPr>
      </w:pPr>
    </w:p>
    <w:p w14:paraId="2EBAAC0C" w14:textId="77777777" w:rsidR="00047D8C" w:rsidRPr="00732562" w:rsidRDefault="00047D8C" w:rsidP="00406847">
      <w:pPr>
        <w:shd w:val="clear" w:color="auto" w:fill="FFFFFF"/>
        <w:spacing w:after="0" w:line="360" w:lineRule="auto"/>
        <w:jc w:val="both"/>
        <w:outlineLvl w:val="3"/>
        <w:rPr>
          <w:rFonts w:eastAsia="Times New Roman" w:cs="Arial"/>
          <w:b/>
          <w:bCs/>
          <w:sz w:val="24"/>
          <w:szCs w:val="24"/>
          <w:u w:val="single"/>
          <w:rtl/>
        </w:rPr>
      </w:pPr>
    </w:p>
    <w:p w14:paraId="4A670EB7" w14:textId="77777777" w:rsidR="00047D8C" w:rsidRPr="00732562" w:rsidRDefault="00047D8C" w:rsidP="00406847">
      <w:pPr>
        <w:shd w:val="clear" w:color="auto" w:fill="FFFFFF"/>
        <w:spacing w:after="0" w:line="360" w:lineRule="auto"/>
        <w:jc w:val="both"/>
        <w:outlineLvl w:val="3"/>
        <w:rPr>
          <w:rFonts w:eastAsia="Times New Roman" w:cs="Arial"/>
          <w:b/>
          <w:bCs/>
          <w:sz w:val="24"/>
          <w:szCs w:val="24"/>
          <w:u w:val="single"/>
          <w:rtl/>
        </w:rPr>
      </w:pPr>
    </w:p>
    <w:p w14:paraId="6EAC71D2" w14:textId="77777777" w:rsidR="00047D8C" w:rsidRPr="00732562" w:rsidRDefault="00047D8C" w:rsidP="00406847">
      <w:pPr>
        <w:shd w:val="clear" w:color="auto" w:fill="FFFFFF"/>
        <w:spacing w:after="0" w:line="360" w:lineRule="auto"/>
        <w:jc w:val="both"/>
        <w:outlineLvl w:val="3"/>
        <w:rPr>
          <w:rFonts w:eastAsia="Times New Roman" w:cs="Arial"/>
          <w:b/>
          <w:bCs/>
          <w:sz w:val="24"/>
          <w:szCs w:val="24"/>
          <w:u w:val="single"/>
          <w:rtl/>
        </w:rPr>
      </w:pPr>
    </w:p>
    <w:p w14:paraId="68978258" w14:textId="77777777" w:rsidR="00047D8C" w:rsidRPr="00732562" w:rsidRDefault="00047D8C" w:rsidP="00406847">
      <w:pPr>
        <w:shd w:val="clear" w:color="auto" w:fill="FFFFFF"/>
        <w:spacing w:after="0" w:line="360" w:lineRule="auto"/>
        <w:jc w:val="both"/>
        <w:outlineLvl w:val="3"/>
        <w:rPr>
          <w:rFonts w:eastAsia="Times New Roman" w:cs="Arial"/>
          <w:b/>
          <w:bCs/>
          <w:sz w:val="24"/>
          <w:szCs w:val="24"/>
          <w:u w:val="single"/>
          <w:rtl/>
        </w:rPr>
      </w:pPr>
    </w:p>
    <w:p w14:paraId="177049F4" w14:textId="77777777" w:rsidR="00057025" w:rsidRPr="00732562" w:rsidRDefault="00057025" w:rsidP="00406847">
      <w:pPr>
        <w:shd w:val="clear" w:color="auto" w:fill="FFFFFF"/>
        <w:spacing w:after="0" w:line="360" w:lineRule="auto"/>
        <w:jc w:val="both"/>
        <w:outlineLvl w:val="3"/>
        <w:rPr>
          <w:rFonts w:eastAsia="Times New Roman" w:cs="Arial"/>
          <w:b/>
          <w:bCs/>
          <w:sz w:val="24"/>
          <w:szCs w:val="24"/>
          <w:u w:val="single"/>
          <w:rtl/>
        </w:rPr>
      </w:pPr>
    </w:p>
    <w:p w14:paraId="49D1E344" w14:textId="77777777" w:rsidR="00057025" w:rsidRPr="00732562" w:rsidRDefault="00057025" w:rsidP="00406847">
      <w:pPr>
        <w:shd w:val="clear" w:color="auto" w:fill="FFFFFF"/>
        <w:spacing w:after="0" w:line="360" w:lineRule="auto"/>
        <w:jc w:val="both"/>
        <w:outlineLvl w:val="3"/>
        <w:rPr>
          <w:rFonts w:eastAsia="Times New Roman" w:cs="Arial"/>
          <w:b/>
          <w:bCs/>
          <w:sz w:val="24"/>
          <w:szCs w:val="24"/>
          <w:rtl/>
        </w:rPr>
      </w:pPr>
      <w:r w:rsidRPr="00732562">
        <w:rPr>
          <w:rFonts w:eastAsia="Times New Roman" w:cs="Arial" w:hint="cs"/>
          <w:b/>
          <w:bCs/>
          <w:sz w:val="24"/>
          <w:szCs w:val="24"/>
          <w:rtl/>
        </w:rPr>
        <w:t xml:space="preserve">  </w:t>
      </w:r>
    </w:p>
    <w:p w14:paraId="14088870" w14:textId="77777777" w:rsidR="004F5A00" w:rsidRPr="00732562" w:rsidRDefault="004F5A00" w:rsidP="00406847">
      <w:pPr>
        <w:shd w:val="clear" w:color="auto" w:fill="FFFFFF"/>
        <w:spacing w:after="0" w:line="360" w:lineRule="auto"/>
        <w:jc w:val="both"/>
        <w:outlineLvl w:val="3"/>
        <w:rPr>
          <w:rFonts w:eastAsia="Times New Roman" w:cs="Arial"/>
          <w:b/>
          <w:bCs/>
          <w:sz w:val="24"/>
          <w:szCs w:val="24"/>
          <w:u w:val="single"/>
          <w:rtl/>
        </w:rPr>
      </w:pPr>
    </w:p>
    <w:p w14:paraId="2666F746" w14:textId="77777777" w:rsidR="00F04A38" w:rsidRPr="00732562" w:rsidRDefault="00F04A38" w:rsidP="00406847">
      <w:pPr>
        <w:spacing w:after="0" w:line="360" w:lineRule="auto"/>
        <w:jc w:val="both"/>
        <w:rPr>
          <w:sz w:val="24"/>
          <w:szCs w:val="24"/>
        </w:rPr>
      </w:pPr>
    </w:p>
    <w:sectPr w:rsidR="00F04A38" w:rsidRPr="00732562" w:rsidSect="00EB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vOT2e364b11">
    <w:altName w:val="Times New Roman"/>
    <w:panose1 w:val="00000000000000000000"/>
    <w:charset w:val="00"/>
    <w:family w:val="roman"/>
    <w:notTrueType/>
    <w:pitch w:val="default"/>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FF5"/>
    <w:multiLevelType w:val="hybridMultilevel"/>
    <w:tmpl w:val="5DD408E8"/>
    <w:lvl w:ilvl="0" w:tplc="12C461E0">
      <w:numFmt w:val="bullet"/>
      <w:lvlText w:val="-"/>
      <w:lvlJc w:val="left"/>
      <w:pPr>
        <w:ind w:left="720" w:hanging="360"/>
      </w:pPr>
      <w:rPr>
        <w:rFonts w:ascii="Times New Roman" w:eastAsiaTheme="minorHAnsi"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3362F"/>
    <w:multiLevelType w:val="multilevel"/>
    <w:tmpl w:val="DCC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D5DF8"/>
    <w:multiLevelType w:val="hybridMultilevel"/>
    <w:tmpl w:val="32EC0408"/>
    <w:lvl w:ilvl="0" w:tplc="D4D8F5DA">
      <w:start w:val="1"/>
      <w:numFmt w:val="decimal"/>
      <w:lvlText w:val="%1."/>
      <w:lvlJc w:val="left"/>
      <w:pPr>
        <w:ind w:left="720" w:hanging="360"/>
      </w:pPr>
      <w:rPr>
        <w:rFonts w:asciiTheme="majorBidi" w:eastAsia="Times New Roman" w:hAnsi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27DCF"/>
    <w:multiLevelType w:val="hybridMultilevel"/>
    <w:tmpl w:val="323A2772"/>
    <w:lvl w:ilvl="0" w:tplc="645EE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401D10"/>
    <w:multiLevelType w:val="hybridMultilevel"/>
    <w:tmpl w:val="63CC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546F2"/>
    <w:multiLevelType w:val="hybridMultilevel"/>
    <w:tmpl w:val="589A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97F68"/>
    <w:multiLevelType w:val="multilevel"/>
    <w:tmpl w:val="22D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0"/>
    <w:rsid w:val="000050D4"/>
    <w:rsid w:val="00005156"/>
    <w:rsid w:val="00006404"/>
    <w:rsid w:val="00021135"/>
    <w:rsid w:val="00023AD8"/>
    <w:rsid w:val="00041098"/>
    <w:rsid w:val="00047D8C"/>
    <w:rsid w:val="00050702"/>
    <w:rsid w:val="00054A8B"/>
    <w:rsid w:val="00054D70"/>
    <w:rsid w:val="00057025"/>
    <w:rsid w:val="0006106B"/>
    <w:rsid w:val="00076490"/>
    <w:rsid w:val="00092ED1"/>
    <w:rsid w:val="00095541"/>
    <w:rsid w:val="00096FC0"/>
    <w:rsid w:val="000A196F"/>
    <w:rsid w:val="000B44E6"/>
    <w:rsid w:val="000C3E80"/>
    <w:rsid w:val="000D1327"/>
    <w:rsid w:val="000D3C1F"/>
    <w:rsid w:val="000F5B53"/>
    <w:rsid w:val="00113D44"/>
    <w:rsid w:val="00120A75"/>
    <w:rsid w:val="0012240E"/>
    <w:rsid w:val="00132442"/>
    <w:rsid w:val="00132A4B"/>
    <w:rsid w:val="00140154"/>
    <w:rsid w:val="00151193"/>
    <w:rsid w:val="00152981"/>
    <w:rsid w:val="0017045A"/>
    <w:rsid w:val="001757CE"/>
    <w:rsid w:val="001805E9"/>
    <w:rsid w:val="001919E7"/>
    <w:rsid w:val="001B4176"/>
    <w:rsid w:val="001C1CB8"/>
    <w:rsid w:val="001D7D69"/>
    <w:rsid w:val="001E048B"/>
    <w:rsid w:val="001E201D"/>
    <w:rsid w:val="001F3932"/>
    <w:rsid w:val="00205520"/>
    <w:rsid w:val="0021173F"/>
    <w:rsid w:val="00212419"/>
    <w:rsid w:val="002209C1"/>
    <w:rsid w:val="002219B2"/>
    <w:rsid w:val="002235D3"/>
    <w:rsid w:val="00232165"/>
    <w:rsid w:val="002328A5"/>
    <w:rsid w:val="00232A9A"/>
    <w:rsid w:val="00242EFA"/>
    <w:rsid w:val="00243850"/>
    <w:rsid w:val="002511BC"/>
    <w:rsid w:val="00251796"/>
    <w:rsid w:val="002543D3"/>
    <w:rsid w:val="00255945"/>
    <w:rsid w:val="00275E59"/>
    <w:rsid w:val="002763E0"/>
    <w:rsid w:val="0027655C"/>
    <w:rsid w:val="00287D2F"/>
    <w:rsid w:val="00292AF2"/>
    <w:rsid w:val="002A0CCD"/>
    <w:rsid w:val="002C2082"/>
    <w:rsid w:val="002C72B2"/>
    <w:rsid w:val="002D179F"/>
    <w:rsid w:val="002D5795"/>
    <w:rsid w:val="002D58F3"/>
    <w:rsid w:val="002E177D"/>
    <w:rsid w:val="002F39A7"/>
    <w:rsid w:val="002F3CE8"/>
    <w:rsid w:val="003142CC"/>
    <w:rsid w:val="003150E0"/>
    <w:rsid w:val="00335F1C"/>
    <w:rsid w:val="003405CA"/>
    <w:rsid w:val="00343914"/>
    <w:rsid w:val="00354E7E"/>
    <w:rsid w:val="00380800"/>
    <w:rsid w:val="003868B9"/>
    <w:rsid w:val="0039153A"/>
    <w:rsid w:val="0039589D"/>
    <w:rsid w:val="003B3DE8"/>
    <w:rsid w:val="003C153A"/>
    <w:rsid w:val="003D75CE"/>
    <w:rsid w:val="003F0FC7"/>
    <w:rsid w:val="003F22D1"/>
    <w:rsid w:val="003F38EC"/>
    <w:rsid w:val="003F7755"/>
    <w:rsid w:val="00406847"/>
    <w:rsid w:val="00410741"/>
    <w:rsid w:val="004124E5"/>
    <w:rsid w:val="004163D1"/>
    <w:rsid w:val="00421CA0"/>
    <w:rsid w:val="00424030"/>
    <w:rsid w:val="00426D4F"/>
    <w:rsid w:val="00437E4D"/>
    <w:rsid w:val="004422E2"/>
    <w:rsid w:val="00445791"/>
    <w:rsid w:val="004522F5"/>
    <w:rsid w:val="00452450"/>
    <w:rsid w:val="00453CFC"/>
    <w:rsid w:val="004A5B91"/>
    <w:rsid w:val="004A6BFB"/>
    <w:rsid w:val="004B1299"/>
    <w:rsid w:val="004C7482"/>
    <w:rsid w:val="004D0A46"/>
    <w:rsid w:val="004D1C35"/>
    <w:rsid w:val="004E41EB"/>
    <w:rsid w:val="004F5A00"/>
    <w:rsid w:val="005152F8"/>
    <w:rsid w:val="005230F9"/>
    <w:rsid w:val="00531F40"/>
    <w:rsid w:val="00542252"/>
    <w:rsid w:val="005434C3"/>
    <w:rsid w:val="00544DDD"/>
    <w:rsid w:val="00547275"/>
    <w:rsid w:val="005536B8"/>
    <w:rsid w:val="00553F81"/>
    <w:rsid w:val="00560092"/>
    <w:rsid w:val="0056468E"/>
    <w:rsid w:val="00575C6E"/>
    <w:rsid w:val="00577F59"/>
    <w:rsid w:val="00587C3C"/>
    <w:rsid w:val="005900B5"/>
    <w:rsid w:val="005929BA"/>
    <w:rsid w:val="00593C81"/>
    <w:rsid w:val="005B0EDC"/>
    <w:rsid w:val="005B7D59"/>
    <w:rsid w:val="005C0764"/>
    <w:rsid w:val="005D0BBE"/>
    <w:rsid w:val="005D60BC"/>
    <w:rsid w:val="005E19DE"/>
    <w:rsid w:val="006001F8"/>
    <w:rsid w:val="006204CD"/>
    <w:rsid w:val="00622103"/>
    <w:rsid w:val="00623FBE"/>
    <w:rsid w:val="006310D0"/>
    <w:rsid w:val="006315B3"/>
    <w:rsid w:val="006353C4"/>
    <w:rsid w:val="00640BDC"/>
    <w:rsid w:val="00644CEA"/>
    <w:rsid w:val="00650FA7"/>
    <w:rsid w:val="00671376"/>
    <w:rsid w:val="00684567"/>
    <w:rsid w:val="00694C0E"/>
    <w:rsid w:val="0069533C"/>
    <w:rsid w:val="006A0B34"/>
    <w:rsid w:val="006A0C39"/>
    <w:rsid w:val="006D2873"/>
    <w:rsid w:val="006D3BB7"/>
    <w:rsid w:val="006D5DB2"/>
    <w:rsid w:val="006F2DCF"/>
    <w:rsid w:val="006F4A34"/>
    <w:rsid w:val="006F65A7"/>
    <w:rsid w:val="007065FD"/>
    <w:rsid w:val="0071462C"/>
    <w:rsid w:val="0071503B"/>
    <w:rsid w:val="00724730"/>
    <w:rsid w:val="00731823"/>
    <w:rsid w:val="00732562"/>
    <w:rsid w:val="007353FC"/>
    <w:rsid w:val="00735691"/>
    <w:rsid w:val="0073658E"/>
    <w:rsid w:val="007564BE"/>
    <w:rsid w:val="0076298E"/>
    <w:rsid w:val="007726F2"/>
    <w:rsid w:val="00777104"/>
    <w:rsid w:val="00786857"/>
    <w:rsid w:val="007928F2"/>
    <w:rsid w:val="007B2953"/>
    <w:rsid w:val="007B68FC"/>
    <w:rsid w:val="007C0D93"/>
    <w:rsid w:val="007C520D"/>
    <w:rsid w:val="007D0B51"/>
    <w:rsid w:val="007D74DA"/>
    <w:rsid w:val="007D7DA4"/>
    <w:rsid w:val="007E33F2"/>
    <w:rsid w:val="007F0D5F"/>
    <w:rsid w:val="007F7433"/>
    <w:rsid w:val="00802C81"/>
    <w:rsid w:val="00815D3B"/>
    <w:rsid w:val="0082037A"/>
    <w:rsid w:val="008212FA"/>
    <w:rsid w:val="00850AFC"/>
    <w:rsid w:val="0085110F"/>
    <w:rsid w:val="00851DAF"/>
    <w:rsid w:val="00852471"/>
    <w:rsid w:val="00867909"/>
    <w:rsid w:val="00887D2F"/>
    <w:rsid w:val="008A3D23"/>
    <w:rsid w:val="008A5492"/>
    <w:rsid w:val="008C15DA"/>
    <w:rsid w:val="008C5C17"/>
    <w:rsid w:val="008E3940"/>
    <w:rsid w:val="008F1816"/>
    <w:rsid w:val="00904D19"/>
    <w:rsid w:val="00922CB0"/>
    <w:rsid w:val="0092467E"/>
    <w:rsid w:val="00934102"/>
    <w:rsid w:val="009345E4"/>
    <w:rsid w:val="00971448"/>
    <w:rsid w:val="00972737"/>
    <w:rsid w:val="009A0F43"/>
    <w:rsid w:val="009D201A"/>
    <w:rsid w:val="009E1830"/>
    <w:rsid w:val="009F0771"/>
    <w:rsid w:val="009F0DBE"/>
    <w:rsid w:val="009F5C7B"/>
    <w:rsid w:val="00A01C21"/>
    <w:rsid w:val="00A025E9"/>
    <w:rsid w:val="00A047A1"/>
    <w:rsid w:val="00A0583D"/>
    <w:rsid w:val="00A15CF2"/>
    <w:rsid w:val="00A223D6"/>
    <w:rsid w:val="00A23C36"/>
    <w:rsid w:val="00A26196"/>
    <w:rsid w:val="00A279ED"/>
    <w:rsid w:val="00A36026"/>
    <w:rsid w:val="00A378B6"/>
    <w:rsid w:val="00A41A8F"/>
    <w:rsid w:val="00A54CC2"/>
    <w:rsid w:val="00A63257"/>
    <w:rsid w:val="00A71B36"/>
    <w:rsid w:val="00A73DC3"/>
    <w:rsid w:val="00A83230"/>
    <w:rsid w:val="00A85D65"/>
    <w:rsid w:val="00A90A36"/>
    <w:rsid w:val="00AA0496"/>
    <w:rsid w:val="00AA667D"/>
    <w:rsid w:val="00AB07E6"/>
    <w:rsid w:val="00AB72F7"/>
    <w:rsid w:val="00AC1C87"/>
    <w:rsid w:val="00AC2D88"/>
    <w:rsid w:val="00AE218D"/>
    <w:rsid w:val="00AF12E6"/>
    <w:rsid w:val="00B00442"/>
    <w:rsid w:val="00B16606"/>
    <w:rsid w:val="00B25B06"/>
    <w:rsid w:val="00B26799"/>
    <w:rsid w:val="00B33442"/>
    <w:rsid w:val="00B46E08"/>
    <w:rsid w:val="00B5659D"/>
    <w:rsid w:val="00B65D0B"/>
    <w:rsid w:val="00B70F99"/>
    <w:rsid w:val="00B84627"/>
    <w:rsid w:val="00B94D9A"/>
    <w:rsid w:val="00B97DE8"/>
    <w:rsid w:val="00BA5F9A"/>
    <w:rsid w:val="00BC28FD"/>
    <w:rsid w:val="00BD6FAF"/>
    <w:rsid w:val="00BE3568"/>
    <w:rsid w:val="00BE424D"/>
    <w:rsid w:val="00BE7480"/>
    <w:rsid w:val="00BF5BC3"/>
    <w:rsid w:val="00C11A56"/>
    <w:rsid w:val="00C269F5"/>
    <w:rsid w:val="00C3410C"/>
    <w:rsid w:val="00C35D94"/>
    <w:rsid w:val="00C36003"/>
    <w:rsid w:val="00C36D0A"/>
    <w:rsid w:val="00C41C4E"/>
    <w:rsid w:val="00C42E74"/>
    <w:rsid w:val="00C4511F"/>
    <w:rsid w:val="00C5494F"/>
    <w:rsid w:val="00C556EA"/>
    <w:rsid w:val="00C56C82"/>
    <w:rsid w:val="00C6218D"/>
    <w:rsid w:val="00C854ED"/>
    <w:rsid w:val="00C95CF7"/>
    <w:rsid w:val="00CC38CC"/>
    <w:rsid w:val="00CC4B9A"/>
    <w:rsid w:val="00CD03BA"/>
    <w:rsid w:val="00CD1D04"/>
    <w:rsid w:val="00CD68AE"/>
    <w:rsid w:val="00CF23ED"/>
    <w:rsid w:val="00CF5B45"/>
    <w:rsid w:val="00D10782"/>
    <w:rsid w:val="00D21E9F"/>
    <w:rsid w:val="00D3298D"/>
    <w:rsid w:val="00D33E9C"/>
    <w:rsid w:val="00D47D39"/>
    <w:rsid w:val="00D541A5"/>
    <w:rsid w:val="00D56276"/>
    <w:rsid w:val="00D60C62"/>
    <w:rsid w:val="00D76921"/>
    <w:rsid w:val="00D76E6E"/>
    <w:rsid w:val="00D775D1"/>
    <w:rsid w:val="00D94532"/>
    <w:rsid w:val="00DA2E21"/>
    <w:rsid w:val="00DC081C"/>
    <w:rsid w:val="00DD26B6"/>
    <w:rsid w:val="00DF093B"/>
    <w:rsid w:val="00DF30FE"/>
    <w:rsid w:val="00DF3CCC"/>
    <w:rsid w:val="00E2653C"/>
    <w:rsid w:val="00E27E7F"/>
    <w:rsid w:val="00E32403"/>
    <w:rsid w:val="00E36DCB"/>
    <w:rsid w:val="00E54CB4"/>
    <w:rsid w:val="00E56EF7"/>
    <w:rsid w:val="00E66F7F"/>
    <w:rsid w:val="00E73D8C"/>
    <w:rsid w:val="00E80857"/>
    <w:rsid w:val="00E901CC"/>
    <w:rsid w:val="00E92D25"/>
    <w:rsid w:val="00E97C83"/>
    <w:rsid w:val="00EA373A"/>
    <w:rsid w:val="00EB2B73"/>
    <w:rsid w:val="00EB3E5C"/>
    <w:rsid w:val="00EB41DC"/>
    <w:rsid w:val="00EB51E4"/>
    <w:rsid w:val="00EC3C7D"/>
    <w:rsid w:val="00ED3F3C"/>
    <w:rsid w:val="00EF442F"/>
    <w:rsid w:val="00EF646B"/>
    <w:rsid w:val="00F03BC7"/>
    <w:rsid w:val="00F04A38"/>
    <w:rsid w:val="00F22115"/>
    <w:rsid w:val="00F23DB5"/>
    <w:rsid w:val="00F244B2"/>
    <w:rsid w:val="00F25DB9"/>
    <w:rsid w:val="00F32898"/>
    <w:rsid w:val="00F36AFC"/>
    <w:rsid w:val="00F37B73"/>
    <w:rsid w:val="00F46D50"/>
    <w:rsid w:val="00F71D60"/>
    <w:rsid w:val="00F73B3E"/>
    <w:rsid w:val="00F87BFD"/>
    <w:rsid w:val="00F90362"/>
    <w:rsid w:val="00F90D85"/>
    <w:rsid w:val="00F952C1"/>
    <w:rsid w:val="00FA0409"/>
    <w:rsid w:val="00FA081F"/>
    <w:rsid w:val="00FA1783"/>
    <w:rsid w:val="00FA57F0"/>
    <w:rsid w:val="00FA61A1"/>
    <w:rsid w:val="00FB4946"/>
    <w:rsid w:val="00FB7E61"/>
    <w:rsid w:val="00FD0073"/>
    <w:rsid w:val="00FD0919"/>
    <w:rsid w:val="00FD2BCB"/>
    <w:rsid w:val="00FD6D53"/>
    <w:rsid w:val="00FE22D4"/>
    <w:rsid w:val="00FF3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E483"/>
  <w15:docId w15:val="{F93E75E8-8A5D-4CE1-83F1-AC46281C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E74"/>
    <w:rPr>
      <w:rFonts w:ascii="Times New Roman" w:hAnsi="Times New Roman" w:cs="David"/>
    </w:rPr>
  </w:style>
  <w:style w:type="paragraph" w:styleId="Heading2">
    <w:name w:val="heading 2"/>
    <w:basedOn w:val="Normal"/>
    <w:next w:val="Normal"/>
    <w:link w:val="Heading2Char"/>
    <w:uiPriority w:val="9"/>
    <w:semiHidden/>
    <w:unhideWhenUsed/>
    <w:qFormat/>
    <w:rsid w:val="00113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7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F5A00"/>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5A00"/>
    <w:rPr>
      <w:rFonts w:ascii="Times New Roman" w:eastAsia="Times New Roman" w:hAnsi="Times New Roman" w:cs="Times New Roman"/>
      <w:b/>
      <w:bCs/>
      <w:sz w:val="24"/>
      <w:szCs w:val="24"/>
    </w:rPr>
  </w:style>
  <w:style w:type="character" w:styleId="Strong">
    <w:name w:val="Strong"/>
    <w:basedOn w:val="DefaultParagraphFont"/>
    <w:uiPriority w:val="22"/>
    <w:qFormat/>
    <w:rsid w:val="007F0D5F"/>
    <w:rPr>
      <w:b/>
      <w:bCs/>
    </w:rPr>
  </w:style>
  <w:style w:type="paragraph" w:styleId="NormalWeb">
    <w:name w:val="Normal (Web)"/>
    <w:basedOn w:val="Normal"/>
    <w:uiPriority w:val="99"/>
    <w:semiHidden/>
    <w:unhideWhenUsed/>
    <w:rsid w:val="005C0764"/>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EF646B"/>
    <w:pPr>
      <w:ind w:left="720"/>
      <w:contextualSpacing/>
    </w:pPr>
  </w:style>
  <w:style w:type="table" w:styleId="TableGrid">
    <w:name w:val="Table Grid"/>
    <w:basedOn w:val="TableNormal"/>
    <w:uiPriority w:val="39"/>
    <w:rsid w:val="00E73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5E4"/>
    <w:rPr>
      <w:rFonts w:ascii="Tahoma" w:hAnsi="Tahoma" w:cs="Tahoma"/>
      <w:sz w:val="16"/>
      <w:szCs w:val="16"/>
    </w:rPr>
  </w:style>
  <w:style w:type="character" w:styleId="Hyperlink">
    <w:name w:val="Hyperlink"/>
    <w:basedOn w:val="DefaultParagraphFont"/>
    <w:uiPriority w:val="99"/>
    <w:semiHidden/>
    <w:unhideWhenUsed/>
    <w:rsid w:val="002219B2"/>
    <w:rPr>
      <w:color w:val="0000FF"/>
      <w:u w:val="single"/>
    </w:rPr>
  </w:style>
  <w:style w:type="character" w:customStyle="1" w:styleId="apple-converted-space">
    <w:name w:val="apple-converted-space"/>
    <w:basedOn w:val="DefaultParagraphFont"/>
    <w:rsid w:val="002219B2"/>
  </w:style>
  <w:style w:type="character" w:styleId="CommentReference">
    <w:name w:val="annotation reference"/>
    <w:basedOn w:val="DefaultParagraphFont"/>
    <w:uiPriority w:val="99"/>
    <w:semiHidden/>
    <w:unhideWhenUsed/>
    <w:rsid w:val="00735691"/>
    <w:rPr>
      <w:sz w:val="16"/>
      <w:szCs w:val="16"/>
    </w:rPr>
  </w:style>
  <w:style w:type="paragraph" w:styleId="CommentText">
    <w:name w:val="annotation text"/>
    <w:basedOn w:val="Normal"/>
    <w:link w:val="CommentTextChar"/>
    <w:uiPriority w:val="99"/>
    <w:semiHidden/>
    <w:unhideWhenUsed/>
    <w:rsid w:val="00735691"/>
    <w:pPr>
      <w:spacing w:line="240" w:lineRule="auto"/>
    </w:pPr>
    <w:rPr>
      <w:sz w:val="20"/>
      <w:szCs w:val="20"/>
    </w:rPr>
  </w:style>
  <w:style w:type="character" w:customStyle="1" w:styleId="CommentTextChar">
    <w:name w:val="Comment Text Char"/>
    <w:basedOn w:val="DefaultParagraphFont"/>
    <w:link w:val="CommentText"/>
    <w:uiPriority w:val="99"/>
    <w:semiHidden/>
    <w:rsid w:val="00735691"/>
    <w:rPr>
      <w:rFonts w:ascii="Times New Roman" w:hAnsi="Times New Roman" w:cs="David"/>
      <w:sz w:val="20"/>
      <w:szCs w:val="20"/>
    </w:rPr>
  </w:style>
  <w:style w:type="paragraph" w:styleId="CommentSubject">
    <w:name w:val="annotation subject"/>
    <w:basedOn w:val="CommentText"/>
    <w:next w:val="CommentText"/>
    <w:link w:val="CommentSubjectChar"/>
    <w:uiPriority w:val="99"/>
    <w:semiHidden/>
    <w:unhideWhenUsed/>
    <w:rsid w:val="00735691"/>
    <w:rPr>
      <w:b/>
      <w:bCs/>
    </w:rPr>
  </w:style>
  <w:style w:type="character" w:customStyle="1" w:styleId="CommentSubjectChar">
    <w:name w:val="Comment Subject Char"/>
    <w:basedOn w:val="CommentTextChar"/>
    <w:link w:val="CommentSubject"/>
    <w:uiPriority w:val="99"/>
    <w:semiHidden/>
    <w:rsid w:val="00735691"/>
    <w:rPr>
      <w:rFonts w:ascii="Times New Roman" w:hAnsi="Times New Roman" w:cs="David"/>
      <w:b/>
      <w:bCs/>
      <w:sz w:val="20"/>
      <w:szCs w:val="20"/>
    </w:rPr>
  </w:style>
  <w:style w:type="character" w:customStyle="1" w:styleId="Heading2Char">
    <w:name w:val="Heading 2 Char"/>
    <w:basedOn w:val="DefaultParagraphFont"/>
    <w:link w:val="Heading2"/>
    <w:uiPriority w:val="9"/>
    <w:semiHidden/>
    <w:rsid w:val="00113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7D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2250">
      <w:bodyDiv w:val="1"/>
      <w:marLeft w:val="0"/>
      <w:marRight w:val="0"/>
      <w:marTop w:val="0"/>
      <w:marBottom w:val="0"/>
      <w:divBdr>
        <w:top w:val="none" w:sz="0" w:space="0" w:color="auto"/>
        <w:left w:val="none" w:sz="0" w:space="0" w:color="auto"/>
        <w:bottom w:val="none" w:sz="0" w:space="0" w:color="auto"/>
        <w:right w:val="none" w:sz="0" w:space="0" w:color="auto"/>
      </w:divBdr>
    </w:div>
    <w:div w:id="458032099">
      <w:bodyDiv w:val="1"/>
      <w:marLeft w:val="0"/>
      <w:marRight w:val="0"/>
      <w:marTop w:val="0"/>
      <w:marBottom w:val="0"/>
      <w:divBdr>
        <w:top w:val="none" w:sz="0" w:space="0" w:color="auto"/>
        <w:left w:val="none" w:sz="0" w:space="0" w:color="auto"/>
        <w:bottom w:val="none" w:sz="0" w:space="0" w:color="auto"/>
        <w:right w:val="none" w:sz="0" w:space="0" w:color="auto"/>
      </w:divBdr>
    </w:div>
    <w:div w:id="549073685">
      <w:bodyDiv w:val="1"/>
      <w:marLeft w:val="0"/>
      <w:marRight w:val="0"/>
      <w:marTop w:val="0"/>
      <w:marBottom w:val="0"/>
      <w:divBdr>
        <w:top w:val="none" w:sz="0" w:space="0" w:color="auto"/>
        <w:left w:val="none" w:sz="0" w:space="0" w:color="auto"/>
        <w:bottom w:val="none" w:sz="0" w:space="0" w:color="auto"/>
        <w:right w:val="none" w:sz="0" w:space="0" w:color="auto"/>
      </w:divBdr>
    </w:div>
    <w:div w:id="688679816">
      <w:bodyDiv w:val="1"/>
      <w:marLeft w:val="0"/>
      <w:marRight w:val="0"/>
      <w:marTop w:val="0"/>
      <w:marBottom w:val="0"/>
      <w:divBdr>
        <w:top w:val="none" w:sz="0" w:space="0" w:color="auto"/>
        <w:left w:val="none" w:sz="0" w:space="0" w:color="auto"/>
        <w:bottom w:val="none" w:sz="0" w:space="0" w:color="auto"/>
        <w:right w:val="none" w:sz="0" w:space="0" w:color="auto"/>
      </w:divBdr>
    </w:div>
    <w:div w:id="724060846">
      <w:bodyDiv w:val="1"/>
      <w:marLeft w:val="0"/>
      <w:marRight w:val="0"/>
      <w:marTop w:val="0"/>
      <w:marBottom w:val="0"/>
      <w:divBdr>
        <w:top w:val="none" w:sz="0" w:space="0" w:color="auto"/>
        <w:left w:val="none" w:sz="0" w:space="0" w:color="auto"/>
        <w:bottom w:val="none" w:sz="0" w:space="0" w:color="auto"/>
        <w:right w:val="none" w:sz="0" w:space="0" w:color="auto"/>
      </w:divBdr>
    </w:div>
    <w:div w:id="935594249">
      <w:bodyDiv w:val="1"/>
      <w:marLeft w:val="0"/>
      <w:marRight w:val="0"/>
      <w:marTop w:val="0"/>
      <w:marBottom w:val="0"/>
      <w:divBdr>
        <w:top w:val="none" w:sz="0" w:space="0" w:color="auto"/>
        <w:left w:val="none" w:sz="0" w:space="0" w:color="auto"/>
        <w:bottom w:val="none" w:sz="0" w:space="0" w:color="auto"/>
        <w:right w:val="none" w:sz="0" w:space="0" w:color="auto"/>
      </w:divBdr>
    </w:div>
    <w:div w:id="936716157">
      <w:bodyDiv w:val="1"/>
      <w:marLeft w:val="0"/>
      <w:marRight w:val="0"/>
      <w:marTop w:val="0"/>
      <w:marBottom w:val="0"/>
      <w:divBdr>
        <w:top w:val="none" w:sz="0" w:space="0" w:color="auto"/>
        <w:left w:val="none" w:sz="0" w:space="0" w:color="auto"/>
        <w:bottom w:val="none" w:sz="0" w:space="0" w:color="auto"/>
        <w:right w:val="none" w:sz="0" w:space="0" w:color="auto"/>
      </w:divBdr>
    </w:div>
    <w:div w:id="1108693283">
      <w:bodyDiv w:val="1"/>
      <w:marLeft w:val="0"/>
      <w:marRight w:val="0"/>
      <w:marTop w:val="0"/>
      <w:marBottom w:val="0"/>
      <w:divBdr>
        <w:top w:val="none" w:sz="0" w:space="0" w:color="auto"/>
        <w:left w:val="none" w:sz="0" w:space="0" w:color="auto"/>
        <w:bottom w:val="none" w:sz="0" w:space="0" w:color="auto"/>
        <w:right w:val="none" w:sz="0" w:space="0" w:color="auto"/>
      </w:divBdr>
    </w:div>
    <w:div w:id="1221402710">
      <w:bodyDiv w:val="1"/>
      <w:marLeft w:val="0"/>
      <w:marRight w:val="0"/>
      <w:marTop w:val="0"/>
      <w:marBottom w:val="0"/>
      <w:divBdr>
        <w:top w:val="none" w:sz="0" w:space="0" w:color="auto"/>
        <w:left w:val="none" w:sz="0" w:space="0" w:color="auto"/>
        <w:bottom w:val="none" w:sz="0" w:space="0" w:color="auto"/>
        <w:right w:val="none" w:sz="0" w:space="0" w:color="auto"/>
      </w:divBdr>
    </w:div>
    <w:div w:id="1547986334">
      <w:bodyDiv w:val="1"/>
      <w:marLeft w:val="0"/>
      <w:marRight w:val="0"/>
      <w:marTop w:val="0"/>
      <w:marBottom w:val="0"/>
      <w:divBdr>
        <w:top w:val="none" w:sz="0" w:space="0" w:color="auto"/>
        <w:left w:val="none" w:sz="0" w:space="0" w:color="auto"/>
        <w:bottom w:val="none" w:sz="0" w:space="0" w:color="auto"/>
        <w:right w:val="none" w:sz="0" w:space="0" w:color="auto"/>
      </w:divBdr>
    </w:div>
    <w:div w:id="1790515792">
      <w:bodyDiv w:val="1"/>
      <w:marLeft w:val="0"/>
      <w:marRight w:val="0"/>
      <w:marTop w:val="0"/>
      <w:marBottom w:val="0"/>
      <w:divBdr>
        <w:top w:val="none" w:sz="0" w:space="0" w:color="auto"/>
        <w:left w:val="none" w:sz="0" w:space="0" w:color="auto"/>
        <w:bottom w:val="none" w:sz="0" w:space="0" w:color="auto"/>
        <w:right w:val="none" w:sz="0" w:space="0" w:color="auto"/>
      </w:divBdr>
    </w:div>
    <w:div w:id="1853254102">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206975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il/url?sa=t&amp;rct=j&amp;q=&amp;esrc=s&amp;source=web&amp;cd=3&amp;ved=0ahUKEwjPqr_2jKvRAhWKeFAKHS1cDLUQFggmMAI&amp;url=http%3A%2F%2Fwww.health.gov.il%2FPublicationsFiles%2FBSV_Ratag-2014.pdf&amp;usg=AFQjCNFhgu4_rgy8DNFfyDL8bzToirpx7g" TargetMode="Externa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en.wikipedia.org/wiki/Uridine-diphosphate"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E:\&#1514;&#1493;&#1510;&#1488;&#1493;&#1514;%20&#1504;&#1497;&#1505;&#1493;&#1497;&#1497;&#1501;\&#1514;&#1493;&#1510;&#1488;&#1514;%20&#1504;&#1497;&#1505;&#1493;&#1497;%20&#1508;&#1500;&#1493;&#1512;&#1496;&#1493;&#1505;\&#1504;&#1497;&#1505;&#1493;&#1497;%201-ABT+8-mo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ממוצע</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(Sheet4!$H$48,Sheet4!$H$49,Sheet4!$H$50,Sheet4!$I$48,Sheet4!$I$50,Sheet4!$H$55,Sheet4!$H$56,Sheet4!$H$57)</c:f>
                <c:numCache>
                  <c:formatCode>General</c:formatCode>
                  <c:ptCount val="8"/>
                  <c:pt idx="0">
                    <c:v>0</c:v>
                  </c:pt>
                  <c:pt idx="1">
                    <c:v>2.679595456095513E-2</c:v>
                  </c:pt>
                  <c:pt idx="2">
                    <c:v>4.7381761394501759E-2</c:v>
                  </c:pt>
                  <c:pt idx="3">
                    <c:v>6.404010191064817E-2</c:v>
                  </c:pt>
                  <c:pt idx="4">
                    <c:v>3.2925213665429463E-2</c:v>
                  </c:pt>
                  <c:pt idx="5">
                    <c:v>8.7107416228823873E-3</c:v>
                  </c:pt>
                  <c:pt idx="6">
                    <c:v>4.263965991449791E-3</c:v>
                  </c:pt>
                  <c:pt idx="7">
                    <c:v>1.983194186746165E-2</c:v>
                  </c:pt>
                </c:numCache>
              </c:numRef>
            </c:plus>
            <c:minus>
              <c:numRef>
                <c:f>(Sheet4!$H$48,Sheet4!$H$49,Sheet4!$H$50,Sheet4!$I$48,Sheet4!$I$50,Sheet4!$H$55,Sheet4!$H$56,Sheet4!$H$57)</c:f>
                <c:numCache>
                  <c:formatCode>General</c:formatCode>
                  <c:ptCount val="8"/>
                  <c:pt idx="0">
                    <c:v>0</c:v>
                  </c:pt>
                  <c:pt idx="1">
                    <c:v>2.679595456095513E-2</c:v>
                  </c:pt>
                  <c:pt idx="2">
                    <c:v>4.7381761394501759E-2</c:v>
                  </c:pt>
                  <c:pt idx="3">
                    <c:v>6.404010191064817E-2</c:v>
                  </c:pt>
                  <c:pt idx="4">
                    <c:v>3.2925213665429463E-2</c:v>
                  </c:pt>
                  <c:pt idx="5">
                    <c:v>8.7107416228823873E-3</c:v>
                  </c:pt>
                  <c:pt idx="6">
                    <c:v>4.263965991449791E-3</c:v>
                  </c:pt>
                  <c:pt idx="7">
                    <c:v>1.983194186746165E-2</c:v>
                  </c:pt>
                </c:numCache>
              </c:numRef>
            </c:minus>
            <c:spPr>
              <a:noFill/>
              <a:ln w="9525" cap="flat" cmpd="sng" algn="ctr">
                <a:solidFill>
                  <a:schemeClr val="tx1">
                    <a:lumMod val="65000"/>
                    <a:lumOff val="35000"/>
                  </a:schemeClr>
                </a:solidFill>
                <a:round/>
              </a:ln>
              <a:effectLst/>
            </c:spPr>
          </c:errBars>
          <c:errBars>
            <c:errDir val="x"/>
            <c:errBarType val="both"/>
            <c:errValType val="cust"/>
            <c:noEndCap val="0"/>
            <c:plus>
              <c:numLit>
                <c:formatCode>General</c:formatCode>
                <c:ptCount val="1"/>
                <c:pt idx="0">
                  <c:v>0</c:v>
                </c:pt>
              </c:numLit>
            </c:plus>
            <c:minus>
              <c:numLit>
                <c:formatCode>General</c:formatCode>
                <c:ptCount val="1"/>
                <c:pt idx="0">
                  <c:v>0</c:v>
                </c:pt>
              </c:numLit>
            </c:minus>
            <c:spPr>
              <a:noFill/>
              <a:ln w="9525" cap="flat" cmpd="sng" algn="ctr">
                <a:solidFill>
                  <a:schemeClr val="tx1">
                    <a:lumMod val="65000"/>
                    <a:lumOff val="35000"/>
                  </a:schemeClr>
                </a:solidFill>
                <a:round/>
              </a:ln>
              <a:effectLst/>
            </c:spPr>
          </c:errBars>
          <c:xVal>
            <c:numRef>
              <c:f>(Sheet4!$A$48,Sheet4!$A$49,Sheet4!$A$50,Sheet4!$A$51,Sheet4!$A$53,Sheet4!$A$55,Sheet4!$A$56,Sheet4!$A$57)</c:f>
              <c:numCache>
                <c:formatCode>General</c:formatCode>
                <c:ptCount val="8"/>
                <c:pt idx="0">
                  <c:v>0</c:v>
                </c:pt>
                <c:pt idx="1">
                  <c:v>3</c:v>
                </c:pt>
                <c:pt idx="2">
                  <c:v>5</c:v>
                </c:pt>
                <c:pt idx="3">
                  <c:v>7</c:v>
                </c:pt>
                <c:pt idx="4">
                  <c:v>10</c:v>
                </c:pt>
                <c:pt idx="5">
                  <c:v>13</c:v>
                </c:pt>
                <c:pt idx="6">
                  <c:v>18</c:v>
                </c:pt>
                <c:pt idx="7">
                  <c:v>20</c:v>
                </c:pt>
              </c:numCache>
            </c:numRef>
          </c:xVal>
          <c:yVal>
            <c:numRef>
              <c:f>(Sheet4!$F$48,Sheet4!$F$49,Sheet4!$F$50,Sheet4!$G$51,Sheet4!$G$53,Sheet4!$F$55,Sheet4!$F$56,Sheet4!$F$57)</c:f>
              <c:numCache>
                <c:formatCode>General</c:formatCode>
                <c:ptCount val="8"/>
                <c:pt idx="0">
                  <c:v>1</c:v>
                </c:pt>
                <c:pt idx="1">
                  <c:v>0.86169181974863918</c:v>
                </c:pt>
                <c:pt idx="2">
                  <c:v>0.80356259161069432</c:v>
                </c:pt>
                <c:pt idx="3">
                  <c:v>0.71486676090725498</c:v>
                </c:pt>
                <c:pt idx="4">
                  <c:v>0.56598071785253135</c:v>
                </c:pt>
                <c:pt idx="5">
                  <c:v>0.54468241649674787</c:v>
                </c:pt>
                <c:pt idx="6">
                  <c:v>0.4395830356939196</c:v>
                </c:pt>
                <c:pt idx="7">
                  <c:v>0.41200952998966367</c:v>
                </c:pt>
              </c:numCache>
            </c:numRef>
          </c:yVal>
          <c:smooth val="0"/>
          <c:extLst xmlns:c16r2="http://schemas.microsoft.com/office/drawing/2015/06/chart">
            <c:ext xmlns:c16="http://schemas.microsoft.com/office/drawing/2014/chart" uri="{C3380CC4-5D6E-409C-BE32-E72D297353CC}">
              <c16:uniqueId val="{00000000-CBA6-462D-ADA2-47E19445E608}"/>
            </c:ext>
          </c:extLst>
        </c:ser>
        <c:dLbls>
          <c:showLegendKey val="0"/>
          <c:showVal val="0"/>
          <c:showCatName val="0"/>
          <c:showSerName val="0"/>
          <c:showPercent val="0"/>
          <c:showBubbleSize val="0"/>
        </c:dLbls>
        <c:axId val="142117648"/>
        <c:axId val="142118040"/>
      </c:scatterChart>
      <c:valAx>
        <c:axId val="14211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1" i="0" baseline="0">
                    <a:effectLst/>
                  </a:rPr>
                  <a:t>Incubation time (days)</a:t>
                </a:r>
                <a:endParaRPr lang="en-US" sz="5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18040"/>
        <c:crosses val="autoZero"/>
        <c:crossBetween val="midCat"/>
      </c:valAx>
      <c:valAx>
        <c:axId val="142118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Relative concentration C(t)/C(0)</a:t>
                </a:r>
                <a:endParaRPr lang="he-IL"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1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LTG+fungi</c:v>
          </c:tx>
          <c:spPr>
            <a:ln w="19050" cap="rnd">
              <a:solidFill>
                <a:schemeClr val="accent1"/>
              </a:solidFill>
              <a:round/>
            </a:ln>
            <a:effectLst/>
          </c:spPr>
          <c:marker>
            <c:symbol val="none"/>
          </c:marker>
          <c:errBars>
            <c:errDir val="x"/>
            <c:errBarType val="both"/>
            <c:errValType val="cust"/>
            <c:noEndCap val="0"/>
            <c:plus>
              <c:numLit>
                <c:formatCode>General</c:formatCode>
                <c:ptCount val="1"/>
                <c:pt idx="0">
                  <c:v>0</c:v>
                </c:pt>
              </c:numLit>
            </c:plus>
            <c:minus>
              <c:numLit>
                <c:formatCode>General</c:formatCode>
                <c:ptCount val="1"/>
                <c:pt idx="0">
                  <c:v>0</c:v>
                </c:pt>
              </c:numLit>
            </c:minus>
            <c:spPr>
              <a:noFill/>
              <a:ln w="9525" cap="flat" cmpd="sng" algn="ctr">
                <a:solidFill>
                  <a:schemeClr val="tx1">
                    <a:lumMod val="65000"/>
                    <a:lumOff val="35000"/>
                  </a:schemeClr>
                </a:solidFill>
                <a:round/>
              </a:ln>
              <a:effectLst/>
            </c:spPr>
          </c:errBars>
          <c:errBars>
            <c:errDir val="y"/>
            <c:errBarType val="both"/>
            <c:errValType val="cust"/>
            <c:noEndCap val="0"/>
            <c:plus>
              <c:numRef>
                <c:f>Sheet2!$F$34:$F$41</c:f>
                <c:numCache>
                  <c:formatCode>General</c:formatCode>
                  <c:ptCount val="8"/>
                  <c:pt idx="0">
                    <c:v>0</c:v>
                  </c:pt>
                  <c:pt idx="1">
                    <c:v>0</c:v>
                  </c:pt>
                  <c:pt idx="2">
                    <c:v>6.5952385039500142E-2</c:v>
                  </c:pt>
                  <c:pt idx="3">
                    <c:v>7.2212827276833536E-2</c:v>
                  </c:pt>
                  <c:pt idx="4">
                    <c:v>6.3552311276105777E-2</c:v>
                  </c:pt>
                  <c:pt idx="5">
                    <c:v>6.4889595384089713E-2</c:v>
                  </c:pt>
                  <c:pt idx="6">
                    <c:v>4.4064169969613175E-2</c:v>
                  </c:pt>
                  <c:pt idx="7">
                    <c:v>4.5006883264655156E-2</c:v>
                  </c:pt>
                </c:numCache>
              </c:numRef>
            </c:plus>
            <c:minus>
              <c:numRef>
                <c:f>Sheet2!$F$34:$F$41</c:f>
                <c:numCache>
                  <c:formatCode>General</c:formatCode>
                  <c:ptCount val="8"/>
                  <c:pt idx="0">
                    <c:v>0</c:v>
                  </c:pt>
                  <c:pt idx="1">
                    <c:v>0</c:v>
                  </c:pt>
                  <c:pt idx="2">
                    <c:v>6.5952385039500142E-2</c:v>
                  </c:pt>
                  <c:pt idx="3">
                    <c:v>7.2212827276833536E-2</c:v>
                  </c:pt>
                  <c:pt idx="4">
                    <c:v>6.3552311276105777E-2</c:v>
                  </c:pt>
                  <c:pt idx="5">
                    <c:v>6.4889595384089713E-2</c:v>
                  </c:pt>
                  <c:pt idx="6">
                    <c:v>4.4064169969613175E-2</c:v>
                  </c:pt>
                  <c:pt idx="7">
                    <c:v>4.5006883264655156E-2</c:v>
                  </c:pt>
                </c:numCache>
              </c:numRef>
            </c:minus>
            <c:spPr>
              <a:noFill/>
              <a:ln w="9525" cap="flat" cmpd="sng" algn="ctr">
                <a:solidFill>
                  <a:schemeClr val="tx1">
                    <a:lumMod val="65000"/>
                    <a:lumOff val="35000"/>
                  </a:schemeClr>
                </a:solidFill>
                <a:round/>
              </a:ln>
              <a:effectLst/>
            </c:spPr>
          </c:errBars>
          <c:xVal>
            <c:numRef>
              <c:f>Sheet2!$A$34:$A$41</c:f>
              <c:numCache>
                <c:formatCode>General</c:formatCode>
                <c:ptCount val="8"/>
                <c:pt idx="0">
                  <c:v>0</c:v>
                </c:pt>
                <c:pt idx="1">
                  <c:v>3</c:v>
                </c:pt>
                <c:pt idx="2">
                  <c:v>5</c:v>
                </c:pt>
                <c:pt idx="3">
                  <c:v>10</c:v>
                </c:pt>
                <c:pt idx="4">
                  <c:v>12</c:v>
                </c:pt>
                <c:pt idx="5">
                  <c:v>14</c:v>
                </c:pt>
                <c:pt idx="6">
                  <c:v>18</c:v>
                </c:pt>
                <c:pt idx="7">
                  <c:v>20</c:v>
                </c:pt>
              </c:numCache>
            </c:numRef>
          </c:xVal>
          <c:yVal>
            <c:numRef>
              <c:f>Sheet2!$E$34:$E$41</c:f>
              <c:numCache>
                <c:formatCode>0.00</c:formatCode>
                <c:ptCount val="8"/>
                <c:pt idx="0" formatCode="General">
                  <c:v>1</c:v>
                </c:pt>
                <c:pt idx="1">
                  <c:v>1</c:v>
                </c:pt>
                <c:pt idx="2">
                  <c:v>0.93287302597071131</c:v>
                </c:pt>
                <c:pt idx="3">
                  <c:v>0.49722496840917713</c:v>
                </c:pt>
                <c:pt idx="4">
                  <c:v>0.47056609848973924</c:v>
                </c:pt>
                <c:pt idx="5">
                  <c:v>0.44354609485878793</c:v>
                </c:pt>
                <c:pt idx="6">
                  <c:v>0.44137006124769745</c:v>
                </c:pt>
                <c:pt idx="7">
                  <c:v>0.4018551976726677</c:v>
                </c:pt>
              </c:numCache>
            </c:numRef>
          </c:yVal>
          <c:smooth val="0"/>
          <c:extLst xmlns:c16r2="http://schemas.microsoft.com/office/drawing/2015/06/chart">
            <c:ext xmlns:c16="http://schemas.microsoft.com/office/drawing/2014/chart" uri="{C3380CC4-5D6E-409C-BE32-E72D297353CC}">
              <c16:uniqueId val="{00000000-F72A-4817-8D10-2AFCFD2C9590}"/>
            </c:ext>
          </c:extLst>
        </c:ser>
        <c:ser>
          <c:idx val="1"/>
          <c:order val="1"/>
          <c:tx>
            <c:v>LTG+fungi+1-ABT (1.6mM)</c:v>
          </c:tx>
          <c:spPr>
            <a:ln w="19050" cap="rnd">
              <a:solidFill>
                <a:schemeClr val="accent2"/>
              </a:solidFill>
              <a:round/>
            </a:ln>
            <a:effectLst/>
          </c:spPr>
          <c:marker>
            <c:symbol val="none"/>
          </c:marker>
          <c:errBars>
            <c:errDir val="x"/>
            <c:errBarType val="both"/>
            <c:errValType val="cust"/>
            <c:noEndCap val="0"/>
            <c:plus>
              <c:numLit>
                <c:formatCode>General</c:formatCode>
                <c:ptCount val="1"/>
                <c:pt idx="0">
                  <c:v>0</c:v>
                </c:pt>
              </c:numLit>
            </c:plus>
            <c:minus>
              <c:numLit>
                <c:formatCode>General</c:formatCode>
                <c:ptCount val="1"/>
                <c:pt idx="0">
                  <c:v>0</c:v>
                </c:pt>
              </c:numLit>
            </c:minus>
            <c:spPr>
              <a:noFill/>
              <a:ln w="9525" cap="flat" cmpd="sng" algn="ctr">
                <a:solidFill>
                  <a:schemeClr val="tx1">
                    <a:lumMod val="65000"/>
                    <a:lumOff val="35000"/>
                  </a:schemeClr>
                </a:solidFill>
                <a:round/>
              </a:ln>
              <a:effectLst/>
            </c:spPr>
          </c:errBars>
          <c:errBars>
            <c:errDir val="y"/>
            <c:errBarType val="both"/>
            <c:errValType val="cust"/>
            <c:noEndCap val="0"/>
            <c:plus>
              <c:numRef>
                <c:f>Sheet2!$N$33:$N$40</c:f>
                <c:numCache>
                  <c:formatCode>General</c:formatCode>
                  <c:ptCount val="8"/>
                  <c:pt idx="0">
                    <c:v>0</c:v>
                  </c:pt>
                  <c:pt idx="1">
                    <c:v>0</c:v>
                  </c:pt>
                  <c:pt idx="2">
                    <c:v>1.9214239719569839E-2</c:v>
                  </c:pt>
                  <c:pt idx="3">
                    <c:v>1.6299432798140098E-2</c:v>
                  </c:pt>
                  <c:pt idx="4">
                    <c:v>1.8287346246175586E-2</c:v>
                  </c:pt>
                  <c:pt idx="5">
                    <c:v>9.7633830632747574E-3</c:v>
                  </c:pt>
                  <c:pt idx="6">
                    <c:v>1.9031202587145447E-2</c:v>
                  </c:pt>
                  <c:pt idx="7">
                    <c:v>4.8625162933590448E-2</c:v>
                  </c:pt>
                </c:numCache>
              </c:numRef>
            </c:plus>
            <c:minus>
              <c:numRef>
                <c:f>Sheet2!$N$33:$N$40</c:f>
                <c:numCache>
                  <c:formatCode>General</c:formatCode>
                  <c:ptCount val="8"/>
                  <c:pt idx="0">
                    <c:v>0</c:v>
                  </c:pt>
                  <c:pt idx="1">
                    <c:v>0</c:v>
                  </c:pt>
                  <c:pt idx="2">
                    <c:v>1.9214239719569839E-2</c:v>
                  </c:pt>
                  <c:pt idx="3">
                    <c:v>1.6299432798140098E-2</c:v>
                  </c:pt>
                  <c:pt idx="4">
                    <c:v>1.8287346246175586E-2</c:v>
                  </c:pt>
                  <c:pt idx="5">
                    <c:v>9.7633830632747574E-3</c:v>
                  </c:pt>
                  <c:pt idx="6">
                    <c:v>1.9031202587145447E-2</c:v>
                  </c:pt>
                  <c:pt idx="7">
                    <c:v>4.8625162933590448E-2</c:v>
                  </c:pt>
                </c:numCache>
              </c:numRef>
            </c:minus>
            <c:spPr>
              <a:noFill/>
              <a:ln w="9525" cap="flat" cmpd="sng" algn="ctr">
                <a:solidFill>
                  <a:schemeClr val="tx1">
                    <a:lumMod val="65000"/>
                    <a:lumOff val="35000"/>
                  </a:schemeClr>
                </a:solidFill>
                <a:round/>
              </a:ln>
              <a:effectLst/>
            </c:spPr>
          </c:errBars>
          <c:xVal>
            <c:numRef>
              <c:f>Sheet2!$I$33:$I$40</c:f>
              <c:numCache>
                <c:formatCode>General</c:formatCode>
                <c:ptCount val="8"/>
                <c:pt idx="0">
                  <c:v>0</c:v>
                </c:pt>
                <c:pt idx="1">
                  <c:v>3</c:v>
                </c:pt>
                <c:pt idx="2">
                  <c:v>5</c:v>
                </c:pt>
                <c:pt idx="3">
                  <c:v>7</c:v>
                </c:pt>
                <c:pt idx="4">
                  <c:v>12</c:v>
                </c:pt>
                <c:pt idx="5">
                  <c:v>14</c:v>
                </c:pt>
                <c:pt idx="6">
                  <c:v>18</c:v>
                </c:pt>
                <c:pt idx="7">
                  <c:v>20</c:v>
                </c:pt>
              </c:numCache>
            </c:numRef>
          </c:xVal>
          <c:yVal>
            <c:numRef>
              <c:f>Sheet2!$M$33:$M$40</c:f>
              <c:numCache>
                <c:formatCode>0.00</c:formatCode>
                <c:ptCount val="8"/>
                <c:pt idx="0">
                  <c:v>1</c:v>
                </c:pt>
                <c:pt idx="1">
                  <c:v>1</c:v>
                </c:pt>
                <c:pt idx="2">
                  <c:v>1.0034144807824408</c:v>
                </c:pt>
                <c:pt idx="3">
                  <c:v>0.76823934235114411</c:v>
                </c:pt>
                <c:pt idx="4">
                  <c:v>0.77356368282500576</c:v>
                </c:pt>
                <c:pt idx="5">
                  <c:v>0.77101920416318437</c:v>
                </c:pt>
                <c:pt idx="6">
                  <c:v>0.88121099973553429</c:v>
                </c:pt>
                <c:pt idx="7">
                  <c:v>0.84834667823745258</c:v>
                </c:pt>
              </c:numCache>
            </c:numRef>
          </c:yVal>
          <c:smooth val="0"/>
          <c:extLst xmlns:c16r2="http://schemas.microsoft.com/office/drawing/2015/06/chart">
            <c:ext xmlns:c16="http://schemas.microsoft.com/office/drawing/2014/chart" uri="{C3380CC4-5D6E-409C-BE32-E72D297353CC}">
              <c16:uniqueId val="{00000001-F72A-4817-8D10-2AFCFD2C9590}"/>
            </c:ext>
          </c:extLst>
        </c:ser>
        <c:ser>
          <c:idx val="2"/>
          <c:order val="2"/>
          <c:tx>
            <c:v>LTG+fungi+8-mop (0.8 mM)</c:v>
          </c:tx>
          <c:spPr>
            <a:ln w="19050" cap="rnd">
              <a:solidFill>
                <a:schemeClr val="accent3"/>
              </a:solidFill>
              <a:round/>
            </a:ln>
            <a:effectLst/>
          </c:spPr>
          <c:marker>
            <c:symbol val="none"/>
          </c:marker>
          <c:errBars>
            <c:errDir val="x"/>
            <c:errBarType val="both"/>
            <c:errValType val="cust"/>
            <c:noEndCap val="0"/>
            <c:plus>
              <c:numLit>
                <c:formatCode>General</c:formatCode>
                <c:ptCount val="1"/>
                <c:pt idx="0">
                  <c:v>0</c:v>
                </c:pt>
              </c:numLit>
            </c:plus>
            <c:minus>
              <c:numLit>
                <c:formatCode>General</c:formatCode>
                <c:ptCount val="1"/>
                <c:pt idx="0">
                  <c:v>0</c:v>
                </c:pt>
              </c:numLit>
            </c:minus>
            <c:spPr>
              <a:noFill/>
              <a:ln w="9525" cap="flat" cmpd="sng" algn="ctr">
                <a:solidFill>
                  <a:schemeClr val="tx1">
                    <a:lumMod val="65000"/>
                    <a:lumOff val="35000"/>
                  </a:schemeClr>
                </a:solidFill>
                <a:round/>
              </a:ln>
              <a:effectLst/>
            </c:spPr>
          </c:errBars>
          <c:errBars>
            <c:errDir val="y"/>
            <c:errBarType val="both"/>
            <c:errValType val="cust"/>
            <c:noEndCap val="0"/>
            <c:plus>
              <c:numRef>
                <c:f>Sheet2!$V$33:$V$40</c:f>
                <c:numCache>
                  <c:formatCode>General</c:formatCode>
                  <c:ptCount val="8"/>
                  <c:pt idx="0">
                    <c:v>0</c:v>
                  </c:pt>
                  <c:pt idx="1">
                    <c:v>0</c:v>
                  </c:pt>
                  <c:pt idx="2">
                    <c:v>2.2379800837675826E-2</c:v>
                  </c:pt>
                  <c:pt idx="3">
                    <c:v>1.8411183424219189E-2</c:v>
                  </c:pt>
                  <c:pt idx="4">
                    <c:v>1.274062315129515E-2</c:v>
                  </c:pt>
                  <c:pt idx="5">
                    <c:v>1.682871826404066E-2</c:v>
                  </c:pt>
                  <c:pt idx="6">
                    <c:v>1.1848087646925061E-2</c:v>
                  </c:pt>
                  <c:pt idx="7">
                    <c:v>3.8800353738067096E-2</c:v>
                  </c:pt>
                </c:numCache>
              </c:numRef>
            </c:plus>
            <c:minus>
              <c:numRef>
                <c:f>Sheet2!$V$33:$V$40</c:f>
                <c:numCache>
                  <c:formatCode>General</c:formatCode>
                  <c:ptCount val="8"/>
                  <c:pt idx="0">
                    <c:v>0</c:v>
                  </c:pt>
                  <c:pt idx="1">
                    <c:v>0</c:v>
                  </c:pt>
                  <c:pt idx="2">
                    <c:v>2.2379800837675826E-2</c:v>
                  </c:pt>
                  <c:pt idx="3">
                    <c:v>1.8411183424219189E-2</c:v>
                  </c:pt>
                  <c:pt idx="4">
                    <c:v>1.274062315129515E-2</c:v>
                  </c:pt>
                  <c:pt idx="5">
                    <c:v>1.682871826404066E-2</c:v>
                  </c:pt>
                  <c:pt idx="6">
                    <c:v>1.1848087646925061E-2</c:v>
                  </c:pt>
                  <c:pt idx="7">
                    <c:v>3.8800353738067096E-2</c:v>
                  </c:pt>
                </c:numCache>
              </c:numRef>
            </c:minus>
            <c:spPr>
              <a:noFill/>
              <a:ln w="9525" cap="flat" cmpd="sng" algn="ctr">
                <a:solidFill>
                  <a:schemeClr val="tx1">
                    <a:lumMod val="65000"/>
                    <a:lumOff val="35000"/>
                  </a:schemeClr>
                </a:solidFill>
                <a:round/>
              </a:ln>
              <a:effectLst/>
            </c:spPr>
          </c:errBars>
          <c:xVal>
            <c:numRef>
              <c:f>Sheet2!$Q$33:$Q$40</c:f>
              <c:numCache>
                <c:formatCode>General</c:formatCode>
                <c:ptCount val="8"/>
                <c:pt idx="0">
                  <c:v>0</c:v>
                </c:pt>
                <c:pt idx="1">
                  <c:v>3</c:v>
                </c:pt>
                <c:pt idx="2">
                  <c:v>5</c:v>
                </c:pt>
                <c:pt idx="3">
                  <c:v>7</c:v>
                </c:pt>
                <c:pt idx="4">
                  <c:v>12</c:v>
                </c:pt>
                <c:pt idx="5">
                  <c:v>14</c:v>
                </c:pt>
                <c:pt idx="6">
                  <c:v>18</c:v>
                </c:pt>
                <c:pt idx="7">
                  <c:v>20</c:v>
                </c:pt>
              </c:numCache>
            </c:numRef>
          </c:xVal>
          <c:yVal>
            <c:numRef>
              <c:f>Sheet2!$U$33:$U$40</c:f>
              <c:numCache>
                <c:formatCode>0.00</c:formatCode>
                <c:ptCount val="8"/>
                <c:pt idx="0">
                  <c:v>1</c:v>
                </c:pt>
                <c:pt idx="1">
                  <c:v>1</c:v>
                </c:pt>
                <c:pt idx="2">
                  <c:v>0.95732910060043086</c:v>
                </c:pt>
                <c:pt idx="3">
                  <c:v>0.67347846659276611</c:v>
                </c:pt>
                <c:pt idx="4">
                  <c:v>0.63515137219365692</c:v>
                </c:pt>
                <c:pt idx="5">
                  <c:v>0.60418053632604118</c:v>
                </c:pt>
                <c:pt idx="6">
                  <c:v>0.62728443479810314</c:v>
                </c:pt>
                <c:pt idx="7">
                  <c:v>0.59745387716660059</c:v>
                </c:pt>
              </c:numCache>
            </c:numRef>
          </c:yVal>
          <c:smooth val="0"/>
          <c:extLst xmlns:c16r2="http://schemas.microsoft.com/office/drawing/2015/06/chart">
            <c:ext xmlns:c16="http://schemas.microsoft.com/office/drawing/2014/chart" uri="{C3380CC4-5D6E-409C-BE32-E72D297353CC}">
              <c16:uniqueId val="{00000002-F72A-4817-8D10-2AFCFD2C9590}"/>
            </c:ext>
          </c:extLst>
        </c:ser>
        <c:ser>
          <c:idx val="3"/>
          <c:order val="3"/>
          <c:tx>
            <c:v>LTG+fungi+8-mop(0.4 mM)</c:v>
          </c:tx>
          <c:spPr>
            <a:ln w="19050" cap="rnd">
              <a:solidFill>
                <a:schemeClr val="accent4"/>
              </a:solidFill>
              <a:round/>
            </a:ln>
            <a:effectLst/>
          </c:spPr>
          <c:marker>
            <c:symbol val="none"/>
          </c:marker>
          <c:errBars>
            <c:errDir val="x"/>
            <c:errBarType val="both"/>
            <c:errValType val="cust"/>
            <c:noEndCap val="0"/>
            <c:plus>
              <c:numLit>
                <c:formatCode>General</c:formatCode>
                <c:ptCount val="1"/>
                <c:pt idx="0">
                  <c:v>0</c:v>
                </c:pt>
              </c:numLit>
            </c:plus>
            <c:minus>
              <c:numLit>
                <c:formatCode>General</c:formatCode>
                <c:ptCount val="1"/>
                <c:pt idx="0">
                  <c:v>0</c:v>
                </c:pt>
              </c:numLit>
            </c:minus>
            <c:spPr>
              <a:noFill/>
              <a:ln w="9525" cap="flat" cmpd="sng" algn="ctr">
                <a:solidFill>
                  <a:schemeClr val="tx1">
                    <a:lumMod val="65000"/>
                    <a:lumOff val="35000"/>
                  </a:schemeClr>
                </a:solidFill>
                <a:round/>
              </a:ln>
              <a:effectLst/>
            </c:spPr>
          </c:errBars>
          <c:errBars>
            <c:errDir val="y"/>
            <c:errBarType val="both"/>
            <c:errValType val="cust"/>
            <c:noEndCap val="0"/>
            <c:plus>
              <c:numRef>
                <c:f>Sheet2!$AC$33:$AC$40</c:f>
                <c:numCache>
                  <c:formatCode>General</c:formatCode>
                  <c:ptCount val="8"/>
                  <c:pt idx="0">
                    <c:v>0</c:v>
                  </c:pt>
                  <c:pt idx="1">
                    <c:v>0</c:v>
                  </c:pt>
                  <c:pt idx="2">
                    <c:v>2.8339451218755446E-2</c:v>
                  </c:pt>
                  <c:pt idx="3">
                    <c:v>2.7575881503108909E-2</c:v>
                  </c:pt>
                  <c:pt idx="4">
                    <c:v>4.7089951842089417E-2</c:v>
                  </c:pt>
                  <c:pt idx="5">
                    <c:v>4.5357611045431845E-2</c:v>
                  </c:pt>
                  <c:pt idx="6">
                    <c:v>5.7019327201560714E-2</c:v>
                  </c:pt>
                  <c:pt idx="7">
                    <c:v>5.2681679006146807E-2</c:v>
                  </c:pt>
                </c:numCache>
              </c:numRef>
            </c:plus>
            <c:minus>
              <c:numRef>
                <c:f>Sheet2!$AC$33:$AC$40</c:f>
                <c:numCache>
                  <c:formatCode>General</c:formatCode>
                  <c:ptCount val="8"/>
                  <c:pt idx="0">
                    <c:v>0</c:v>
                  </c:pt>
                  <c:pt idx="1">
                    <c:v>0</c:v>
                  </c:pt>
                  <c:pt idx="2">
                    <c:v>2.8339451218755446E-2</c:v>
                  </c:pt>
                  <c:pt idx="3">
                    <c:v>2.7575881503108909E-2</c:v>
                  </c:pt>
                  <c:pt idx="4">
                    <c:v>4.7089951842089417E-2</c:v>
                  </c:pt>
                  <c:pt idx="5">
                    <c:v>4.5357611045431845E-2</c:v>
                  </c:pt>
                  <c:pt idx="6">
                    <c:v>5.7019327201560714E-2</c:v>
                  </c:pt>
                  <c:pt idx="7">
                    <c:v>5.2681679006146807E-2</c:v>
                  </c:pt>
                </c:numCache>
              </c:numRef>
            </c:minus>
            <c:spPr>
              <a:noFill/>
              <a:ln w="9525" cap="flat" cmpd="sng" algn="ctr">
                <a:solidFill>
                  <a:schemeClr val="tx1">
                    <a:lumMod val="65000"/>
                    <a:lumOff val="35000"/>
                  </a:schemeClr>
                </a:solidFill>
                <a:round/>
              </a:ln>
              <a:effectLst/>
            </c:spPr>
          </c:errBars>
          <c:xVal>
            <c:numRef>
              <c:f>Sheet2!$X$33:$X$40</c:f>
              <c:numCache>
                <c:formatCode>General</c:formatCode>
                <c:ptCount val="8"/>
                <c:pt idx="0">
                  <c:v>0</c:v>
                </c:pt>
                <c:pt idx="1">
                  <c:v>3</c:v>
                </c:pt>
                <c:pt idx="2">
                  <c:v>5</c:v>
                </c:pt>
                <c:pt idx="3">
                  <c:v>7</c:v>
                </c:pt>
                <c:pt idx="4">
                  <c:v>12</c:v>
                </c:pt>
                <c:pt idx="5">
                  <c:v>14</c:v>
                </c:pt>
                <c:pt idx="6">
                  <c:v>18</c:v>
                </c:pt>
                <c:pt idx="7">
                  <c:v>20</c:v>
                </c:pt>
              </c:numCache>
            </c:numRef>
          </c:xVal>
          <c:yVal>
            <c:numRef>
              <c:f>Sheet2!$AB$33:$AB$40</c:f>
              <c:numCache>
                <c:formatCode>0.00</c:formatCode>
                <c:ptCount val="8"/>
                <c:pt idx="0">
                  <c:v>1</c:v>
                </c:pt>
                <c:pt idx="1">
                  <c:v>1</c:v>
                </c:pt>
                <c:pt idx="2">
                  <c:v>0.9825925294806287</c:v>
                </c:pt>
                <c:pt idx="3">
                  <c:v>0.68726046526151396</c:v>
                </c:pt>
                <c:pt idx="4">
                  <c:v>0.65930982078637046</c:v>
                </c:pt>
                <c:pt idx="5">
                  <c:v>0.63513417704191799</c:v>
                </c:pt>
                <c:pt idx="6">
                  <c:v>0.67878660394052748</c:v>
                </c:pt>
                <c:pt idx="7">
                  <c:v>0.62833635379030695</c:v>
                </c:pt>
              </c:numCache>
            </c:numRef>
          </c:yVal>
          <c:smooth val="0"/>
          <c:extLst xmlns:c16r2="http://schemas.microsoft.com/office/drawing/2015/06/chart">
            <c:ext xmlns:c16="http://schemas.microsoft.com/office/drawing/2014/chart" uri="{C3380CC4-5D6E-409C-BE32-E72D297353CC}">
              <c16:uniqueId val="{00000003-F72A-4817-8D10-2AFCFD2C9590}"/>
            </c:ext>
          </c:extLst>
        </c:ser>
        <c:dLbls>
          <c:showLegendKey val="0"/>
          <c:showVal val="0"/>
          <c:showCatName val="0"/>
          <c:showSerName val="0"/>
          <c:showPercent val="0"/>
          <c:showBubbleSize val="0"/>
        </c:dLbls>
        <c:axId val="142118824"/>
        <c:axId val="142119216"/>
      </c:scatterChart>
      <c:valAx>
        <c:axId val="142118824"/>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Incubation</a:t>
                </a:r>
                <a:r>
                  <a:rPr lang="en-US" b="1" baseline="0"/>
                  <a:t> time(day)</a:t>
                </a:r>
                <a:endParaRPr lang="en-US" b="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19216"/>
        <c:crosses val="autoZero"/>
        <c:crossBetween val="midCat"/>
      </c:valAx>
      <c:valAx>
        <c:axId val="14211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Relative concentration C(t)/C(0)</a:t>
                </a:r>
                <a:endParaRPr lang="en-US" sz="1000">
                  <a:effectLst/>
                </a:endParaRPr>
              </a:p>
            </c:rich>
          </c:tx>
          <c:layout>
            <c:manualLayout>
              <c:xMode val="edge"/>
              <c:yMode val="edge"/>
              <c:x val="1.2043010752688172E-2"/>
              <c:y val="0.2341663524874114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18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0081-3CDB-4D2B-972C-68C39FA3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12422</Words>
  <Characters>70806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hadar-lab1</dc:creator>
  <cp:keywords/>
  <dc:description/>
  <cp:lastModifiedBy>hadar-lab1</cp:lastModifiedBy>
  <cp:revision>3</cp:revision>
  <dcterms:created xsi:type="dcterms:W3CDTF">2017-01-16T13:09:00Z</dcterms:created>
  <dcterms:modified xsi:type="dcterms:W3CDTF">2017-01-16T13:10:00Z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4b266b55-c27e-3a50-8470-177c05c462b3</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http://www.zotero.org/styles/biomed-central</vt:lpwstr>
  </property>
  <property fmtid="{D5CDD505-2E9C-101B-9397-08002B2CF9AE}" pid="10" name="Mendeley Recent Style Name 2_1">
    <vt:lpwstr>BioMed Central</vt:lpwstr>
  </property>
  <property fmtid="{D5CDD505-2E9C-101B-9397-08002B2CF9AE}" pid="11" name="Mendeley Recent Style Id 3_1">
    <vt:lpwstr>http://www.zotero.org/styles/biotechnology-for-biofuels</vt:lpwstr>
  </property>
  <property fmtid="{D5CDD505-2E9C-101B-9397-08002B2CF9AE}" pid="12" name="Mendeley Recent Style Name 3_1">
    <vt:lpwstr>Biotechnology for Biofuels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